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Calibri" w:cs="Calibri" w:eastAsia="Calibri" w:hAnsi="Calibri"/>
          <w:b/>
          <w:bCs/>
          <w:color w:val="1B2A4A"/>
          <w:sz w:val="40"/>
          <w:szCs w:val="40"/>
        </w:rPr>
        <w:t xml:space="preserve">RAPPORT D'AUDIT UX/UI &amp; PRODUCT BENCHMARK</w:t>
      </w:r>
    </w:p>
    <w:p>
      <w:pPr>
        <w:spacing w:after="0" w:before="240"/>
        <w:jc w:val="center"/>
      </w:pPr>
      <w:r>
        <w:rPr>
          <w:rFonts w:ascii="Calibri" w:cs="Calibri" w:eastAsia="Calibri" w:hAnsi="Calibri"/>
          <w:color w:val="475569"/>
          <w:sz w:val="28"/>
          <w:szCs w:val="28"/>
        </w:rPr>
        <w:t xml:space="preserve">Plateformes de Gestion de Cabinets d'Avocats Multi-Agences</w:t>
      </w:r>
    </w:p>
    <w:p>
      <w:pPr>
        <w:spacing w:after="0" w:before="600"/>
        <w:jc w:val="center"/>
      </w:pPr>
      <w:r>
        <w:rPr>
          <w:rFonts w:ascii="Calibri" w:cs="Calibri" w:eastAsia="Calibri" w:hAnsi="Calibri"/>
          <w:i/>
          <w:iCs/>
          <w:color w:val="475569"/>
          <w:sz w:val="22"/>
          <w:szCs w:val="22"/>
        </w:rPr>
        <w:t xml:space="preserve">Étude de marché mondiale — Law Practice Management, LegalTech &amp; IA juridique</w:t>
      </w:r>
    </w:p>
    <w:p>
      <w:pPr>
        <w:spacing w:after="0" w:before="1400"/>
        <w:jc w:val="center"/>
      </w:pPr>
      <w:r>
        <w:rPr>
          <w:rFonts w:ascii="Calibri" w:cs="Calibri" w:eastAsia="Calibri" w:hAnsi="Calibri"/>
          <w:color w:val="27272A"/>
          <w:sz w:val="22"/>
          <w:szCs w:val="22"/>
        </w:rPr>
        <w:t xml:space="preserve">Juillet 2026</w:t>
      </w:r>
    </w:p>
    <w:p>
      <w:pPr>
        <w:spacing w:after="0" w:before="3200"/>
        <w:jc w:val="center"/>
      </w:pPr>
      <w:r>
        <w:rPr>
          <w:rFonts w:ascii="Calibri" w:cs="Calibri" w:eastAsia="Calibri" w:hAnsi="Calibri"/>
          <w:i/>
          <w:iCs/>
          <w:color w:val="475569"/>
          <w:sz w:val="18"/>
          <w:szCs w:val="18"/>
        </w:rPr>
        <w:t xml:space="preserve">Document préparatoire au Design System, aux wireframes et au prototype Figma</w:t>
      </w:r>
    </w:p>
    <w:p>
      <w:pPr>
        <w:sectPr>
          <w:pgSz w:w="12240" w:h="15840" w:orient="portrait"/>
          <w:pgMar w:top="1440" w:right="1440" w:bottom="1440" w:left="1440" w:header="708" w:footer="708" w:gutter="0"/>
          <w:pgNumType/>
          <w:docGrid w:linePitch="360"/>
        </w:sectPr>
      </w:pPr>
    </w:p>
    <w:p>
      <w:pPr>
        <w:pStyle w:val="Heading1"/>
        <w:spacing w:after="240" w:before="480"/>
      </w:pPr>
      <w:r>
        <w:t xml:space="preserve">1. Résumé exécutif</w:t>
      </w:r>
    </w:p>
    <w:p>
      <w:pPr>
        <w:spacing w:after="160" w:line="276"/>
      </w:pPr>
      <w:r>
        <w:rPr>
          <w:rFonts w:ascii="Calibri" w:cs="Calibri" w:eastAsia="Calibri" w:hAnsi="Calibri"/>
          <w:sz w:val="21"/>
          <w:szCs w:val="21"/>
        </w:rPr>
        <w:t xml:space="preserve">Cette étude analyse en profondeur le marché mondial des logiciels de gestion de cabinets d'avocats (Legal Practice Management), en couvrant les leaders généralistes nord-américains (Clio, MyCase, Filevine, Smokeball, LEAP, Litify, PracticePanther, Actionstep), les plateformes documentaires d'entreprise (iManage, NetDocuments) et la nouvelle génération d'assistants juridiques IA (Harvey AI, Lexis+ avec Protégé, Thomson Reuters CoCounsel). L'objectif est de dégager les standards fonctionnels et UX/UI du secteur afin d'en tirer des recommandations concrètes pour la conception d'un Design System et d'un prototype Figma destinés à une plateforme multi-agences adaptée au contexte sénégalais/africain décrit dans votre cahier des charges.</w:t>
      </w:r>
    </w:p>
    <w:p>
      <w:pPr>
        <w:spacing w:after="160" w:line="276"/>
      </w:pPr>
      <w:r>
        <w:rPr>
          <w:rFonts w:ascii="Calibri" w:cs="Calibri" w:eastAsia="Calibri" w:hAnsi="Calibri"/>
          <w:sz w:val="21"/>
          <w:szCs w:val="21"/>
        </w:rPr>
        <w:t xml:space="preserve">Constat central : le marché s'est structuré en trois strates bien distinctes — (1) les suites tout-en-un pour petits/moyens cabinets, orientées facturation et gestion de dossiers ; (2) les systèmes documentaires d'entreprise pour grands cabinets, orientés gouvernance et conformité ; (3) une couche d'IA juridique qui, en 2026, s'est largement autonomisée en agents capables de recherche, rédaction et analyse. Aucun acteur ne combine aujourd'hui, dans une seule interface soignée, la gestion multi-agences, le workflow documentaire et une IA de triage/affectation aussi nativement que ce que votre cahier des charges vise — c'est votre principal espace de différenciation.</w:t>
      </w:r>
    </w:p>
    <w:p>
      <w:pPr>
        <w:pStyle w:val="Heading1"/>
        <w:spacing w:after="240" w:before="480"/>
      </w:pPr>
      <w:r>
        <w:t xml:space="preserve">2. Méthodologie</w:t>
      </w:r>
    </w:p>
    <w:p>
      <w:pPr>
        <w:spacing w:after="160" w:line="276"/>
      </w:pPr>
      <w:r>
        <w:rPr>
          <w:rFonts w:ascii="Calibri" w:cs="Calibri" w:eastAsia="Calibri" w:hAnsi="Calibri"/>
          <w:sz w:val="21"/>
          <w:szCs w:val="21"/>
        </w:rPr>
        <w:t xml:space="preserve">La recherche a combiné : revues spécialisées (Lawyerist, Law.com/LawNext, Capterra, G2, SelectHub, GetApp, Software Advice), sites éditeurs officiels, comparateurs indépendants et retours d'utilisateurs vérifiés. Chaque fiche produit synthétise le positionnement, les fonctionnalités et — dans la limite de ce qui est vérifiable par la documentation publique et les captures largement commentées par la presse spécialisée — les grandes lignes de l'expérience utilisateur. Les captures d'écran propriétaires ne pouvant être reproduites ici pour des raisons de droits d'auteur, chaque fiche renvoie vers les pages produits officielles pour l'inspection visuelle directe, ce que je recommande de faire avant la phase de wireframing.</w:t>
      </w:r>
    </w:p>
    <w:p>
      <w:pPr>
        <w:spacing w:after="160" w:line="276"/>
      </w:pPr>
      <w:r>
        <w:rPr>
          <w:rFonts w:ascii="Calibri" w:cs="Calibri" w:eastAsia="Calibri" w:hAnsi="Calibri"/>
          <w:sz w:val="21"/>
          <w:szCs w:val="21"/>
        </w:rPr>
        <w:t xml:space="preserve">Portée géographique : le cœur du marché documenté (États-Unis, Canada, Royaume-Uni, Australie) domine très largement la littérature disponible. Les données sur les marchés africains, moyen-orientaux et scandinaves restent parcellaires — ce point est traité spécifiquement en section 6.4.</w:t>
      </w:r>
    </w:p>
    <w:p>
      <w:pPr>
        <w:pStyle w:val="Heading1"/>
        <w:spacing w:after="240" w:before="480"/>
      </w:pPr>
      <w:r>
        <w:t xml:space="preserve">3. Panorama du marché</w:t>
      </w:r>
    </w:p>
    <w:p>
      <w:pPr>
        <w:pStyle w:val="Heading2"/>
        <w:spacing w:after="160" w:before="360"/>
      </w:pPr>
      <w:r>
        <w:t xml:space="preserve">3.1 Segmentation</w:t>
      </w:r>
    </w:p>
    <w:p>
      <w:pPr>
        <w:spacing w:after="0"/>
      </w:pPr>
    </w:p>
    <w:tbl>
      <w:tblPr>
        <w:tblW w:type="dxa" w:w="10600"/>
        <w:tblBorders>
          <w:top w:val="single" w:color="D8D3C8" w:sz="2"/>
          <w:left w:val="single" w:color="D8D3C8" w:sz="2"/>
          <w:bottom w:val="single" w:color="D8D3C8" w:sz="2"/>
          <w:right w:val="single" w:color="D8D3C8" w:sz="2"/>
          <w:insideH w:val="single" w:color="D8D3C8" w:sz="2"/>
          <w:insideV w:val="single" w:color="D8D3C8" w:sz="2"/>
        </w:tblBorders>
      </w:tblPr>
      <w:tblGrid>
        <w:gridCol w:w="2400"/>
        <w:gridCol w:w="4600"/>
        <w:gridCol w:w="3600"/>
      </w:tblGrid>
      <w:tr>
        <w:trPr>
          <w:tblHeader/>
        </w:trPr>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Segment</w:t>
            </w:r>
          </w:p>
        </w:tc>
        <w:tc>
          <w:tcPr>
            <w:tcW w:type="dxa" w:w="46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Description</w:t>
            </w:r>
          </w:p>
        </w:tc>
        <w:tc>
          <w:tcPr>
            <w:tcW w:type="dxa" w:w="36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Acteurs clés</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Suites de gestion de cabinet (LPMS)</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Case management, facturation, intake, portail client — cœur du marché petits/moyens cabinets</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Clio, MyCase, PracticePanther, Smokeball, Rocket Matter, CosmoLex</w:t>
            </w:r>
          </w:p>
        </w:tc>
      </w:tr>
      <w:tr>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Plateformes cloud avancées / mid-market</w:t>
            </w:r>
          </w:p>
        </w:tc>
        <w:tc>
          <w:tcPr>
            <w:tcW w:type="dxa" w:w="4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Automatisation de workflow plus poussée, secteurs spécialisés (contentieux, personal injury)</w:t>
            </w:r>
          </w:p>
        </w:tc>
        <w:tc>
          <w:tcPr>
            <w:tcW w:type="dxa" w:w="3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Filevine, LEAP, Litify, Actionstep, CARET Legal</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Gestion documentaire d'entreprise (DMS)</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Gouvernance, murailles éthiques, conformité, gros volumes — grands cabinets</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iManage, NetDocuments, OpenText eDOCS, Worldox</w:t>
            </w:r>
          </w:p>
        </w:tc>
      </w:tr>
      <w:tr>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IA juridique agentique</w:t>
            </w:r>
          </w:p>
        </w:tc>
        <w:tc>
          <w:tcPr>
            <w:tcW w:type="dxa" w:w="4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Recherche, rédaction, revue de contrats, due diligence, agents personnalisés</w:t>
            </w:r>
          </w:p>
        </w:tc>
        <w:tc>
          <w:tcPr>
            <w:tcW w:type="dxa" w:w="3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Harvey AI, Thomson Reuters CoCounsel, Lexis+ avec Protégé, Spellbook, Legora</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Collaboration générique</w:t>
            </w:r>
          </w:p>
        </w:tc>
        <w:tc>
          <w:tcPr>
            <w:tcW w:type="dxa" w:w="4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Messagerie et visioconférence utilisées en complément, non spécialisées métier</w:t>
            </w:r>
          </w:p>
        </w:tc>
        <w:tc>
          <w:tcPr>
            <w:tcW w:type="dxa" w:w="3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Microsoft Teams, Slack</w:t>
            </w:r>
          </w:p>
        </w:tc>
      </w:tr>
    </w:tbl>
    <w:p>
      <w:pPr>
        <w:spacing w:after="200" w:before="40"/>
      </w:pPr>
      <w:r>
        <w:rPr>
          <w:rFonts w:ascii="Calibri" w:cs="Calibri" w:eastAsia="Calibri" w:hAnsi="Calibri"/>
          <w:i/>
          <w:iCs/>
          <w:color w:val="808080"/>
          <w:sz w:val="17"/>
          <w:szCs w:val="17"/>
        </w:rPr>
        <w:t xml:space="preserve">Sources : Software Advice, Capterra, GetApp, Lawyerist, LawNext, comparatifs éditeurs (2026).</w:t>
      </w:r>
    </w:p>
    <w:p>
      <w:pPr>
        <w:pStyle w:val="Heading2"/>
        <w:spacing w:after="160" w:before="360"/>
      </w:pPr>
      <w:r>
        <w:t xml:space="preserve">3.2 Répartition géographique observée</w:t>
      </w:r>
    </w:p>
    <w:p>
      <w:pPr>
        <w:pStyle w:val="ListParagraph"/>
        <w:numPr>
          <w:ilvl w:val="0"/>
          <w:numId w:val="1"/>
        </w:numPr>
        <w:spacing w:after="90" w:line="264"/>
      </w:pPr>
      <w:r>
        <w:rPr>
          <w:rFonts w:ascii="Calibri" w:cs="Calibri" w:eastAsia="Calibri" w:hAnsi="Calibri"/>
          <w:b/>
          <w:bCs/>
          <w:sz w:val="21"/>
          <w:szCs w:val="21"/>
        </w:rPr>
        <w:t xml:space="preserve">États-Unis / Canada — </w:t>
      </w:r>
      <w:r>
        <w:rPr>
          <w:rFonts w:ascii="Calibri" w:cs="Calibri" w:eastAsia="Calibri" w:hAnsi="Calibri"/>
          <w:sz w:val="21"/>
          <w:szCs w:val="21"/>
        </w:rPr>
        <w:t xml:space="preserve">marché le plus mature et documenté ; Clio (Vancouver), MyCase, Filevine (Utah), Litify, LEAP (origine australienne mais forte présence US) y dominent.</w:t>
      </w:r>
    </w:p>
    <w:p>
      <w:pPr>
        <w:pStyle w:val="ListParagraph"/>
        <w:numPr>
          <w:ilvl w:val="0"/>
          <w:numId w:val="1"/>
        </w:numPr>
        <w:spacing w:after="90" w:line="264"/>
      </w:pPr>
      <w:r>
        <w:rPr>
          <w:rFonts w:ascii="Calibri" w:cs="Calibri" w:eastAsia="Calibri" w:hAnsi="Calibri"/>
          <w:b/>
          <w:bCs/>
          <w:sz w:val="21"/>
          <w:szCs w:val="21"/>
        </w:rPr>
        <w:t xml:space="preserve">Royaume-Uni — </w:t>
      </w:r>
      <w:r>
        <w:rPr>
          <w:rFonts w:ascii="Calibri" w:cs="Calibri" w:eastAsia="Calibri" w:hAnsi="Calibri"/>
          <w:sz w:val="21"/>
          <w:szCs w:val="21"/>
        </w:rPr>
        <w:t xml:space="preserve">forte adoption des DMS d'entreprise (iManage, NetDocuments) chez les cabinets soumis à la supervision de la SRA ; exigences d'audit et de résidence des données strictes depuis les lignes directrices de janvier 2026.</w:t>
      </w:r>
    </w:p>
    <w:p>
      <w:pPr>
        <w:pStyle w:val="ListParagraph"/>
        <w:numPr>
          <w:ilvl w:val="0"/>
          <w:numId w:val="1"/>
        </w:numPr>
        <w:spacing w:after="90" w:line="264"/>
      </w:pPr>
      <w:r>
        <w:rPr>
          <w:rFonts w:ascii="Calibri" w:cs="Calibri" w:eastAsia="Calibri" w:hAnsi="Calibri"/>
          <w:b/>
          <w:bCs/>
          <w:sz w:val="21"/>
          <w:szCs w:val="21"/>
        </w:rPr>
        <w:t xml:space="preserve">Australie — </w:t>
      </w:r>
      <w:r>
        <w:rPr>
          <w:rFonts w:ascii="Calibri" w:cs="Calibri" w:eastAsia="Calibri" w:hAnsi="Calibri"/>
          <w:sz w:val="21"/>
          <w:szCs w:val="21"/>
        </w:rPr>
        <w:t xml:space="preserve">LEAP et Smokeball y sont nés et restent très implantés, avec une approche "tout compris" orientée petits cabinets.</w:t>
      </w:r>
    </w:p>
    <w:p>
      <w:pPr>
        <w:pStyle w:val="ListParagraph"/>
        <w:numPr>
          <w:ilvl w:val="0"/>
          <w:numId w:val="1"/>
        </w:numPr>
        <w:spacing w:after="90" w:line="264"/>
      </w:pPr>
      <w:r>
        <w:rPr>
          <w:rFonts w:ascii="Calibri" w:cs="Calibri" w:eastAsia="Calibri" w:hAnsi="Calibri"/>
          <w:b/>
          <w:bCs/>
          <w:sz w:val="21"/>
          <w:szCs w:val="21"/>
        </w:rPr>
        <w:t xml:space="preserve">Europe continentale — </w:t>
      </w:r>
      <w:r>
        <w:rPr>
          <w:rFonts w:ascii="Calibri" w:cs="Calibri" w:eastAsia="Calibri" w:hAnsi="Calibri"/>
          <w:sz w:val="21"/>
          <w:szCs w:val="21"/>
        </w:rPr>
        <w:t xml:space="preserve">Legora (europe, ex-Leya) s'impose comme alternative européenne à Harvey pour la recherche et la rédaction multi-juridictionnelle ; les suites généralistes américaines pénètrent plus lentement en raison des exigences RGPD et des barrières linguistiques.</w:t>
      </w:r>
    </w:p>
    <w:p>
      <w:pPr>
        <w:pStyle w:val="ListParagraph"/>
        <w:numPr>
          <w:ilvl w:val="0"/>
          <w:numId w:val="1"/>
        </w:numPr>
        <w:spacing w:after="90" w:line="264"/>
      </w:pPr>
      <w:r>
        <w:rPr>
          <w:rFonts w:ascii="Calibri" w:cs="Calibri" w:eastAsia="Calibri" w:hAnsi="Calibri"/>
          <w:b/>
          <w:bCs/>
          <w:sz w:val="21"/>
          <w:szCs w:val="21"/>
        </w:rPr>
        <w:t xml:space="preserve">Afrique / Moyen-Orient — </w:t>
      </w:r>
      <w:r>
        <w:rPr>
          <w:rFonts w:ascii="Calibri" w:cs="Calibri" w:eastAsia="Calibri" w:hAnsi="Calibri"/>
          <w:sz w:val="21"/>
          <w:szCs w:val="21"/>
        </w:rPr>
        <w:t xml:space="preserve">peu de solutions dédiées identifiées dans la littérature ; les cabinets s'appuient largement sur des suites génériques (Microsoft 365, Google Workspace) complétées par des outils de facturation locaux, ou adoptent des LPMS internationaux (souvent Clio ou des équivalents low-cost) faute d'offre locale mature — c'est un vide de marché réel pour un produit pensé pour le contexte sénégalais.</w:t>
      </w:r>
    </w:p>
    <w:p>
      <w:pPr>
        <w:pStyle w:val="Heading1"/>
        <w:spacing w:after="240" w:before="480"/>
      </w:pPr>
      <w:r>
        <w:t xml:space="preserve">4. Fiches produits</w:t>
      </w:r>
    </w:p>
    <w:p>
      <w:pPr>
        <w:spacing w:after="160" w:line="276"/>
      </w:pPr>
      <w:r>
        <w:rPr>
          <w:rFonts w:ascii="Calibri" w:cs="Calibri" w:eastAsia="Calibri" w:hAnsi="Calibri"/>
          <w:sz w:val="21"/>
          <w:szCs w:val="21"/>
        </w:rPr>
        <w:t xml:space="preserve">Chaque fiche suit la même grille : présentation, fonctionnalités clés, décomposition produit, et éléments UX/UI documentés. Les prix mentionnés évoluent constamment ; ils sont indicatifs (données 2026).</w:t>
      </w:r>
    </w:p>
    <w:p>
      <w:pPr>
        <w:pStyle w:val="Heading2"/>
        <w:spacing w:after="160" w:before="360"/>
      </w:pPr>
      <w:r>
        <w:t xml:space="preserve">4.1 Clio (Themis Solutions) — États-Unis/Canada</w:t>
      </w:r>
    </w:p>
    <w:p>
      <w:pPr>
        <w:pStyle w:val="ListParagraph"/>
        <w:numPr>
          <w:ilvl w:val="0"/>
          <w:numId w:val="1"/>
        </w:numPr>
        <w:spacing w:after="90" w:line="264"/>
      </w:pPr>
      <w:r>
        <w:rPr>
          <w:rFonts w:ascii="Calibri" w:cs="Calibri" w:eastAsia="Calibri" w:hAnsi="Calibri"/>
          <w:b/>
          <w:bCs/>
          <w:sz w:val="21"/>
          <w:szCs w:val="21"/>
        </w:rPr>
        <w:t xml:space="preserve">Présentation — </w:t>
      </w:r>
      <w:r>
        <w:rPr>
          <w:rFonts w:ascii="Calibri" w:cs="Calibri" w:eastAsia="Calibri" w:hAnsi="Calibri"/>
          <w:sz w:val="21"/>
          <w:szCs w:val="21"/>
        </w:rPr>
        <w:t xml:space="preserve">fondé en 2007 à Vancouver, Clio se positionne comme le leader mondial du LPMS cloud, revendiquant la plus large base installée. Valorisé 5 Md$ après un tour Série G de 500 M$ et le rachat du moteur de recherche juridique vLex pour 1 Md$ (novembre 2025).</w:t>
      </w:r>
    </w:p>
    <w:p>
      <w:pPr>
        <w:pStyle w:val="ListParagraph"/>
        <w:numPr>
          <w:ilvl w:val="0"/>
          <w:numId w:val="1"/>
        </w:numPr>
        <w:spacing w:after="90" w:line="264"/>
      </w:pPr>
      <w:r>
        <w:rPr>
          <w:rFonts w:ascii="Calibri" w:cs="Calibri" w:eastAsia="Calibri" w:hAnsi="Calibri"/>
          <w:b/>
          <w:bCs/>
          <w:sz w:val="21"/>
          <w:szCs w:val="21"/>
        </w:rPr>
        <w:t xml:space="preserve">Architecture produit — </w:t>
      </w:r>
      <w:r>
        <w:rPr>
          <w:rFonts w:ascii="Calibri" w:cs="Calibri" w:eastAsia="Calibri" w:hAnsi="Calibri"/>
          <w:sz w:val="21"/>
          <w:szCs w:val="21"/>
        </w:rPr>
        <w:t xml:space="preserve">trois briques : Clio Manage (gestion de cabinet), Clio Grow (CRM/intake) et Clio Accounting, plus depuis 2026 Clio Work, un espace de travail IA autonome (recherche, rédaction, stratégie) vendu séparément à 199 $/utilisateur/mois, désormais accessible sans abonnement à Clio Manage.</w:t>
      </w:r>
    </w:p>
    <w:p>
      <w:pPr>
        <w:pStyle w:val="ListParagraph"/>
        <w:numPr>
          <w:ilvl w:val="0"/>
          <w:numId w:val="1"/>
        </w:numPr>
        <w:spacing w:after="90" w:line="264"/>
      </w:pPr>
      <w:r>
        <w:rPr>
          <w:rFonts w:ascii="Calibri" w:cs="Calibri" w:eastAsia="Calibri" w:hAnsi="Calibri"/>
          <w:b/>
          <w:bCs/>
          <w:sz w:val="21"/>
          <w:szCs w:val="21"/>
        </w:rPr>
        <w:t xml:space="preserve">Fonctionnalités indispensables — </w:t>
      </w:r>
      <w:r>
        <w:rPr>
          <w:rFonts w:ascii="Calibri" w:cs="Calibri" w:eastAsia="Calibri" w:hAnsi="Calibri"/>
          <w:sz w:val="21"/>
          <w:szCs w:val="21"/>
        </w:rPr>
        <w:t xml:space="preserve">gestion de dossiers en vues Kanban par étape, facturation et comptabilité fiduciaire, portail client, automatisation documentaire, e-filing (« Clio File »), plus de 250 intégrations et une API ouverte.</w:t>
      </w:r>
    </w:p>
    <w:p>
      <w:pPr>
        <w:pStyle w:val="ListParagraph"/>
        <w:numPr>
          <w:ilvl w:val="0"/>
          <w:numId w:val="1"/>
        </w:numPr>
        <w:spacing w:after="90" w:line="264"/>
      </w:pPr>
      <w:r>
        <w:rPr>
          <w:rFonts w:ascii="Calibri" w:cs="Calibri" w:eastAsia="Calibri" w:hAnsi="Calibri"/>
          <w:b/>
          <w:bCs/>
          <w:sz w:val="21"/>
          <w:szCs w:val="21"/>
        </w:rPr>
        <w:t xml:space="preserve">IA — </w:t>
      </w:r>
      <w:r>
        <w:rPr>
          <w:rFonts w:ascii="Calibri" w:cs="Calibri" w:eastAsia="Calibri" w:hAnsi="Calibri"/>
          <w:sz w:val="21"/>
          <w:szCs w:val="21"/>
        </w:rPr>
        <w:t xml:space="preserve">Clio Duo / Manage AI résume les documents et répond en langage naturel sur les dossiers ; Clio Work s'appuie sur le corpus vLex (110+ juridictions) pour la recherche et la rédaction, avec des capacités « agentiques » multi-étapes lancées en 2026.</w:t>
      </w:r>
    </w:p>
    <w:p>
      <w:pPr>
        <w:pStyle w:val="ListParagraph"/>
        <w:numPr>
          <w:ilvl w:val="0"/>
          <w:numId w:val="1"/>
        </w:numPr>
        <w:spacing w:after="90" w:line="264"/>
      </w:pPr>
      <w:r>
        <w:rPr>
          <w:rFonts w:ascii="Calibri" w:cs="Calibri" w:eastAsia="Calibri" w:hAnsi="Calibri"/>
          <w:b/>
          <w:bCs/>
          <w:sz w:val="21"/>
          <w:szCs w:val="21"/>
        </w:rPr>
        <w:t xml:space="preserve">UX/UI observée — </w:t>
      </w:r>
      <w:r>
        <w:rPr>
          <w:rFonts w:ascii="Calibri" w:cs="Calibri" w:eastAsia="Calibri" w:hAnsi="Calibri"/>
          <w:sz w:val="21"/>
          <w:szCs w:val="21"/>
        </w:rPr>
        <w:t xml:space="preserve">tableau de bord centralisant échéances, finances et messages ; interface saluée pour son ergonomie mais critiquée pour la richesse croissante des menus (courbe d'apprentissage) et des temps de chargement parfois lents signalés par les utilisateurs.</w:t>
      </w:r>
    </w:p>
    <w:p>
      <w:pPr>
        <w:pStyle w:val="ListParagraph"/>
        <w:numPr>
          <w:ilvl w:val="0"/>
          <w:numId w:val="1"/>
        </w:numPr>
        <w:spacing w:after="90" w:line="264"/>
      </w:pPr>
      <w:r>
        <w:rPr>
          <w:rFonts w:ascii="Calibri" w:cs="Calibri" w:eastAsia="Calibri" w:hAnsi="Calibri"/>
          <w:b/>
          <w:bCs/>
          <w:sz w:val="21"/>
          <w:szCs w:val="21"/>
        </w:rPr>
        <w:t xml:space="preserve">Limites relevées par les utilisateurs — </w:t>
      </w:r>
      <w:r>
        <w:rPr>
          <w:rFonts w:ascii="Calibri" w:cs="Calibri" w:eastAsia="Calibri" w:hAnsi="Calibri"/>
          <w:sz w:val="21"/>
          <w:szCs w:val="21"/>
        </w:rPr>
        <w:t xml:space="preserve">coût élevé à l'échelle (add-ons facturés séparément), complexité de personnalisation des rapports avancés, dépendance à un large écosystème d'intégrations tierces payantes.</w:t>
      </w:r>
    </w:p>
    <w:p>
      <w:pPr>
        <w:spacing w:after="200" w:before="40"/>
      </w:pPr>
      <w:r>
        <w:rPr>
          <w:rFonts w:ascii="Calibri" w:cs="Calibri" w:eastAsia="Calibri" w:hAnsi="Calibri"/>
          <w:i/>
          <w:iCs/>
          <w:color w:val="808080"/>
          <w:sz w:val="17"/>
          <w:szCs w:val="17"/>
        </w:rPr>
        <w:t xml:space="preserve">Sources : clio.com, Lawyerist (lawyerist.com/reviews), LawNext (lawnext.com), SelectHub, Software Advice, GetApp, Research.com — 2026.</w:t>
      </w:r>
    </w:p>
    <w:p>
      <w:pPr>
        <w:pStyle w:val="Heading2"/>
        <w:spacing w:after="160" w:before="360"/>
      </w:pPr>
      <w:r>
        <w:t xml:space="preserve">4.2 MyCase (8am / Basecamp Software) — États-Unis</w:t>
      </w:r>
    </w:p>
    <w:p>
      <w:pPr>
        <w:pStyle w:val="ListParagraph"/>
        <w:numPr>
          <w:ilvl w:val="0"/>
          <w:numId w:val="1"/>
        </w:numPr>
        <w:spacing w:after="90" w:line="264"/>
      </w:pPr>
      <w:r>
        <w:rPr>
          <w:rFonts w:ascii="Calibri" w:cs="Calibri" w:eastAsia="Calibri" w:hAnsi="Calibri"/>
          <w:b/>
          <w:bCs/>
          <w:sz w:val="21"/>
          <w:szCs w:val="21"/>
        </w:rPr>
        <w:t xml:space="preserve">Présentation — </w:t>
      </w:r>
      <w:r>
        <w:rPr>
          <w:rFonts w:ascii="Calibri" w:cs="Calibri" w:eastAsia="Calibri" w:hAnsi="Calibri"/>
          <w:sz w:val="21"/>
          <w:szCs w:val="21"/>
        </w:rPr>
        <w:t xml:space="preserve">fondé en 2010, plus de 500 000 utilisateurs revendiqués, positionné comme l'alternative abordable à Clio (souvent la moitié du prix) pour petits/moyens cabinets — plans dès 39-49 $/utilisateur/mois.</w:t>
      </w:r>
    </w:p>
    <w:p>
      <w:pPr>
        <w:pStyle w:val="ListParagraph"/>
        <w:numPr>
          <w:ilvl w:val="0"/>
          <w:numId w:val="1"/>
        </w:numPr>
        <w:spacing w:after="90" w:line="264"/>
      </w:pPr>
      <w:r>
        <w:rPr>
          <w:rFonts w:ascii="Calibri" w:cs="Calibri" w:eastAsia="Calibri" w:hAnsi="Calibri"/>
          <w:b/>
          <w:bCs/>
          <w:sz w:val="21"/>
          <w:szCs w:val="21"/>
        </w:rPr>
        <w:t xml:space="preserve">Fonctionnalités — </w:t>
      </w:r>
      <w:r>
        <w:rPr>
          <w:rFonts w:ascii="Calibri" w:cs="Calibri" w:eastAsia="Calibri" w:hAnsi="Calibri"/>
          <w:sz w:val="21"/>
          <w:szCs w:val="21"/>
        </w:rPr>
        <w:t xml:space="preserve">gestion de dossiers, portail client sécurisé avec messagerie et signature électronique intégrée, facturation/LawPay, comptabilité fiduciaire de base, CRM d'intake, workflows automatisés déclenchés par événements.</w:t>
      </w:r>
    </w:p>
    <w:p>
      <w:pPr>
        <w:pStyle w:val="ListParagraph"/>
        <w:numPr>
          <w:ilvl w:val="0"/>
          <w:numId w:val="1"/>
        </w:numPr>
        <w:spacing w:after="90" w:line="264"/>
      </w:pPr>
      <w:r>
        <w:rPr>
          <w:rFonts w:ascii="Calibri" w:cs="Calibri" w:eastAsia="Calibri" w:hAnsi="Calibri"/>
          <w:b/>
          <w:bCs/>
          <w:sz w:val="21"/>
          <w:szCs w:val="21"/>
        </w:rPr>
        <w:t xml:space="preserve">IA (MyCase IQ) — </w:t>
      </w:r>
      <w:r>
        <w:rPr>
          <w:rFonts w:ascii="Calibri" w:cs="Calibri" w:eastAsia="Calibri" w:hAnsi="Calibri"/>
          <w:sz w:val="21"/>
          <w:szCs w:val="21"/>
        </w:rPr>
        <w:t xml:space="preserve">résumés de documents en un clic, assistance à la rédaction de notes/messages/factures, traduction intégrée anglais/espagnol/arabe — présentée explicitement comme du « GenAI responsable ».</w:t>
      </w:r>
    </w:p>
    <w:p>
      <w:pPr>
        <w:pStyle w:val="ListParagraph"/>
        <w:numPr>
          <w:ilvl w:val="0"/>
          <w:numId w:val="1"/>
        </w:numPr>
        <w:spacing w:after="90" w:line="264"/>
      </w:pPr>
      <w:r>
        <w:rPr>
          <w:rFonts w:ascii="Calibri" w:cs="Calibri" w:eastAsia="Calibri" w:hAnsi="Calibri"/>
          <w:b/>
          <w:bCs/>
          <w:sz w:val="21"/>
          <w:szCs w:val="21"/>
        </w:rPr>
        <w:t xml:space="preserve">UX/UI observée — </w:t>
      </w:r>
      <w:r>
        <w:rPr>
          <w:rFonts w:ascii="Calibri" w:cs="Calibri" w:eastAsia="Calibri" w:hAnsi="Calibri"/>
          <w:sz w:val="21"/>
          <w:szCs w:val="21"/>
        </w:rPr>
        <w:t xml:space="preserve">tableau de bord d'activité personnalisable regroupant dossiers, tâches et finances ; interface jugée intuitive par la majorité des avis, avec une réserve récurrente sur la personnalisation limitée des vues et sur la gestion documentaire (limite de taille de fichier, recherche jugée perfectible par une partie des utilisateurs).</w:t>
      </w:r>
    </w:p>
    <w:p>
      <w:pPr>
        <w:pStyle w:val="ListParagraph"/>
        <w:numPr>
          <w:ilvl w:val="0"/>
          <w:numId w:val="1"/>
        </w:numPr>
        <w:spacing w:after="90" w:line="264"/>
      </w:pPr>
      <w:r>
        <w:rPr>
          <w:rFonts w:ascii="Calibri" w:cs="Calibri" w:eastAsia="Calibri" w:hAnsi="Calibri"/>
          <w:b/>
          <w:bCs/>
          <w:sz w:val="21"/>
          <w:szCs w:val="21"/>
        </w:rPr>
        <w:t xml:space="preserve">Positionnement différenciant — </w:t>
      </w:r>
      <w:r>
        <w:rPr>
          <w:rFonts w:ascii="Calibri" w:cs="Calibri" w:eastAsia="Calibri" w:hAnsi="Calibri"/>
          <w:sz w:val="21"/>
          <w:szCs w:val="21"/>
        </w:rPr>
        <w:t xml:space="preserve">rapport prix/fonctionnalités jugé excellent par la presse spécialisée ; en retrait sur le reporting avancé et les intégrations tierces comparé à Clio.</w:t>
      </w:r>
    </w:p>
    <w:p>
      <w:pPr>
        <w:spacing w:after="200" w:before="40"/>
      </w:pPr>
      <w:r>
        <w:rPr>
          <w:rFonts w:ascii="Calibri" w:cs="Calibri" w:eastAsia="Calibri" w:hAnsi="Calibri"/>
          <w:i/>
          <w:iCs/>
          <w:color w:val="808080"/>
          <w:sz w:val="17"/>
          <w:szCs w:val="17"/>
        </w:rPr>
        <w:t xml:space="preserve">Sources : mycase.com, Lawyerist, Capterra, Research.com, SoftwareFinder, GetApp, SelectHub — 2026.</w:t>
      </w:r>
    </w:p>
    <w:p>
      <w:pPr>
        <w:pStyle w:val="Heading2"/>
        <w:spacing w:after="160" w:before="360"/>
      </w:pPr>
      <w:r>
        <w:t xml:space="preserve">4.3 Filevine — États-Unis (Provo, Utah)</w:t>
      </w:r>
    </w:p>
    <w:p>
      <w:pPr>
        <w:pStyle w:val="ListParagraph"/>
        <w:numPr>
          <w:ilvl w:val="0"/>
          <w:numId w:val="1"/>
        </w:numPr>
        <w:spacing w:after="90" w:line="264"/>
      </w:pPr>
      <w:r>
        <w:rPr>
          <w:rFonts w:ascii="Calibri" w:cs="Calibri" w:eastAsia="Calibri" w:hAnsi="Calibri"/>
          <w:b/>
          <w:bCs/>
          <w:sz w:val="21"/>
          <w:szCs w:val="21"/>
        </w:rPr>
        <w:t xml:space="preserve">Présentation — </w:t>
      </w:r>
      <w:r>
        <w:rPr>
          <w:rFonts w:ascii="Calibri" w:cs="Calibri" w:eastAsia="Calibri" w:hAnsi="Calibri"/>
          <w:sz w:val="21"/>
          <w:szCs w:val="21"/>
        </w:rPr>
        <w:t xml:space="preserve">fondé en 2011, positionné mid-market à enterprise, très présent en contentieux et personal injury ; pricing non public (à partir de ~49 $/utilisateur/mois selon les comparateurs, mais devis systématique).</w:t>
      </w:r>
    </w:p>
    <w:p>
      <w:pPr>
        <w:pStyle w:val="ListParagraph"/>
        <w:numPr>
          <w:ilvl w:val="0"/>
          <w:numId w:val="1"/>
        </w:numPr>
        <w:spacing w:after="90" w:line="264"/>
      </w:pPr>
      <w:r>
        <w:rPr>
          <w:rFonts w:ascii="Calibri" w:cs="Calibri" w:eastAsia="Calibri" w:hAnsi="Calibri"/>
          <w:b/>
          <w:bCs/>
          <w:sz w:val="21"/>
          <w:szCs w:val="21"/>
        </w:rPr>
        <w:t xml:space="preserve">Fonctionnalités — </w:t>
      </w:r>
      <w:r>
        <w:rPr>
          <w:rFonts w:ascii="Calibri" w:cs="Calibri" w:eastAsia="Calibri" w:hAnsi="Calibri"/>
          <w:sz w:val="21"/>
          <w:szCs w:val="21"/>
        </w:rPr>
        <w:t xml:space="preserve">gestion de dossiers configurable, automatisation de tâches et de délais, stockage documentaire illimité avec filtrage avancé, messagerie interne unifiée (notes, tâches, commentaires dans un seul flux), reporting avancé.</w:t>
      </w:r>
    </w:p>
    <w:p>
      <w:pPr>
        <w:pStyle w:val="ListParagraph"/>
        <w:numPr>
          <w:ilvl w:val="0"/>
          <w:numId w:val="1"/>
        </w:numPr>
        <w:spacing w:after="90" w:line="264"/>
      </w:pPr>
      <w:r>
        <w:rPr>
          <w:rFonts w:ascii="Calibri" w:cs="Calibri" w:eastAsia="Calibri" w:hAnsi="Calibri"/>
          <w:b/>
          <w:bCs/>
          <w:sz w:val="21"/>
          <w:szCs w:val="21"/>
        </w:rPr>
        <w:t xml:space="preserve">IA — </w:t>
      </w:r>
      <w:r>
        <w:rPr>
          <w:rFonts w:ascii="Calibri" w:cs="Calibri" w:eastAsia="Calibri" w:hAnsi="Calibri"/>
          <w:sz w:val="21"/>
          <w:szCs w:val="21"/>
        </w:rPr>
        <w:t xml:space="preserve">LOIS AI, présentée comme sécurisée et personnalisée aux besoins du dossier, avec détection d'incohérences dans les documents.</w:t>
      </w:r>
    </w:p>
    <w:p>
      <w:pPr>
        <w:pStyle w:val="ListParagraph"/>
        <w:numPr>
          <w:ilvl w:val="0"/>
          <w:numId w:val="1"/>
        </w:numPr>
        <w:spacing w:after="90" w:line="264"/>
      </w:pPr>
      <w:r>
        <w:rPr>
          <w:rFonts w:ascii="Calibri" w:cs="Calibri" w:eastAsia="Calibri" w:hAnsi="Calibri"/>
          <w:b/>
          <w:bCs/>
          <w:sz w:val="21"/>
          <w:szCs w:val="21"/>
        </w:rPr>
        <w:t xml:space="preserve">UX/UI — </w:t>
      </w:r>
      <w:r>
        <w:rPr>
          <w:rFonts w:ascii="Calibri" w:cs="Calibri" w:eastAsia="Calibri" w:hAnsi="Calibri"/>
          <w:sz w:val="21"/>
          <w:szCs w:val="21"/>
        </w:rPr>
        <w:t xml:space="preserve">expérience saluée pour l'unification conversation/tâches/notes dans un flux unique par dossier ; support client très personnalisé mis en avant dans les témoignages.</w:t>
      </w:r>
    </w:p>
    <w:p>
      <w:pPr>
        <w:spacing w:after="200" w:before="40"/>
      </w:pPr>
      <w:r>
        <w:rPr>
          <w:rFonts w:ascii="Calibri" w:cs="Calibri" w:eastAsia="Calibri" w:hAnsi="Calibri"/>
          <w:i/>
          <w:iCs/>
          <w:color w:val="808080"/>
          <w:sz w:val="17"/>
          <w:szCs w:val="17"/>
        </w:rPr>
        <w:t xml:space="preserve">Sources : Capterra, ITQlick, Software Advice, SoftwareWorld — 2026.</w:t>
      </w:r>
    </w:p>
    <w:p>
      <w:pPr>
        <w:pStyle w:val="Heading2"/>
        <w:spacing w:after="160" w:before="360"/>
      </w:pPr>
      <w:r>
        <w:t xml:space="preserve">4.4 Smokeball — Australie/États-Unis/Royaume-Uni</w:t>
      </w:r>
    </w:p>
    <w:p>
      <w:pPr>
        <w:pStyle w:val="ListParagraph"/>
        <w:numPr>
          <w:ilvl w:val="0"/>
          <w:numId w:val="1"/>
        </w:numPr>
        <w:spacing w:after="90" w:line="264"/>
      </w:pPr>
      <w:r>
        <w:rPr>
          <w:rFonts w:ascii="Calibri" w:cs="Calibri" w:eastAsia="Calibri" w:hAnsi="Calibri"/>
          <w:b/>
          <w:bCs/>
          <w:sz w:val="21"/>
          <w:szCs w:val="21"/>
        </w:rPr>
        <w:t xml:space="preserve">Présentation — </w:t>
      </w:r>
      <w:r>
        <w:rPr>
          <w:rFonts w:ascii="Calibri" w:cs="Calibri" w:eastAsia="Calibri" w:hAnsi="Calibri"/>
          <w:sz w:val="21"/>
          <w:szCs w:val="21"/>
        </w:rPr>
        <w:t xml:space="preserve">fondé en 2012 à Sydney, hybride desktop/cloud, très implanté auprès des cabinets de 2 à 10 employés ; note utilisateur globale élevée (4,8/5 sur Software Advice).</w:t>
      </w:r>
    </w:p>
    <w:p>
      <w:pPr>
        <w:pStyle w:val="ListParagraph"/>
        <w:numPr>
          <w:ilvl w:val="0"/>
          <w:numId w:val="1"/>
        </w:numPr>
        <w:spacing w:after="90" w:line="264"/>
      </w:pPr>
      <w:r>
        <w:rPr>
          <w:rFonts w:ascii="Calibri" w:cs="Calibri" w:eastAsia="Calibri" w:hAnsi="Calibri"/>
          <w:b/>
          <w:bCs/>
          <w:sz w:val="21"/>
          <w:szCs w:val="21"/>
        </w:rPr>
        <w:t xml:space="preserve">Fonctionnalités — </w:t>
      </w:r>
      <w:r>
        <w:rPr>
          <w:rFonts w:ascii="Calibri" w:cs="Calibri" w:eastAsia="Calibri" w:hAnsi="Calibri"/>
          <w:sz w:val="21"/>
          <w:szCs w:val="21"/>
        </w:rPr>
        <w:t xml:space="preserve">suivi automatique du temps (y compris dans les applications Microsoft), bibliothèque de formulaires juridiques pré-remplis, intégration Office profonde, facturation et comptabilité fiduciaire.</w:t>
      </w:r>
    </w:p>
    <w:p>
      <w:pPr>
        <w:pStyle w:val="ListParagraph"/>
        <w:numPr>
          <w:ilvl w:val="0"/>
          <w:numId w:val="1"/>
        </w:numPr>
        <w:spacing w:after="90" w:line="264"/>
      </w:pPr>
      <w:r>
        <w:rPr>
          <w:rFonts w:ascii="Calibri" w:cs="Calibri" w:eastAsia="Calibri" w:hAnsi="Calibri"/>
          <w:b/>
          <w:bCs/>
          <w:sz w:val="21"/>
          <w:szCs w:val="21"/>
        </w:rPr>
        <w:t xml:space="preserve">Limites — </w:t>
      </w:r>
      <w:r>
        <w:rPr>
          <w:rFonts w:ascii="Calibri" w:cs="Calibri" w:eastAsia="Calibri" w:hAnsi="Calibri"/>
          <w:sz w:val="21"/>
          <w:szCs w:val="21"/>
        </w:rPr>
        <w:t xml:space="preserve">modèle hybride desktop qui limite certains bénéfices du tout-cloud, incompatibilité Mac native, signature électronique dépendant d'un tiers payant.</w:t>
      </w:r>
    </w:p>
    <w:p>
      <w:pPr>
        <w:spacing w:after="200" w:before="40"/>
      </w:pPr>
      <w:r>
        <w:rPr>
          <w:rFonts w:ascii="Calibri" w:cs="Calibri" w:eastAsia="Calibri" w:hAnsi="Calibri"/>
          <w:i/>
          <w:iCs/>
          <w:color w:val="808080"/>
          <w:sz w:val="17"/>
          <w:szCs w:val="17"/>
        </w:rPr>
        <w:t xml:space="preserve">Sources : Software Advice, Capterra (Smokeball vs LEAP), FinancesOnline, PracticePanther blog — 2026.</w:t>
      </w:r>
    </w:p>
    <w:p>
      <w:pPr>
        <w:pStyle w:val="Heading2"/>
        <w:spacing w:after="160" w:before="360"/>
      </w:pPr>
      <w:r>
        <w:t xml:space="preserve">4.5 LEAP — Australie/Royaume-Uni/États-Unis</w:t>
      </w:r>
    </w:p>
    <w:p>
      <w:pPr>
        <w:pStyle w:val="ListParagraph"/>
        <w:numPr>
          <w:ilvl w:val="0"/>
          <w:numId w:val="1"/>
        </w:numPr>
        <w:spacing w:after="90" w:line="264"/>
      </w:pPr>
      <w:r>
        <w:rPr>
          <w:rFonts w:ascii="Calibri" w:cs="Calibri" w:eastAsia="Calibri" w:hAnsi="Calibri"/>
          <w:b/>
          <w:bCs/>
          <w:sz w:val="21"/>
          <w:szCs w:val="21"/>
        </w:rPr>
        <w:t xml:space="preserve">Présentation — </w:t>
      </w:r>
      <w:r>
        <w:rPr>
          <w:rFonts w:ascii="Calibri" w:cs="Calibri" w:eastAsia="Calibri" w:hAnsi="Calibri"/>
          <w:sz w:val="21"/>
          <w:szCs w:val="21"/>
        </w:rPr>
        <w:t xml:space="preserve">plateforme historiquement australienne, aujourd'hui internationale, avec une IA intégrée nommée « LawY » pour la rédaction et la recherche, incluse sans surcoût annoncé sur l'abonnement.</w:t>
      </w:r>
    </w:p>
    <w:p>
      <w:pPr>
        <w:pStyle w:val="ListParagraph"/>
        <w:numPr>
          <w:ilvl w:val="0"/>
          <w:numId w:val="1"/>
        </w:numPr>
        <w:spacing w:after="90" w:line="264"/>
      </w:pPr>
      <w:r>
        <w:rPr>
          <w:rFonts w:ascii="Calibri" w:cs="Calibri" w:eastAsia="Calibri" w:hAnsi="Calibri"/>
          <w:b/>
          <w:bCs/>
          <w:sz w:val="21"/>
          <w:szCs w:val="21"/>
        </w:rPr>
        <w:t xml:space="preserve">Fonctionnalités — </w:t>
      </w:r>
      <w:r>
        <w:rPr>
          <w:rFonts w:ascii="Calibri" w:cs="Calibri" w:eastAsia="Calibri" w:hAnsi="Calibri"/>
          <w:sz w:val="21"/>
          <w:szCs w:val="21"/>
        </w:rPr>
        <w:t xml:space="preserve">centralisation des informations de dossier dans un onglet unique, facturation personnalisable, gestion comptable intégrée, rapport de solde de dossier (« matter balance report ») jugé essentiel par les utilisateurs praticiens.</w:t>
      </w:r>
    </w:p>
    <w:p>
      <w:pPr>
        <w:pStyle w:val="ListParagraph"/>
        <w:numPr>
          <w:ilvl w:val="0"/>
          <w:numId w:val="1"/>
        </w:numPr>
        <w:spacing w:after="90" w:line="264"/>
      </w:pPr>
      <w:r>
        <w:rPr>
          <w:rFonts w:ascii="Calibri" w:cs="Calibri" w:eastAsia="Calibri" w:hAnsi="Calibri"/>
          <w:b/>
          <w:bCs/>
          <w:sz w:val="21"/>
          <w:szCs w:val="21"/>
        </w:rPr>
        <w:t xml:space="preserve">Limites — </w:t>
      </w:r>
      <w:r>
        <w:rPr>
          <w:rFonts w:ascii="Calibri" w:cs="Calibri" w:eastAsia="Calibri" w:hAnsi="Calibri"/>
          <w:sz w:val="21"/>
          <w:szCs w:val="21"/>
        </w:rPr>
        <w:t xml:space="preserve">interface jugée par certains utilisateurs plus rigide (« clunky »), nombre de types de dossiers pris en charge perçu comme limité pour certaines niches.</w:t>
      </w:r>
    </w:p>
    <w:p>
      <w:pPr>
        <w:spacing w:after="200" w:before="40"/>
      </w:pPr>
      <w:r>
        <w:rPr>
          <w:rFonts w:ascii="Calibri" w:cs="Calibri" w:eastAsia="Calibri" w:hAnsi="Calibri"/>
          <w:i/>
          <w:iCs/>
          <w:color w:val="808080"/>
          <w:sz w:val="17"/>
          <w:szCs w:val="17"/>
        </w:rPr>
        <w:t xml:space="preserve">Sources : Software Advice (LEAP vs Filevine), FinancesOnline, Capterra — 2026.</w:t>
      </w:r>
    </w:p>
    <w:p>
      <w:pPr>
        <w:pStyle w:val="Heading2"/>
        <w:spacing w:after="160" w:before="360"/>
      </w:pPr>
      <w:r>
        <w:t xml:space="preserve">4.6 PracticePanther, Actionstep, Litify — positionnement complémentaire</w:t>
      </w:r>
    </w:p>
    <w:p>
      <w:pPr>
        <w:pStyle w:val="ListParagraph"/>
        <w:numPr>
          <w:ilvl w:val="0"/>
          <w:numId w:val="1"/>
        </w:numPr>
        <w:spacing w:after="90" w:line="264"/>
      </w:pPr>
      <w:r>
        <w:rPr>
          <w:rFonts w:ascii="Calibri" w:cs="Calibri" w:eastAsia="Calibri" w:hAnsi="Calibri"/>
          <w:b/>
          <w:bCs/>
          <w:sz w:val="21"/>
          <w:szCs w:val="21"/>
        </w:rPr>
        <w:t xml:space="preserve">PracticePanther — </w:t>
      </w:r>
      <w:r>
        <w:rPr>
          <w:rFonts w:ascii="Calibri" w:cs="Calibri" w:eastAsia="Calibri" w:hAnsi="Calibri"/>
          <w:sz w:val="21"/>
          <w:szCs w:val="21"/>
        </w:rPr>
        <w:t xml:space="preserve">positionné comme solution accessible et simple pour petits cabinets et solos, forte pénétration citée par les comparatifs comme alternative directe à Clio et MyCase sur le critère prix/simplicité.</w:t>
      </w:r>
    </w:p>
    <w:p>
      <w:pPr>
        <w:pStyle w:val="ListParagraph"/>
        <w:numPr>
          <w:ilvl w:val="0"/>
          <w:numId w:val="1"/>
        </w:numPr>
        <w:spacing w:after="90" w:line="264"/>
      </w:pPr>
      <w:r>
        <w:rPr>
          <w:rFonts w:ascii="Calibri" w:cs="Calibri" w:eastAsia="Calibri" w:hAnsi="Calibri"/>
          <w:b/>
          <w:bCs/>
          <w:sz w:val="21"/>
          <w:szCs w:val="21"/>
        </w:rPr>
        <w:t xml:space="preserve">Actionstep — </w:t>
      </w:r>
      <w:r>
        <w:rPr>
          <w:rFonts w:ascii="Calibri" w:cs="Calibri" w:eastAsia="Calibri" w:hAnsi="Calibri"/>
          <w:sz w:val="21"/>
          <w:szCs w:val="21"/>
        </w:rPr>
        <w:t xml:space="preserve">plateforme cloud modulaire orientée workflow et automatisation de processus juridiques complexes, plus flexible dans la configuration des étapes de dossier, cible les cabinets souhaitant une personnalisation poussée sans développement sur-mesure.</w:t>
      </w:r>
    </w:p>
    <w:p>
      <w:pPr>
        <w:pStyle w:val="ListParagraph"/>
        <w:numPr>
          <w:ilvl w:val="0"/>
          <w:numId w:val="1"/>
        </w:numPr>
        <w:spacing w:after="90" w:line="264"/>
      </w:pPr>
      <w:r>
        <w:rPr>
          <w:rFonts w:ascii="Calibri" w:cs="Calibri" w:eastAsia="Calibri" w:hAnsi="Calibri"/>
          <w:b/>
          <w:bCs/>
          <w:sz w:val="21"/>
          <w:szCs w:val="21"/>
        </w:rPr>
        <w:t xml:space="preserve">Litify — </w:t>
      </w:r>
      <w:r>
        <w:rPr>
          <w:rFonts w:ascii="Calibri" w:cs="Calibri" w:eastAsia="Calibri" w:hAnsi="Calibri"/>
          <w:sz w:val="21"/>
          <w:szCs w:val="21"/>
        </w:rPr>
        <w:t xml:space="preserve">construit nativement sur Salesforce, positionné enterprise/legal ops pour cabinets et directions juridiques d'entreprise à fort volume, avec des capacités CRM et d'analytics héritées de la plateforme Salesforce.</w:t>
      </w:r>
    </w:p>
    <w:p>
      <w:pPr>
        <w:spacing w:after="200" w:before="40"/>
      </w:pPr>
      <w:r>
        <w:rPr>
          <w:rFonts w:ascii="Calibri" w:cs="Calibri" w:eastAsia="Calibri" w:hAnsi="Calibri"/>
          <w:i/>
          <w:iCs/>
          <w:color w:val="808080"/>
          <w:sz w:val="17"/>
          <w:szCs w:val="17"/>
        </w:rPr>
        <w:t xml:space="preserve">Sources : SoftwareWorld, comparatifs éditeurs, sites officiels — 2026.</w:t>
      </w:r>
    </w:p>
    <w:p>
      <w:pPr>
        <w:pStyle w:val="Heading2"/>
        <w:spacing w:after="160" w:before="360"/>
      </w:pPr>
      <w:r>
        <w:t xml:space="preserve">4.7 iManage — États-Unis (référence entreprise)</w:t>
      </w:r>
    </w:p>
    <w:p>
      <w:pPr>
        <w:pStyle w:val="ListParagraph"/>
        <w:numPr>
          <w:ilvl w:val="0"/>
          <w:numId w:val="1"/>
        </w:numPr>
        <w:spacing w:after="90" w:line="264"/>
      </w:pPr>
      <w:r>
        <w:rPr>
          <w:rFonts w:ascii="Calibri" w:cs="Calibri" w:eastAsia="Calibri" w:hAnsi="Calibri"/>
          <w:b/>
          <w:bCs/>
          <w:sz w:val="21"/>
          <w:szCs w:val="21"/>
        </w:rPr>
        <w:t xml:space="preserve">Présentation — </w:t>
      </w:r>
      <w:r>
        <w:rPr>
          <w:rFonts w:ascii="Calibri" w:cs="Calibri" w:eastAsia="Calibri" w:hAnsi="Calibri"/>
          <w:sz w:val="21"/>
          <w:szCs w:val="21"/>
        </w:rPr>
        <w:t xml:space="preserve">détient environ 60 % du marché documentaire des grands cabinets (« BigLaw ») selon plusieurs analyses sectorielles ; déploiement cloud, hybride ou sur site.</w:t>
      </w:r>
    </w:p>
    <w:p>
      <w:pPr>
        <w:pStyle w:val="ListParagraph"/>
        <w:numPr>
          <w:ilvl w:val="0"/>
          <w:numId w:val="1"/>
        </w:numPr>
        <w:spacing w:after="90" w:line="264"/>
      </w:pPr>
      <w:r>
        <w:rPr>
          <w:rFonts w:ascii="Calibri" w:cs="Calibri" w:eastAsia="Calibri" w:hAnsi="Calibri"/>
          <w:b/>
          <w:bCs/>
          <w:sz w:val="21"/>
          <w:szCs w:val="21"/>
        </w:rPr>
        <w:t xml:space="preserve">Fonctionnalités — </w:t>
      </w:r>
      <w:r>
        <w:rPr>
          <w:rFonts w:ascii="Calibri" w:cs="Calibri" w:eastAsia="Calibri" w:hAnsi="Calibri"/>
          <w:sz w:val="21"/>
          <w:szCs w:val="21"/>
        </w:rPr>
        <w:t xml:space="preserve">murailles éthiques (ethical walls) très granulaires, moteur IA RAVN pour classification et recherche, gestion des emails liée aux dossiers, gouvernance et conformité poussées (records management).</w:t>
      </w:r>
    </w:p>
    <w:p>
      <w:pPr>
        <w:pStyle w:val="ListParagraph"/>
        <w:numPr>
          <w:ilvl w:val="0"/>
          <w:numId w:val="1"/>
        </w:numPr>
        <w:spacing w:after="90" w:line="264"/>
      </w:pPr>
      <w:r>
        <w:rPr>
          <w:rFonts w:ascii="Calibri" w:cs="Calibri" w:eastAsia="Calibri" w:hAnsi="Calibri"/>
          <w:b/>
          <w:bCs/>
          <w:sz w:val="21"/>
          <w:szCs w:val="21"/>
        </w:rPr>
        <w:t xml:space="preserve">UX/UI — </w:t>
      </w:r>
      <w:r>
        <w:rPr>
          <w:rFonts w:ascii="Calibri" w:cs="Calibri" w:eastAsia="Calibri" w:hAnsi="Calibri"/>
          <w:sz w:val="21"/>
          <w:szCs w:val="21"/>
        </w:rPr>
        <w:t xml:space="preserve">intégration profonde à Outlook/Word ; complexité d'administration et courbe d'apprentissage plus élevées que les alternatives cloud-natives, contrepartie assumée de la richesse fonctionnelle.</w:t>
      </w:r>
    </w:p>
    <w:p>
      <w:pPr>
        <w:spacing w:after="200" w:before="40"/>
      </w:pPr>
      <w:r>
        <w:rPr>
          <w:rFonts w:ascii="Calibri" w:cs="Calibri" w:eastAsia="Calibri" w:hAnsi="Calibri"/>
          <w:i/>
          <w:iCs/>
          <w:color w:val="808080"/>
          <w:sz w:val="17"/>
          <w:szCs w:val="17"/>
        </w:rPr>
        <w:t xml:space="preserve">Sources : imanage.com, Big Mode Consulting, Powell Software, Compare the Cloud, SuiteFiles, onthemap.com — 2026.</w:t>
      </w:r>
    </w:p>
    <w:p>
      <w:pPr>
        <w:pStyle w:val="Heading2"/>
        <w:spacing w:after="160" w:before="360"/>
      </w:pPr>
      <w:r>
        <w:t xml:space="preserve">4.8 NetDocuments — États-Unis (alternative cloud-native)</w:t>
      </w:r>
    </w:p>
    <w:p>
      <w:pPr>
        <w:pStyle w:val="ListParagraph"/>
        <w:numPr>
          <w:ilvl w:val="0"/>
          <w:numId w:val="1"/>
        </w:numPr>
        <w:spacing w:after="90" w:line="264"/>
      </w:pPr>
      <w:r>
        <w:rPr>
          <w:rFonts w:ascii="Calibri" w:cs="Calibri" w:eastAsia="Calibri" w:hAnsi="Calibri"/>
          <w:b/>
          <w:bCs/>
          <w:sz w:val="21"/>
          <w:szCs w:val="21"/>
        </w:rPr>
        <w:t xml:space="preserve">Présentation — </w:t>
      </w:r>
      <w:r>
        <w:rPr>
          <w:rFonts w:ascii="Calibri" w:cs="Calibri" w:eastAsia="Calibri" w:hAnsi="Calibri"/>
          <w:sz w:val="21"/>
          <w:szCs w:val="21"/>
        </w:rPr>
        <w:t xml:space="preserve">DMS 100 % cloud, souvent choisi par les cabinets petits à moyens ou ceux qui refusent la complexité d'infrastructure d'iManage.</w:t>
      </w:r>
    </w:p>
    <w:p>
      <w:pPr>
        <w:pStyle w:val="ListParagraph"/>
        <w:numPr>
          <w:ilvl w:val="0"/>
          <w:numId w:val="1"/>
        </w:numPr>
        <w:spacing w:after="90" w:line="264"/>
      </w:pPr>
      <w:r>
        <w:rPr>
          <w:rFonts w:ascii="Calibri" w:cs="Calibri" w:eastAsia="Calibri" w:hAnsi="Calibri"/>
          <w:b/>
          <w:bCs/>
          <w:sz w:val="21"/>
          <w:szCs w:val="21"/>
        </w:rPr>
        <w:t xml:space="preserve">Fonctionnalités — </w:t>
      </w:r>
      <w:r>
        <w:rPr>
          <w:rFonts w:ascii="Calibri" w:cs="Calibri" w:eastAsia="Calibri" w:hAnsi="Calibri"/>
          <w:sz w:val="21"/>
          <w:szCs w:val="21"/>
        </w:rPr>
        <w:t xml:space="preserve">PatternBuilder (IA de classification automatique des documents), édition concurrente, permissions de partage granulaires, chiffrement AES-256, conformité SOC 2.</w:t>
      </w:r>
    </w:p>
    <w:p>
      <w:pPr>
        <w:pStyle w:val="ListParagraph"/>
        <w:numPr>
          <w:ilvl w:val="0"/>
          <w:numId w:val="1"/>
        </w:numPr>
        <w:spacing w:after="90" w:line="264"/>
      </w:pPr>
      <w:r>
        <w:rPr>
          <w:rFonts w:ascii="Calibri" w:cs="Calibri" w:eastAsia="Calibri" w:hAnsi="Calibri"/>
          <w:b/>
          <w:bCs/>
          <w:sz w:val="21"/>
          <w:szCs w:val="21"/>
        </w:rPr>
        <w:t xml:space="preserve">Positionnement — </w:t>
      </w:r>
      <w:r>
        <w:rPr>
          <w:rFonts w:ascii="Calibri" w:cs="Calibri" w:eastAsia="Calibri" w:hAnsi="Calibri"/>
          <w:sz w:val="21"/>
          <w:szCs w:val="21"/>
        </w:rPr>
        <w:t xml:space="preserve">adoption plus rapide et coût total de possession plus prévisible qu'iManage, au prix d'une gouvernance légèrement moins fine pour les très grands cabinets multi-juridictions.</w:t>
      </w:r>
    </w:p>
    <w:p>
      <w:pPr>
        <w:spacing w:after="200" w:before="40"/>
      </w:pPr>
      <w:r>
        <w:rPr>
          <w:rFonts w:ascii="Calibri" w:cs="Calibri" w:eastAsia="Calibri" w:hAnsi="Calibri"/>
          <w:i/>
          <w:iCs/>
          <w:color w:val="808080"/>
          <w:sz w:val="17"/>
          <w:szCs w:val="17"/>
        </w:rPr>
        <w:t xml:space="preserve">Sources : Big Mode Consulting, PixelShift, SaaS Battle, Compare the Cloud — 2026.</w:t>
      </w:r>
    </w:p>
    <w:p>
      <w:pPr>
        <w:pStyle w:val="Heading2"/>
        <w:spacing w:after="160" w:before="360"/>
      </w:pPr>
      <w:r>
        <w:t xml:space="preserve">4.9 Harvey AI — États-Unis (IA agentique enterprise)</w:t>
      </w:r>
    </w:p>
    <w:p>
      <w:pPr>
        <w:pStyle w:val="ListParagraph"/>
        <w:numPr>
          <w:ilvl w:val="0"/>
          <w:numId w:val="1"/>
        </w:numPr>
        <w:spacing w:after="90" w:line="264"/>
      </w:pPr>
      <w:r>
        <w:rPr>
          <w:rFonts w:ascii="Calibri" w:cs="Calibri" w:eastAsia="Calibri" w:hAnsi="Calibri"/>
          <w:b/>
          <w:bCs/>
          <w:sz w:val="21"/>
          <w:szCs w:val="21"/>
        </w:rPr>
        <w:t xml:space="preserve">Présentation — </w:t>
      </w:r>
      <w:r>
        <w:rPr>
          <w:rFonts w:ascii="Calibri" w:cs="Calibri" w:eastAsia="Calibri" w:hAnsi="Calibri"/>
          <w:sz w:val="21"/>
          <w:szCs w:val="21"/>
        </w:rPr>
        <w:t xml:space="preserve">environ 11 Md$ de valorisation et ~190 M$ d'ARR début 2026 ; cible les cabinets AmLaw et les directions juridiques à budget élevé, sans base de données de jurisprudence propriétaire (s'appuie sur les bases existantes du client).</w:t>
      </w:r>
    </w:p>
    <w:p>
      <w:pPr>
        <w:pStyle w:val="ListParagraph"/>
        <w:numPr>
          <w:ilvl w:val="0"/>
          <w:numId w:val="1"/>
        </w:numPr>
        <w:spacing w:after="90" w:line="264"/>
      </w:pPr>
      <w:r>
        <w:rPr>
          <w:rFonts w:ascii="Calibri" w:cs="Calibri" w:eastAsia="Calibri" w:hAnsi="Calibri"/>
          <w:b/>
          <w:bCs/>
          <w:sz w:val="21"/>
          <w:szCs w:val="21"/>
        </w:rPr>
        <w:t xml:space="preserve">Fonctionnalités — </w:t>
      </w:r>
      <w:r>
        <w:rPr>
          <w:rFonts w:ascii="Calibri" w:cs="Calibri" w:eastAsia="Calibri" w:hAnsi="Calibri"/>
          <w:sz w:val="21"/>
          <w:szCs w:val="21"/>
        </w:rPr>
        <w:t xml:space="preserve">Agent Builder permettant aux cabinets de construire leurs propres agents (25 000 agents créés dans 1 300 organisations selon l'éditeur), due diligence, rédaction, recherche multi-étapes.</w:t>
      </w:r>
    </w:p>
    <w:p>
      <w:pPr>
        <w:pStyle w:val="ListParagraph"/>
        <w:numPr>
          <w:ilvl w:val="0"/>
          <w:numId w:val="1"/>
        </w:numPr>
        <w:spacing w:after="90" w:line="264"/>
      </w:pPr>
      <w:r>
        <w:rPr>
          <w:rFonts w:ascii="Calibri" w:cs="Calibri" w:eastAsia="Calibri" w:hAnsi="Calibri"/>
          <w:b/>
          <w:bCs/>
          <w:sz w:val="21"/>
          <w:szCs w:val="21"/>
        </w:rPr>
        <w:t xml:space="preserve">Prix — </w:t>
      </w:r>
      <w:r>
        <w:rPr>
          <w:rFonts w:ascii="Calibri" w:cs="Calibri" w:eastAsia="Calibri" w:hAnsi="Calibri"/>
          <w:sz w:val="21"/>
          <w:szCs w:val="21"/>
        </w:rPr>
        <w:t xml:space="preserve">non public, estimé entre 150 et 1 200+ $/utilisateur/mois selon les sources et le niveau d'accès — hors de portée pour un cabinet de taille petite/moyenne.</w:t>
      </w:r>
    </w:p>
    <w:p>
      <w:pPr>
        <w:spacing w:after="200" w:before="40"/>
      </w:pPr>
      <w:r>
        <w:rPr>
          <w:rFonts w:ascii="Calibri" w:cs="Calibri" w:eastAsia="Calibri" w:hAnsi="Calibri"/>
          <w:i/>
          <w:iCs/>
          <w:color w:val="808080"/>
          <w:sz w:val="17"/>
          <w:szCs w:val="17"/>
        </w:rPr>
        <w:t xml:space="preserve">Sources : aivortex.io, eigent.ai, gc.ai, thelegalprompts.com, get-alfred.ai — 2026.</w:t>
      </w:r>
    </w:p>
    <w:p>
      <w:pPr>
        <w:pStyle w:val="Heading2"/>
        <w:spacing w:after="160" w:before="360"/>
      </w:pPr>
      <w:r>
        <w:t xml:space="preserve">4.10 Thomson Reuters CoCounsel &amp; LexisNexis Lexis+ avec Protégé</w:t>
      </w:r>
    </w:p>
    <w:p>
      <w:pPr>
        <w:pStyle w:val="ListParagraph"/>
        <w:numPr>
          <w:ilvl w:val="0"/>
          <w:numId w:val="1"/>
        </w:numPr>
        <w:spacing w:after="90" w:line="264"/>
      </w:pPr>
      <w:r>
        <w:rPr>
          <w:rFonts w:ascii="Calibri" w:cs="Calibri" w:eastAsia="Calibri" w:hAnsi="Calibri"/>
          <w:b/>
          <w:bCs/>
          <w:sz w:val="21"/>
          <w:szCs w:val="21"/>
        </w:rPr>
        <w:t xml:space="preserve">CoCounsel — </w:t>
      </w:r>
      <w:r>
        <w:rPr>
          <w:rFonts w:ascii="Calibri" w:cs="Calibri" w:eastAsia="Calibri" w:hAnsi="Calibri"/>
          <w:sz w:val="21"/>
          <w:szCs w:val="21"/>
        </w:rPr>
        <w:t xml:space="preserve">ex-Casetext (racheté 650 M$ en 2023), adossé à Westlaw ; plans publics à 75 $ (On Demand), 225 $ (Core) et 500 $/utilisateur/mois (All Access) ; citations directement ancrées dans la base Westlaw, ce qui réduit fortement le risque d'hallucination.</w:t>
      </w:r>
    </w:p>
    <w:p>
      <w:pPr>
        <w:pStyle w:val="ListParagraph"/>
        <w:numPr>
          <w:ilvl w:val="0"/>
          <w:numId w:val="1"/>
        </w:numPr>
        <w:spacing w:after="90" w:line="264"/>
      </w:pPr>
      <w:r>
        <w:rPr>
          <w:rFonts w:ascii="Calibri" w:cs="Calibri" w:eastAsia="Calibri" w:hAnsi="Calibri"/>
          <w:b/>
          <w:bCs/>
          <w:sz w:val="21"/>
          <w:szCs w:val="21"/>
        </w:rPr>
        <w:t xml:space="preserve">Lexis+ avec Protégé — </w:t>
      </w:r>
      <w:r>
        <w:rPr>
          <w:rFonts w:ascii="Calibri" w:cs="Calibri" w:eastAsia="Calibri" w:hAnsi="Calibri"/>
          <w:sz w:val="21"/>
          <w:szCs w:val="21"/>
        </w:rPr>
        <w:t xml:space="preserve">renommé début 2026, assistant agentique avec plus de 300 workflows pré-construits, ancré dans le corpus LexisNexis et l'analyse de jurisprudence Lex Machina ; une étude Stanford citée par plusieurs sources évalue son taux d'erreur de citation à 17 %, contre 34 % pour l'IA de Westlaw.</w:t>
      </w:r>
    </w:p>
    <w:p>
      <w:pPr>
        <w:pStyle w:val="ListParagraph"/>
        <w:numPr>
          <w:ilvl w:val="0"/>
          <w:numId w:val="1"/>
        </w:numPr>
        <w:spacing w:after="90" w:line="264"/>
      </w:pPr>
      <w:r>
        <w:rPr>
          <w:rFonts w:ascii="Calibri" w:cs="Calibri" w:eastAsia="Calibri" w:hAnsi="Calibri"/>
          <w:b/>
          <w:bCs/>
          <w:sz w:val="21"/>
          <w:szCs w:val="21"/>
        </w:rPr>
        <w:t xml:space="preserve">Enseignement pour votre projet — </w:t>
      </w:r>
      <w:r>
        <w:rPr>
          <w:rFonts w:ascii="Calibri" w:cs="Calibri" w:eastAsia="Calibri" w:hAnsi="Calibri"/>
          <w:sz w:val="21"/>
          <w:szCs w:val="21"/>
        </w:rPr>
        <w:t xml:space="preserve">le marché montre que l'ancrage des réponses IA dans une base documentaire vérifiable (plutôt qu'un LLM nu) est ce qui construit la confiance des juristes — un principe directement transposable à votre module de résumé/suggestion d'avocat, qui devra toujours citer le dossier source de ses recommandations.</w:t>
      </w:r>
    </w:p>
    <w:p>
      <w:pPr>
        <w:spacing w:after="200" w:before="40"/>
      </w:pPr>
      <w:r>
        <w:rPr>
          <w:rFonts w:ascii="Calibri" w:cs="Calibri" w:eastAsia="Calibri" w:hAnsi="Calibri"/>
          <w:i/>
          <w:iCs/>
          <w:color w:val="808080"/>
          <w:sz w:val="17"/>
          <w:szCs w:val="17"/>
        </w:rPr>
        <w:t xml:space="preserve">Sources : aivortex.io (comparatifs Harvey/CoCounsel/Lexis+), techno-pulse.com, legalfly.com, get-alfred.ai — 2026.</w:t>
      </w:r>
    </w:p>
    <w:p>
      <w:pPr>
        <w:pStyle w:val="Heading2"/>
        <w:spacing w:after="160" w:before="360"/>
      </w:pPr>
      <w:r>
        <w:t xml:space="preserve">4.11 Microsoft Teams / Slack — brique de collaboration générique</w:t>
      </w:r>
    </w:p>
    <w:p>
      <w:pPr>
        <w:spacing w:after="160" w:line="276"/>
      </w:pPr>
      <w:r>
        <w:rPr>
          <w:rFonts w:ascii="Calibri" w:cs="Calibri" w:eastAsia="Calibri" w:hAnsi="Calibri"/>
          <w:sz w:val="21"/>
          <w:szCs w:val="21"/>
        </w:rPr>
        <w:t xml:space="preserve">Ces outils ne sont pas des logiciels juridiques mais sont fréquemment cités comme complément de messagerie inter-cabinets lorsque le LPMS ne couvre pas ce besoin en profondeur. Le retour d'expérience sectoriel (voir la notion de « toggle tax » citée par Powell Software) montre que la fragmentation entre DMS et outils de discussion génériques est un point de friction documenté : les juristes perdent du temps à basculer entre systèmes pour retrouver un document mentionné dans une conversation. C'est un argument fort en faveur d'une messagerie native, liée au dossier, comme le prévoit déjà votre cahier des charges.</w:t>
      </w:r>
    </w:p>
    <w:p>
      <w:pPr>
        <w:spacing w:after="200" w:before="40"/>
      </w:pPr>
      <w:r>
        <w:rPr>
          <w:rFonts w:ascii="Calibri" w:cs="Calibri" w:eastAsia="Calibri" w:hAnsi="Calibri"/>
          <w:i/>
          <w:iCs/>
          <w:color w:val="808080"/>
          <w:sz w:val="17"/>
          <w:szCs w:val="17"/>
        </w:rPr>
        <w:t xml:space="preserve">Sources : powell-software.com — 2026.</w:t>
      </w:r>
    </w:p>
    <w:p>
      <w:pPr>
        <w:pStyle w:val="Heading1"/>
        <w:spacing w:after="240" w:before="480"/>
      </w:pPr>
      <w:r>
        <w:t xml:space="preserve">5. Analyse UI/UX transversale</w:t>
      </w:r>
    </w:p>
    <w:p>
      <w:pPr>
        <w:spacing w:after="160" w:line="276"/>
      </w:pPr>
      <w:r>
        <w:rPr>
          <w:rFonts w:ascii="Calibri" w:cs="Calibri" w:eastAsia="Calibri" w:hAnsi="Calibri"/>
          <w:sz w:val="21"/>
          <w:szCs w:val="21"/>
        </w:rPr>
        <w:t xml:space="preserve">Cette section synthétise, par zone fonctionnelle, les motifs récurrents observés à travers l'ensemble des solutions étudiées — c'est la matière première la plus directement exploitable pour vos wireframes.</w:t>
      </w:r>
    </w:p>
    <w:p>
      <w:pPr>
        <w:pStyle w:val="Heading2"/>
        <w:spacing w:after="160" w:before="360"/>
      </w:pPr>
      <w:r>
        <w:t xml:space="preserve">5.1 Navigation (sidebar, topbar, recherche)</w:t>
      </w:r>
    </w:p>
    <w:p>
      <w:pPr>
        <w:pStyle w:val="ListParagraph"/>
        <w:numPr>
          <w:ilvl w:val="0"/>
          <w:numId w:val="1"/>
        </w:numPr>
        <w:spacing w:after="90" w:line="264"/>
      </w:pPr>
      <w:r>
        <w:rPr>
          <w:rFonts w:ascii="Calibri" w:cs="Calibri" w:eastAsia="Calibri" w:hAnsi="Calibri"/>
          <w:b/>
          <w:bCs/>
          <w:sz w:val="21"/>
          <w:szCs w:val="21"/>
        </w:rPr>
        <w:t xml:space="preserve">Sidebar persistante à gauche — </w:t>
      </w:r>
      <w:r>
        <w:rPr>
          <w:rFonts w:ascii="Calibri" w:cs="Calibri" w:eastAsia="Calibri" w:hAnsi="Calibri"/>
          <w:sz w:val="21"/>
          <w:szCs w:val="21"/>
        </w:rPr>
        <w:t xml:space="preserve">quasi-universelle (Clio, MyCase, Filevine, LEAP) : Tableau de bord, Dossiers/Matters, Contacts, Documents, Facturation, Calendrier, Rapports. C'est le squelette de navigation attendu par un utilisateur juridique.</w:t>
      </w:r>
    </w:p>
    <w:p>
      <w:pPr>
        <w:pStyle w:val="ListParagraph"/>
        <w:numPr>
          <w:ilvl w:val="0"/>
          <w:numId w:val="1"/>
        </w:numPr>
        <w:spacing w:after="90" w:line="264"/>
      </w:pPr>
      <w:r>
        <w:rPr>
          <w:rFonts w:ascii="Calibri" w:cs="Calibri" w:eastAsia="Calibri" w:hAnsi="Calibri"/>
          <w:b/>
          <w:bCs/>
          <w:sz w:val="21"/>
          <w:szCs w:val="21"/>
        </w:rPr>
        <w:t xml:space="preserve">Recherche universelle en topbar — </w:t>
      </w:r>
      <w:r>
        <w:rPr>
          <w:rFonts w:ascii="Calibri" w:cs="Calibri" w:eastAsia="Calibri" w:hAnsi="Calibri"/>
          <w:sz w:val="21"/>
          <w:szCs w:val="21"/>
        </w:rPr>
        <w:t xml:space="preserve">Clio et Filevine mettent en avant une recherche unique qui interroge simultanément contacts, dossiers et documents — un point cité comme différenciateur fort par les utilisateurs (« ma mémoire externe »).</w:t>
      </w:r>
    </w:p>
    <w:p>
      <w:pPr>
        <w:pStyle w:val="ListParagraph"/>
        <w:numPr>
          <w:ilvl w:val="0"/>
          <w:numId w:val="1"/>
        </w:numPr>
        <w:spacing w:after="90" w:line="264"/>
      </w:pPr>
      <w:r>
        <w:rPr>
          <w:rFonts w:ascii="Calibri" w:cs="Calibri" w:eastAsia="Calibri" w:hAnsi="Calibri"/>
          <w:b/>
          <w:bCs/>
          <w:sz w:val="21"/>
          <w:szCs w:val="21"/>
        </w:rPr>
        <w:t xml:space="preserve">Raccourcis / actions rapides — </w:t>
      </w:r>
      <w:r>
        <w:rPr>
          <w:rFonts w:ascii="Calibri" w:cs="Calibri" w:eastAsia="Calibri" w:hAnsi="Calibri"/>
          <w:sz w:val="21"/>
          <w:szCs w:val="21"/>
        </w:rPr>
        <w:t xml:space="preserve">boutons flottants ou menus « + Nouveau » persistants pour créer rapidement un dossier, une tâche ou une facture sans changer d'écran.</w:t>
      </w:r>
    </w:p>
    <w:p>
      <w:pPr>
        <w:pStyle w:val="Heading2"/>
        <w:spacing w:after="160" w:before="360"/>
      </w:pPr>
      <w:r>
        <w:t xml:space="preserve">5.2 Tableau de bord</w:t>
      </w:r>
    </w:p>
    <w:p>
      <w:pPr>
        <w:pStyle w:val="ListParagraph"/>
        <w:numPr>
          <w:ilvl w:val="0"/>
          <w:numId w:val="1"/>
        </w:numPr>
        <w:spacing w:after="90" w:line="264"/>
      </w:pPr>
      <w:r>
        <w:rPr>
          <w:rFonts w:ascii="Calibri" w:cs="Calibri" w:eastAsia="Calibri" w:hAnsi="Calibri"/>
          <w:b/>
          <w:bCs/>
          <w:sz w:val="21"/>
          <w:szCs w:val="21"/>
        </w:rPr>
        <w:t xml:space="preserve">Composition récurrente — </w:t>
      </w:r>
      <w:r>
        <w:rPr>
          <w:rFonts w:ascii="Calibri" w:cs="Calibri" w:eastAsia="Calibri" w:hAnsi="Calibri"/>
          <w:sz w:val="21"/>
          <w:szCs w:val="21"/>
        </w:rPr>
        <w:t xml:space="preserve">widgets de délais/échéances à venir, résumé financier (factures, encaissements), activité récente/messages, et — quand l'IA est branchée — un bloc de synthèse ou d'alertes générées automatiquement.</w:t>
      </w:r>
    </w:p>
    <w:p>
      <w:pPr>
        <w:pStyle w:val="ListParagraph"/>
        <w:numPr>
          <w:ilvl w:val="0"/>
          <w:numId w:val="1"/>
        </w:numPr>
        <w:spacing w:after="90" w:line="264"/>
      </w:pPr>
      <w:r>
        <w:rPr>
          <w:rFonts w:ascii="Calibri" w:cs="Calibri" w:eastAsia="Calibri" w:hAnsi="Calibri"/>
          <w:b/>
          <w:bCs/>
          <w:sz w:val="21"/>
          <w:szCs w:val="21"/>
        </w:rPr>
        <w:t xml:space="preserve">Personnalisation — </w:t>
      </w:r>
      <w:r>
        <w:rPr>
          <w:rFonts w:ascii="Calibri" w:cs="Calibri" w:eastAsia="Calibri" w:hAnsi="Calibri"/>
          <w:sz w:val="21"/>
          <w:szCs w:val="21"/>
        </w:rPr>
        <w:t xml:space="preserve">MyCase et Clio permettent un réordonnancement/masquage des widgets ; un reproche fréquent dans les avis est le manque de personnalisation fine (filtrage par agence ou par avocat) — un point sur lequel votre plateforme multi-agences peut clairement se différencier en proposant un filtre d'agence de premier niveau sur le tableau de bord.</w:t>
      </w:r>
    </w:p>
    <w:p>
      <w:pPr>
        <w:pStyle w:val="Heading2"/>
        <w:spacing w:after="160" w:before="360"/>
      </w:pPr>
      <w:r>
        <w:t xml:space="preserve">5.3 Gestion des dossiers</w:t>
      </w:r>
    </w:p>
    <w:p>
      <w:pPr>
        <w:pStyle w:val="ListParagraph"/>
        <w:numPr>
          <w:ilvl w:val="0"/>
          <w:numId w:val="1"/>
        </w:numPr>
        <w:spacing w:after="90" w:line="264"/>
      </w:pPr>
      <w:r>
        <w:rPr>
          <w:rFonts w:ascii="Calibri" w:cs="Calibri" w:eastAsia="Calibri" w:hAnsi="Calibri"/>
          <w:b/>
          <w:bCs/>
          <w:sz w:val="21"/>
          <w:szCs w:val="21"/>
        </w:rPr>
        <w:t xml:space="preserve">Vue Kanban par statut — </w:t>
      </w:r>
      <w:r>
        <w:rPr>
          <w:rFonts w:ascii="Calibri" w:cs="Calibri" w:eastAsia="Calibri" w:hAnsi="Calibri"/>
          <w:sz w:val="21"/>
          <w:szCs w:val="21"/>
        </w:rPr>
        <w:t xml:space="preserve">Clio structure les dossiers en colonnes par étape (ex. Nouveau → En cours → Clôturé), permettant un glisser-déposer ; ce motif est plébiscité pour sa lisibilité immédiate de la charge de travail.</w:t>
      </w:r>
    </w:p>
    <w:p>
      <w:pPr>
        <w:pStyle w:val="ListParagraph"/>
        <w:numPr>
          <w:ilvl w:val="0"/>
          <w:numId w:val="1"/>
        </w:numPr>
        <w:spacing w:after="90" w:line="264"/>
      </w:pPr>
      <w:r>
        <w:rPr>
          <w:rFonts w:ascii="Calibri" w:cs="Calibri" w:eastAsia="Calibri" w:hAnsi="Calibri"/>
          <w:b/>
          <w:bCs/>
          <w:sz w:val="21"/>
          <w:szCs w:val="21"/>
        </w:rPr>
        <w:t xml:space="preserve">Fiche dossier centralisée — </w:t>
      </w:r>
      <w:r>
        <w:rPr>
          <w:rFonts w:ascii="Calibri" w:cs="Calibri" w:eastAsia="Calibri" w:hAnsi="Calibri"/>
          <w:sz w:val="21"/>
          <w:szCs w:val="21"/>
        </w:rPr>
        <w:t xml:space="preserve">onglets internes : Aperçu, Documents, Facturation, Historique/Notes, Contacts liés, Tâches. Filevine unifie notes/tâches/commentaires dans un flux chronologique unique plutôt que des onglets séparés — un choix qui réduit le nombre de clics pour reconstituer le fil d'un dossier.</w:t>
      </w:r>
    </w:p>
    <w:p>
      <w:pPr>
        <w:pStyle w:val="ListParagraph"/>
        <w:numPr>
          <w:ilvl w:val="0"/>
          <w:numId w:val="1"/>
        </w:numPr>
        <w:spacing w:after="90" w:line="264"/>
      </w:pPr>
      <w:r>
        <w:rPr>
          <w:rFonts w:ascii="Calibri" w:cs="Calibri" w:eastAsia="Calibri" w:hAnsi="Calibri"/>
          <w:b/>
          <w:bCs/>
          <w:sz w:val="21"/>
          <w:szCs w:val="21"/>
        </w:rPr>
        <w:t xml:space="preserve">Historique et traçabilité — </w:t>
      </w:r>
      <w:r>
        <w:rPr>
          <w:rFonts w:ascii="Calibri" w:cs="Calibri" w:eastAsia="Calibri" w:hAnsi="Calibri"/>
          <w:sz w:val="21"/>
          <w:szCs w:val="21"/>
        </w:rPr>
        <w:t xml:space="preserve">présenté sous forme de journal chronologique (timeline), souvent en bas de la fiche dossier ; peu de solutions proposent une timeline visuelle graphique — c'est une opportunité de différenciation UI.</w:t>
      </w:r>
    </w:p>
    <w:p>
      <w:pPr>
        <w:pStyle w:val="Heading2"/>
        <w:spacing w:after="160" w:before="360"/>
      </w:pPr>
      <w:r>
        <w:t xml:space="preserve">5.4 Gestion documentaire</w:t>
      </w:r>
    </w:p>
    <w:p>
      <w:pPr>
        <w:pStyle w:val="ListParagraph"/>
        <w:numPr>
          <w:ilvl w:val="0"/>
          <w:numId w:val="1"/>
        </w:numPr>
        <w:spacing w:after="90" w:line="264"/>
      </w:pPr>
      <w:r>
        <w:rPr>
          <w:rFonts w:ascii="Calibri" w:cs="Calibri" w:eastAsia="Calibri" w:hAnsi="Calibri"/>
          <w:b/>
          <w:bCs/>
          <w:sz w:val="21"/>
          <w:szCs w:val="21"/>
        </w:rPr>
        <w:t xml:space="preserve">Upload et organisation — </w:t>
      </w:r>
      <w:r>
        <w:rPr>
          <w:rFonts w:ascii="Calibri" w:cs="Calibri" w:eastAsia="Calibri" w:hAnsi="Calibri"/>
          <w:sz w:val="21"/>
          <w:szCs w:val="21"/>
        </w:rPr>
        <w:t xml:space="preserve">glisser-déposer généralisé, tagging automatique de métadonnées (MyCase), classement par dossier/workspace (NetDocuments).</w:t>
      </w:r>
    </w:p>
    <w:p>
      <w:pPr>
        <w:pStyle w:val="ListParagraph"/>
        <w:numPr>
          <w:ilvl w:val="0"/>
          <w:numId w:val="1"/>
        </w:numPr>
        <w:spacing w:after="90" w:line="264"/>
      </w:pPr>
      <w:r>
        <w:rPr>
          <w:rFonts w:ascii="Calibri" w:cs="Calibri" w:eastAsia="Calibri" w:hAnsi="Calibri"/>
          <w:b/>
          <w:bCs/>
          <w:sz w:val="21"/>
          <w:szCs w:val="21"/>
        </w:rPr>
        <w:t xml:space="preserve">Aperçu et recherche — </w:t>
      </w:r>
      <w:r>
        <w:rPr>
          <w:rFonts w:ascii="Calibri" w:cs="Calibri" w:eastAsia="Calibri" w:hAnsi="Calibri"/>
          <w:sz w:val="21"/>
          <w:szCs w:val="21"/>
        </w:rPr>
        <w:t xml:space="preserve">aperçu PDF intégré est un standard chez les DMS d'entreprise (iManage, NetDocuments) mais reste plus sommaire chez certains LPMS orientés petits cabinets, où l'utilisateur doit encore télécharger le fichier — point faible fréquent à éviter.</w:t>
      </w:r>
    </w:p>
    <w:p>
      <w:pPr>
        <w:pStyle w:val="ListParagraph"/>
        <w:numPr>
          <w:ilvl w:val="0"/>
          <w:numId w:val="1"/>
        </w:numPr>
        <w:spacing w:after="90" w:line="264"/>
      </w:pPr>
      <w:r>
        <w:rPr>
          <w:rFonts w:ascii="Calibri" w:cs="Calibri" w:eastAsia="Calibri" w:hAnsi="Calibri"/>
          <w:b/>
          <w:bCs/>
          <w:sz w:val="21"/>
          <w:szCs w:val="21"/>
        </w:rPr>
        <w:t xml:space="preserve">OCR et recherche plein texte — </w:t>
      </w:r>
      <w:r>
        <w:rPr>
          <w:rFonts w:ascii="Calibri" w:cs="Calibri" w:eastAsia="Calibri" w:hAnsi="Calibri"/>
          <w:sz w:val="21"/>
          <w:szCs w:val="21"/>
        </w:rPr>
        <w:t xml:space="preserve">citée comme fonctionnalité de confort majeure (LexWorkplace, NetDocuments) : recherche par contenu et pas seulement par nom de fichier.</w:t>
      </w:r>
    </w:p>
    <w:p>
      <w:pPr>
        <w:pStyle w:val="Heading2"/>
        <w:spacing w:after="160" w:before="360"/>
      </w:pPr>
      <w:r>
        <w:t xml:space="preserve">5.5 Communication / messagerie</w:t>
      </w:r>
    </w:p>
    <w:p>
      <w:pPr>
        <w:pStyle w:val="ListParagraph"/>
        <w:numPr>
          <w:ilvl w:val="0"/>
          <w:numId w:val="1"/>
        </w:numPr>
        <w:spacing w:after="90" w:line="264"/>
      </w:pPr>
      <w:r>
        <w:rPr>
          <w:rFonts w:ascii="Calibri" w:cs="Calibri" w:eastAsia="Calibri" w:hAnsi="Calibri"/>
          <w:b/>
          <w:bCs/>
          <w:sz w:val="21"/>
          <w:szCs w:val="21"/>
        </w:rPr>
        <w:t xml:space="preserve">Fil de discussion lié au dossier — </w:t>
      </w:r>
      <w:r>
        <w:rPr>
          <w:rFonts w:ascii="Calibri" w:cs="Calibri" w:eastAsia="Calibri" w:hAnsi="Calibri"/>
          <w:sz w:val="21"/>
          <w:szCs w:val="21"/>
        </w:rPr>
        <w:t xml:space="preserve">modèle dominant chez les acteurs qui proposent une messagerie native (portails client Clio/MyCase, threads Filevine) plutôt qu'une messagerie généraliste.</w:t>
      </w:r>
    </w:p>
    <w:p>
      <w:pPr>
        <w:pStyle w:val="ListParagraph"/>
        <w:numPr>
          <w:ilvl w:val="0"/>
          <w:numId w:val="1"/>
        </w:numPr>
        <w:spacing w:after="90" w:line="264"/>
      </w:pPr>
      <w:r>
        <w:rPr>
          <w:rFonts w:ascii="Calibri" w:cs="Calibri" w:eastAsia="Calibri" w:hAnsi="Calibri"/>
          <w:b/>
          <w:bCs/>
          <w:sz w:val="21"/>
          <w:szCs w:val="21"/>
        </w:rPr>
        <w:t xml:space="preserve">Le problème du "toggle tax" — </w:t>
      </w:r>
      <w:r>
        <w:rPr>
          <w:rFonts w:ascii="Calibri" w:cs="Calibri" w:eastAsia="Calibri" w:hAnsi="Calibri"/>
          <w:sz w:val="21"/>
          <w:szCs w:val="21"/>
        </w:rPr>
        <w:t xml:space="preserve">documenté par Powell Software : quand la messagerie et le DMS sont deux outils séparés, chaque bascule coûte du temps cumulé à l'échelle d'un cabinet. Concevoir la messagerie comme une extension de la fiche dossier (et non un onglet isolé) est donc un choix UX fondé.</w:t>
      </w:r>
    </w:p>
    <w:p>
      <w:pPr>
        <w:pStyle w:val="ListParagraph"/>
        <w:numPr>
          <w:ilvl w:val="0"/>
          <w:numId w:val="1"/>
        </w:numPr>
        <w:spacing w:after="90" w:line="264"/>
      </w:pPr>
      <w:r>
        <w:rPr>
          <w:rFonts w:ascii="Calibri" w:cs="Calibri" w:eastAsia="Calibri" w:hAnsi="Calibri"/>
          <w:b/>
          <w:bCs/>
          <w:sz w:val="21"/>
          <w:szCs w:val="21"/>
        </w:rPr>
        <w:t xml:space="preserve">Notifications — </w:t>
      </w:r>
      <w:r>
        <w:rPr>
          <w:rFonts w:ascii="Calibri" w:cs="Calibri" w:eastAsia="Calibri" w:hAnsi="Calibri"/>
          <w:sz w:val="21"/>
          <w:szCs w:val="21"/>
        </w:rPr>
        <w:t xml:space="preserve">généralement multi-canal (in-app, email, SMS pour MyCase) avec des règles de fréquence configurables.</w:t>
      </w:r>
    </w:p>
    <w:p>
      <w:pPr>
        <w:pStyle w:val="Heading2"/>
        <w:spacing w:after="160" w:before="360"/>
      </w:pPr>
      <w:r>
        <w:t xml:space="preserve">5.6 Intégration de l'IA dans l'interface</w:t>
      </w:r>
    </w:p>
    <w:p>
      <w:pPr>
        <w:pStyle w:val="ListParagraph"/>
        <w:numPr>
          <w:ilvl w:val="0"/>
          <w:numId w:val="1"/>
        </w:numPr>
        <w:spacing w:after="90" w:line="264"/>
      </w:pPr>
      <w:r>
        <w:rPr>
          <w:rFonts w:ascii="Calibri" w:cs="Calibri" w:eastAsia="Calibri" w:hAnsi="Calibri"/>
          <w:b/>
          <w:bCs/>
          <w:sz w:val="21"/>
          <w:szCs w:val="21"/>
        </w:rPr>
        <w:t xml:space="preserve">Positionnement en copilote, pas en pilote automatique — </w:t>
      </w:r>
      <w:r>
        <w:rPr>
          <w:rFonts w:ascii="Calibri" w:cs="Calibri" w:eastAsia="Calibri" w:hAnsi="Calibri"/>
          <w:sz w:val="21"/>
          <w:szCs w:val="21"/>
        </w:rPr>
        <w:t xml:space="preserve">tendance sectorielle forte en 2026 : l'IA se présente en panneau latéral optionnel plutôt qu'en remplacement de l'écran principal (illustré par l'évolution du mode assistant de Gemini). Les suggestions sont proposées, pas imposées.</w:t>
      </w:r>
    </w:p>
    <w:p>
      <w:pPr>
        <w:pStyle w:val="ListParagraph"/>
        <w:numPr>
          <w:ilvl w:val="0"/>
          <w:numId w:val="1"/>
        </w:numPr>
        <w:spacing w:after="90" w:line="264"/>
      </w:pPr>
      <w:r>
        <w:rPr>
          <w:rFonts w:ascii="Calibri" w:cs="Calibri" w:eastAsia="Calibri" w:hAnsi="Calibri"/>
          <w:b/>
          <w:bCs/>
          <w:sz w:val="21"/>
          <w:szCs w:val="21"/>
        </w:rPr>
        <w:t xml:space="preserve">Résumé en un clic — </w:t>
      </w:r>
      <w:r>
        <w:rPr>
          <w:rFonts w:ascii="Calibri" w:cs="Calibri" w:eastAsia="Calibri" w:hAnsi="Calibri"/>
          <w:sz w:val="21"/>
          <w:szCs w:val="21"/>
        </w:rPr>
        <w:t xml:space="preserve">motif quasi universel (Clio Duo, MyCase IQ, Filevine LOIS) : un bouton « Résumer » sur chaque document ou dossier, avec un résultat affiché dans un panneau ou une modale, jamais en remplacement du document original.</w:t>
      </w:r>
    </w:p>
    <w:p>
      <w:pPr>
        <w:pStyle w:val="ListParagraph"/>
        <w:numPr>
          <w:ilvl w:val="0"/>
          <w:numId w:val="1"/>
        </w:numPr>
        <w:spacing w:after="90" w:line="264"/>
      </w:pPr>
      <w:r>
        <w:rPr>
          <w:rFonts w:ascii="Calibri" w:cs="Calibri" w:eastAsia="Calibri" w:hAnsi="Calibri"/>
          <w:b/>
          <w:bCs/>
          <w:sz w:val="21"/>
          <w:szCs w:val="21"/>
        </w:rPr>
        <w:t xml:space="preserve">Citation systématique des sources — </w:t>
      </w:r>
      <w:r>
        <w:rPr>
          <w:rFonts w:ascii="Calibri" w:cs="Calibri" w:eastAsia="Calibri" w:hAnsi="Calibri"/>
          <w:sz w:val="21"/>
          <w:szCs w:val="21"/>
        </w:rPr>
        <w:t xml:space="preserve">les outils de recherche juridique (CoCounsel, Lexis+ Protégé) affichent toujours la source exacte (jurisprudence, article) à côté de chaque affirmation générée — un principe de confiance à répliquer pour votre fonctionnalité « avocat suggéré », qui devrait toujours expliquer sur quels éléments du dossier repose la suggestion.</w:t>
      </w:r>
    </w:p>
    <w:p>
      <w:pPr>
        <w:pStyle w:val="ListParagraph"/>
        <w:numPr>
          <w:ilvl w:val="0"/>
          <w:numId w:val="1"/>
        </w:numPr>
        <w:spacing w:after="90" w:line="264"/>
      </w:pPr>
      <w:r>
        <w:rPr>
          <w:rFonts w:ascii="Calibri" w:cs="Calibri" w:eastAsia="Calibri" w:hAnsi="Calibri"/>
          <w:b/>
          <w:bCs/>
          <w:sz w:val="21"/>
          <w:szCs w:val="21"/>
        </w:rPr>
        <w:t xml:space="preserve">Agents personnalisés (tendance émergente) — </w:t>
      </w:r>
      <w:r>
        <w:rPr>
          <w:rFonts w:ascii="Calibri" w:cs="Calibri" w:eastAsia="Calibri" w:hAnsi="Calibri"/>
          <w:sz w:val="21"/>
          <w:szCs w:val="21"/>
        </w:rPr>
        <w:t xml:space="preserve">Harvey et Lexis+ Protégé proposent désormais des bibliothèques de workflows/agents pré-construits activables en un clic plutôt que des prompts libres — plus rassurant pour des utilisateurs non-techniques que le chat ouvert.</w:t>
      </w:r>
    </w:p>
    <w:p>
      <w:pPr>
        <w:pStyle w:val="Heading2"/>
        <w:spacing w:after="160" w:before="360"/>
      </w:pPr>
      <w:r>
        <w:t xml:space="preserve">5.7 Couleurs, typographie et composants — constat sectoriel</w:t>
      </w:r>
    </w:p>
    <w:p>
      <w:pPr>
        <w:pStyle w:val="ListParagraph"/>
        <w:numPr>
          <w:ilvl w:val="0"/>
          <w:numId w:val="1"/>
        </w:numPr>
        <w:spacing w:after="90" w:line="264"/>
      </w:pPr>
      <w:r>
        <w:rPr>
          <w:rFonts w:ascii="Calibri" w:cs="Calibri" w:eastAsia="Calibri" w:hAnsi="Calibri"/>
          <w:b/>
          <w:bCs/>
          <w:sz w:val="21"/>
          <w:szCs w:val="21"/>
        </w:rPr>
        <w:t xml:space="preserve">Sur-représentation du bleu corporate — </w:t>
      </w:r>
      <w:r>
        <w:rPr>
          <w:rFonts w:ascii="Calibri" w:cs="Calibri" w:eastAsia="Calibri" w:hAnsi="Calibri"/>
          <w:sz w:val="21"/>
          <w:szCs w:val="21"/>
        </w:rPr>
        <w:t xml:space="preserve">la quasi-totalité des LPMS analysés utilisent un bleu "trust" proche de #2563EB/#3B82F6 sur fond blanc — un choix jugé « invisible » par les experts UI 2026 tant il est saturé sur l'ensemble du B2B SaaS, légal inclus.</w:t>
      </w:r>
    </w:p>
    <w:p>
      <w:pPr>
        <w:pStyle w:val="ListParagraph"/>
        <w:numPr>
          <w:ilvl w:val="0"/>
          <w:numId w:val="1"/>
        </w:numPr>
        <w:spacing w:after="90" w:line="264"/>
      </w:pPr>
      <w:r>
        <w:rPr>
          <w:rFonts w:ascii="Calibri" w:cs="Calibri" w:eastAsia="Calibri" w:hAnsi="Calibri"/>
          <w:b/>
          <w:bCs/>
          <w:sz w:val="21"/>
          <w:szCs w:val="21"/>
        </w:rPr>
        <w:t xml:space="preserve">Typographie — </w:t>
      </w:r>
      <w:r>
        <w:rPr>
          <w:rFonts w:ascii="Calibri" w:cs="Calibri" w:eastAsia="Calibri" w:hAnsi="Calibri"/>
          <w:sz w:val="21"/>
          <w:szCs w:val="21"/>
        </w:rPr>
        <w:t xml:space="preserve">polices sans-serif système (Inter, Söhne, ou équivalents natifs de type Segoe UI/Helvetica Neue) quasi partout ; hiérarchie simple à 3-4 niveaux (titre de page, titre de section, corps, méta-texte).</w:t>
      </w:r>
    </w:p>
    <w:p>
      <w:pPr>
        <w:pStyle w:val="ListParagraph"/>
        <w:numPr>
          <w:ilvl w:val="0"/>
          <w:numId w:val="1"/>
        </w:numPr>
        <w:spacing w:after="90" w:line="264"/>
      </w:pPr>
      <w:r>
        <w:rPr>
          <w:rFonts w:ascii="Calibri" w:cs="Calibri" w:eastAsia="Calibri" w:hAnsi="Calibri"/>
          <w:b/>
          <w:bCs/>
          <w:sz w:val="21"/>
          <w:szCs w:val="21"/>
        </w:rPr>
        <w:t xml:space="preserve">Composants récurrents — </w:t>
      </w:r>
      <w:r>
        <w:rPr>
          <w:rFonts w:ascii="Calibri" w:cs="Calibri" w:eastAsia="Calibri" w:hAnsi="Calibri"/>
          <w:sz w:val="21"/>
          <w:szCs w:val="21"/>
        </w:rPr>
        <w:t xml:space="preserve">badges de statut colorés (dossier ouvert/en attente/clôturé), tableaux denses avec tri/filtre en en-tête, modales de création rapide, fil d'Ariane (breadcrumb) systématique dans les DMS d'entreprise, accordéons pour les sections secondaires de la fiche dossier.</w:t>
      </w:r>
    </w:p>
    <w:p>
      <w:pPr>
        <w:spacing w:after="200" w:before="40"/>
      </w:pPr>
      <w:r>
        <w:rPr>
          <w:rFonts w:ascii="Calibri" w:cs="Calibri" w:eastAsia="Calibri" w:hAnsi="Calibri"/>
          <w:i/>
          <w:iCs/>
          <w:color w:val="808080"/>
          <w:sz w:val="17"/>
          <w:szCs w:val="17"/>
        </w:rPr>
        <w:t xml:space="preserve">Sources : Recursion Agency, SkyRye Design, Lounge Lizard, UXPin, Tubik, IxDF, ideapeel — analyses UI/UX 2026 ; observations croisées des interfaces éditeurs citées en section 4.</w:t>
      </w:r>
    </w:p>
    <w:p>
      <w:pPr>
        <w:pStyle w:val="Heading2"/>
        <w:spacing w:after="160" w:before="360"/>
      </w:pPr>
      <w:r>
        <w:t xml:space="preserve">5.8 Responsive et accessibilité</w:t>
      </w:r>
    </w:p>
    <w:p>
      <w:pPr>
        <w:pStyle w:val="ListParagraph"/>
        <w:numPr>
          <w:ilvl w:val="0"/>
          <w:numId w:val="1"/>
        </w:numPr>
        <w:spacing w:after="90" w:line="264"/>
      </w:pPr>
      <w:r>
        <w:rPr>
          <w:rFonts w:ascii="Calibri" w:cs="Calibri" w:eastAsia="Calibri" w:hAnsi="Calibri"/>
          <w:b/>
          <w:bCs/>
          <w:sz w:val="21"/>
          <w:szCs w:val="21"/>
        </w:rPr>
        <w:t xml:space="preserve">Mobile — </w:t>
      </w:r>
      <w:r>
        <w:rPr>
          <w:rFonts w:ascii="Calibri" w:cs="Calibri" w:eastAsia="Calibri" w:hAnsi="Calibri"/>
          <w:sz w:val="21"/>
          <w:szCs w:val="21"/>
        </w:rPr>
        <w:t xml:space="preserve">toutes les suites majeures proposent des apps iOS/Android dédiées plutôt qu'un simple site responsive, centrées sur les usages nomades : suivi du temps, messages client, consultation rapide de dossier. La saisie complexe (facturation détaillée, configuration de workflow) reste conçue "desktop-first".</w:t>
      </w:r>
    </w:p>
    <w:p>
      <w:pPr>
        <w:pStyle w:val="ListParagraph"/>
        <w:numPr>
          <w:ilvl w:val="0"/>
          <w:numId w:val="1"/>
        </w:numPr>
        <w:spacing w:after="90" w:line="264"/>
      </w:pPr>
      <w:r>
        <w:rPr>
          <w:rFonts w:ascii="Calibri" w:cs="Calibri" w:eastAsia="Calibri" w:hAnsi="Calibri"/>
          <w:b/>
          <w:bCs/>
          <w:sz w:val="21"/>
          <w:szCs w:val="21"/>
        </w:rPr>
        <w:t xml:space="preserve">Accessibilité (WCAG) — </w:t>
      </w:r>
      <w:r>
        <w:rPr>
          <w:rFonts w:ascii="Calibri" w:cs="Calibri" w:eastAsia="Calibri" w:hAnsi="Calibri"/>
          <w:sz w:val="21"/>
          <w:szCs w:val="21"/>
        </w:rPr>
        <w:t xml:space="preserve">peu de communication publique détaillée des éditeurs LPMS sur leur conformité WCAG spécifique ; le sujet est en revanche devenu une exigence réglementaire explicite dans l'UE (European Accessibility Act, juin 2025) et un standard de facto attendu en 2026 pour tout produit SaaS sérieux — contraste et navigation clavier doivent être traités nativement dans votre Design System dès la V1, plutôt qu'ajoutés après coup.</w:t>
      </w:r>
    </w:p>
    <w:p>
      <w:pPr>
        <w:spacing w:after="200" w:before="40"/>
      </w:pPr>
      <w:r>
        <w:rPr>
          <w:rFonts w:ascii="Calibri" w:cs="Calibri" w:eastAsia="Calibri" w:hAnsi="Calibri"/>
          <w:i/>
          <w:iCs/>
          <w:color w:val="808080"/>
          <w:sz w:val="17"/>
          <w:szCs w:val="17"/>
        </w:rPr>
        <w:t xml:space="preserve">Sources : SkyRyeDesign (European Accessibility Act), ideapeel, IxDF — 2026.</w:t>
      </w:r>
    </w:p>
    <w:p>
      <w:pPr>
        <w:pStyle w:val="Heading1"/>
        <w:spacing w:after="240" w:before="480"/>
      </w:pPr>
      <w:r>
        <w:t xml:space="preserve">6. Benchmark design sectoriel</w:t>
      </w:r>
    </w:p>
    <w:p>
      <w:pPr>
        <w:pStyle w:val="Heading2"/>
        <w:spacing w:after="160" w:before="360"/>
      </w:pPr>
      <w:r>
        <w:t xml:space="preserve">6.1 Palettes et tendances visuelles 2026</w:t>
      </w:r>
    </w:p>
    <w:p>
      <w:pPr>
        <w:pStyle w:val="ListParagraph"/>
        <w:numPr>
          <w:ilvl w:val="0"/>
          <w:numId w:val="1"/>
        </w:numPr>
        <w:spacing w:after="90" w:line="264"/>
      </w:pPr>
      <w:r>
        <w:rPr>
          <w:rFonts w:ascii="Calibri" w:cs="Calibri" w:eastAsia="Calibri" w:hAnsi="Calibri"/>
          <w:b/>
          <w:bCs/>
          <w:sz w:val="21"/>
          <w:szCs w:val="21"/>
        </w:rPr>
        <w:t xml:space="preserve">Sortie du "bleu invisible" — </w:t>
      </w:r>
      <w:r>
        <w:rPr>
          <w:rFonts w:ascii="Calibri" w:cs="Calibri" w:eastAsia="Calibri" w:hAnsi="Calibri"/>
          <w:sz w:val="21"/>
          <w:szCs w:val="21"/>
        </w:rPr>
        <w:t xml:space="preserve">les experts en design 2026 (Recursion Agency, SkyRye Design) constatent une saturation du bleu corporate (#2563EB) dans tout le B2B SaaS ; les marques qui se démarquent assument une identité plus tranchée (violet-cyan chez les outils "premium", monochrome noir/blanc avec un seul accent chez Vercel, palettes chaudes chez Notion).</w:t>
      </w:r>
    </w:p>
    <w:p>
      <w:pPr>
        <w:pStyle w:val="ListParagraph"/>
        <w:numPr>
          <w:ilvl w:val="0"/>
          <w:numId w:val="1"/>
        </w:numPr>
        <w:spacing w:after="90" w:line="264"/>
      </w:pPr>
      <w:r>
        <w:rPr>
          <w:rFonts w:ascii="Calibri" w:cs="Calibri" w:eastAsia="Calibri" w:hAnsi="Calibri"/>
          <w:b/>
          <w:bCs/>
          <w:sz w:val="21"/>
          <w:szCs w:val="21"/>
        </w:rPr>
        <w:t xml:space="preserve">Neutres élevés ("elevated neutrals") — </w:t>
      </w:r>
      <w:r>
        <w:rPr>
          <w:rFonts w:ascii="Calibri" w:cs="Calibri" w:eastAsia="Calibri" w:hAnsi="Calibri"/>
          <w:sz w:val="21"/>
          <w:szCs w:val="21"/>
        </w:rPr>
        <w:t xml:space="preserve">tendance dominante pour les interfaces à forte densité d'usage (dashboards, SaaS professionnels) : remplacement du blanc pur par des blancs cassés chauds (proches du Pantone 2026 "Cloud Dancer", #F5F0EB) qui réduisent la fatigue oculaire sur les sessions longues — particulièrement pertinent pour des juristes qui passeront des heures dans l'outil.</w:t>
      </w:r>
    </w:p>
    <w:p>
      <w:pPr>
        <w:pStyle w:val="ListParagraph"/>
        <w:numPr>
          <w:ilvl w:val="0"/>
          <w:numId w:val="1"/>
        </w:numPr>
        <w:spacing w:after="90" w:line="264"/>
      </w:pPr>
      <w:r>
        <w:rPr>
          <w:rFonts w:ascii="Calibri" w:cs="Calibri" w:eastAsia="Calibri" w:hAnsi="Calibri"/>
          <w:b/>
          <w:bCs/>
          <w:sz w:val="21"/>
          <w:szCs w:val="21"/>
        </w:rPr>
        <w:t xml:space="preserve">Sobriété assumée pour le secteur juridique/finance — </w:t>
      </w:r>
      <w:r>
        <w:rPr>
          <w:rFonts w:ascii="Calibri" w:cs="Calibri" w:eastAsia="Calibri" w:hAnsi="Calibri"/>
          <w:sz w:val="21"/>
          <w:szCs w:val="21"/>
        </w:rPr>
        <w:t xml:space="preserve">plusieurs guides de tendance 2026 recommandent explicitement le monochrome (noir, blanc, nuances de gris) avec de petites touches de couleur vive réservées aux call-to-action pour les secteurs légal/finance/corporate — cohérent avec le besoin de sérieux et de confiance de votre cible.</w:t>
      </w:r>
    </w:p>
    <w:p>
      <w:pPr>
        <w:pStyle w:val="ListParagraph"/>
        <w:numPr>
          <w:ilvl w:val="0"/>
          <w:numId w:val="1"/>
        </w:numPr>
        <w:spacing w:after="90" w:line="264"/>
      </w:pPr>
      <w:r>
        <w:rPr>
          <w:rFonts w:ascii="Calibri" w:cs="Calibri" w:eastAsia="Calibri" w:hAnsi="Calibri"/>
          <w:b/>
          <w:bCs/>
          <w:sz w:val="21"/>
          <w:szCs w:val="21"/>
        </w:rPr>
        <w:t xml:space="preserve">Accessibilité non négociable — </w:t>
      </w:r>
      <w:r>
        <w:rPr>
          <w:rFonts w:ascii="Calibri" w:cs="Calibri" w:eastAsia="Calibri" w:hAnsi="Calibri"/>
          <w:sz w:val="21"/>
          <w:szCs w:val="21"/>
        </w:rPr>
        <w:t xml:space="preserve">la conformité WCAG 2.1/2.2 AA est désormais présentée comme un prérequis de conception (contraste, distinction sans dépendre uniquement de la couleur, focus clavier visible), pas comme une case à cocher a posteriori.</w:t>
      </w:r>
    </w:p>
    <w:p>
      <w:pPr>
        <w:spacing w:after="200" w:before="40"/>
      </w:pPr>
      <w:r>
        <w:rPr>
          <w:rFonts w:ascii="Calibri" w:cs="Calibri" w:eastAsia="Calibri" w:hAnsi="Calibri"/>
          <w:i/>
          <w:iCs/>
          <w:color w:val="808080"/>
          <w:sz w:val="17"/>
          <w:szCs w:val="17"/>
        </w:rPr>
        <w:t xml:space="preserve">Sources : Recursion Agency, SkyRye Design, Lounge Lizard, updivision.com, IxDF — 2026.</w:t>
      </w:r>
    </w:p>
    <w:p>
      <w:pPr>
        <w:pStyle w:val="Heading2"/>
        <w:spacing w:after="160" w:before="360"/>
      </w:pPr>
      <w:r>
        <w:t xml:space="preserve">6.2 Design Systems publics et bibliothèques de composants</w:t>
      </w:r>
    </w:p>
    <w:p>
      <w:pPr>
        <w:pStyle w:val="ListParagraph"/>
        <w:numPr>
          <w:ilvl w:val="0"/>
          <w:numId w:val="1"/>
        </w:numPr>
        <w:spacing w:after="90" w:line="264"/>
      </w:pPr>
      <w:r>
        <w:rPr>
          <w:rFonts w:ascii="Calibri" w:cs="Calibri" w:eastAsia="Calibri" w:hAnsi="Calibri"/>
          <w:b/>
          <w:bCs/>
          <w:sz w:val="21"/>
          <w:szCs w:val="21"/>
        </w:rPr>
        <w:t xml:space="preserve">Aucun design system juridique public de référence — </w:t>
      </w:r>
      <w:r>
        <w:rPr>
          <w:rFonts w:ascii="Calibri" w:cs="Calibri" w:eastAsia="Calibri" w:hAnsi="Calibri"/>
          <w:sz w:val="21"/>
          <w:szCs w:val="21"/>
        </w:rPr>
        <w:t xml:space="preserve">à la différence de la fintech (qui a ses références publiques), aucun des éditeurs LPMS étudiés (Clio, MyCase, Filevine, Smokeball, LEAP) ne publie de design system open source consultable. Les inspirations les plus utiles proviennent donc des design systems SaaS génériques de haute qualité.</w:t>
      </w:r>
    </w:p>
    <w:p>
      <w:pPr>
        <w:pStyle w:val="ListParagraph"/>
        <w:numPr>
          <w:ilvl w:val="0"/>
          <w:numId w:val="1"/>
        </w:numPr>
        <w:spacing w:after="90" w:line="264"/>
      </w:pPr>
      <w:r>
        <w:rPr>
          <w:rFonts w:ascii="Calibri" w:cs="Calibri" w:eastAsia="Calibri" w:hAnsi="Calibri"/>
          <w:b/>
          <w:bCs/>
          <w:sz w:val="21"/>
          <w:szCs w:val="21"/>
        </w:rPr>
        <w:t xml:space="preserve">Bibliothèques recommandées pour votre stack (React) — </w:t>
      </w:r>
      <w:r>
        <w:rPr>
          <w:rFonts w:ascii="Calibri" w:cs="Calibri" w:eastAsia="Calibri" w:hAnsi="Calibri"/>
          <w:sz w:val="21"/>
          <w:szCs w:val="21"/>
        </w:rPr>
        <w:t xml:space="preserve">shadcn/ui (déjà disponible dans votre environnement de prototypage) offre une base neutre et personnalisable idéale pour un produit "sobre mais moderne" ; Tailwind CSS pour la cohérence des tokens d'espacement/couleur ; Radix UI en sous-couche d'accessibilité (focus trap, aria) si vous sortez du prototype pur pour aller vers le code de production.</w:t>
      </w:r>
    </w:p>
    <w:p>
      <w:pPr>
        <w:pStyle w:val="ListParagraph"/>
        <w:numPr>
          <w:ilvl w:val="0"/>
          <w:numId w:val="1"/>
        </w:numPr>
        <w:spacing w:after="90" w:line="264"/>
      </w:pPr>
      <w:r>
        <w:rPr>
          <w:rFonts w:ascii="Calibri" w:cs="Calibri" w:eastAsia="Calibri" w:hAnsi="Calibri"/>
          <w:b/>
          <w:bCs/>
          <w:sz w:val="21"/>
          <w:szCs w:val="21"/>
        </w:rPr>
        <w:t xml:space="preserve">Gouvernance de design system 2026 — </w:t>
      </w:r>
      <w:r>
        <w:rPr>
          <w:rFonts w:ascii="Calibri" w:cs="Calibri" w:eastAsia="Calibri" w:hAnsi="Calibri"/>
          <w:sz w:val="21"/>
          <w:szCs w:val="21"/>
        </w:rPr>
        <w:t xml:space="preserve">la tendance de fond (UXPin) est de traiter le design system comme une couche de règles qui contraint aussi bien les designers humains que les générateurs IA (Figma AI, v0, etc.) — à anticiper si vous comptez accélérer la production d'écrans avec de l'IA générative.</w:t>
      </w:r>
    </w:p>
    <w:p>
      <w:pPr>
        <w:spacing w:after="200" w:before="40"/>
      </w:pPr>
      <w:r>
        <w:rPr>
          <w:rFonts w:ascii="Calibri" w:cs="Calibri" w:eastAsia="Calibri" w:hAnsi="Calibri"/>
          <w:i/>
          <w:iCs/>
          <w:color w:val="808080"/>
          <w:sz w:val="17"/>
          <w:szCs w:val="17"/>
        </w:rPr>
        <w:t xml:space="preserve">Sources : UXPin, shadcn/ui (documentation publique), Tailwind Labs — 2026.</w:t>
      </w:r>
    </w:p>
    <w:p>
      <w:pPr>
        <w:pStyle w:val="Heading2"/>
        <w:spacing w:after="160" w:before="360"/>
      </w:pPr>
      <w:r>
        <w:t xml:space="preserve">6.3 Principes UX propres au secteur juridique</w:t>
      </w:r>
    </w:p>
    <w:p>
      <w:pPr>
        <w:pStyle w:val="ListParagraph"/>
        <w:numPr>
          <w:ilvl w:val="0"/>
          <w:numId w:val="1"/>
        </w:numPr>
        <w:spacing w:after="90" w:line="264"/>
      </w:pPr>
      <w:r>
        <w:rPr>
          <w:rFonts w:ascii="Calibri" w:cs="Calibri" w:eastAsia="Calibri" w:hAnsi="Calibri"/>
          <w:b/>
          <w:bCs/>
          <w:sz w:val="21"/>
          <w:szCs w:val="21"/>
        </w:rPr>
        <w:t xml:space="preserve">Confiance avant fluidité — </w:t>
      </w:r>
      <w:r>
        <w:rPr>
          <w:rFonts w:ascii="Calibri" w:cs="Calibri" w:eastAsia="Calibri" w:hAnsi="Calibri"/>
          <w:sz w:val="21"/>
          <w:szCs w:val="21"/>
        </w:rPr>
        <w:t xml:space="preserve">un juriste préfère un système qui explique sa source (citation, document d'origine) à un système plus rapide mais opaque ; c'est le facteur numéro un de différenciation entre les IA juridiques (Lexis+, CoCounsel) et les LLM génériques dans les comparatifs 2026.</w:t>
      </w:r>
    </w:p>
    <w:p>
      <w:pPr>
        <w:pStyle w:val="ListParagraph"/>
        <w:numPr>
          <w:ilvl w:val="0"/>
          <w:numId w:val="1"/>
        </w:numPr>
        <w:spacing w:after="90" w:line="264"/>
      </w:pPr>
      <w:r>
        <w:rPr>
          <w:rFonts w:ascii="Calibri" w:cs="Calibri" w:eastAsia="Calibri" w:hAnsi="Calibri"/>
          <w:b/>
          <w:bCs/>
          <w:sz w:val="21"/>
          <w:szCs w:val="21"/>
        </w:rPr>
        <w:t xml:space="preserve">Traçabilité et auditabilité — </w:t>
      </w:r>
      <w:r>
        <w:rPr>
          <w:rFonts w:ascii="Calibri" w:cs="Calibri" w:eastAsia="Calibri" w:hAnsi="Calibri"/>
          <w:sz w:val="21"/>
          <w:szCs w:val="21"/>
        </w:rPr>
        <w:t xml:space="preserve">chaque action sur un dossier doit être historisée nativement (qui, quoi, quand) — un besoin réglementaire autant qu'ergonomique, repris dans votre cahier des charges.</w:t>
      </w:r>
    </w:p>
    <w:p>
      <w:pPr>
        <w:pStyle w:val="ListParagraph"/>
        <w:numPr>
          <w:ilvl w:val="0"/>
          <w:numId w:val="1"/>
        </w:numPr>
        <w:spacing w:after="90" w:line="264"/>
      </w:pPr>
      <w:r>
        <w:rPr>
          <w:rFonts w:ascii="Calibri" w:cs="Calibri" w:eastAsia="Calibri" w:hAnsi="Calibri"/>
          <w:b/>
          <w:bCs/>
          <w:sz w:val="21"/>
          <w:szCs w:val="21"/>
        </w:rPr>
        <w:t xml:space="preserve">Séparation stricte des accès — </w:t>
      </w:r>
      <w:r>
        <w:rPr>
          <w:rFonts w:ascii="Calibri" w:cs="Calibri" w:eastAsia="Calibri" w:hAnsi="Calibri"/>
          <w:sz w:val="21"/>
          <w:szCs w:val="21"/>
        </w:rPr>
        <w:t xml:space="preserve">le concept de « muraille éthique » (ethical wall), central chez iManage/NetDocuments pour éviter les conflits d'intérêt entre dossiers, est une bonne pratique transposable à votre système de rôles multi-agences même si le cahier des charges ne le rend pas indispensable dès la V1.</w:t>
      </w:r>
    </w:p>
    <w:p>
      <w:pPr>
        <w:pStyle w:val="ListParagraph"/>
        <w:numPr>
          <w:ilvl w:val="0"/>
          <w:numId w:val="1"/>
        </w:numPr>
        <w:spacing w:after="90" w:line="264"/>
      </w:pPr>
      <w:r>
        <w:rPr>
          <w:rFonts w:ascii="Calibri" w:cs="Calibri" w:eastAsia="Calibri" w:hAnsi="Calibri"/>
          <w:b/>
          <w:bCs/>
          <w:sz w:val="21"/>
          <w:szCs w:val="21"/>
        </w:rPr>
        <w:t xml:space="preserve">Sobriété visuelle = crédibilité perçue — </w:t>
      </w:r>
      <w:r>
        <w:rPr>
          <w:rFonts w:ascii="Calibri" w:cs="Calibri" w:eastAsia="Calibri" w:hAnsi="Calibri"/>
          <w:sz w:val="21"/>
          <w:szCs w:val="21"/>
        </w:rPr>
        <w:t xml:space="preserve">les interfaces les plus "ludiques" ou colorées sont perçues comme moins sérieuses par la profession — un motif qui explique la préférence sectorielle pour les palettes sobres évoquée en 6.1.</w:t>
      </w:r>
    </w:p>
    <w:p>
      <w:pPr>
        <w:pStyle w:val="Heading2"/>
        <w:spacing w:after="160" w:before="360"/>
      </w:pPr>
      <w:r>
        <w:t xml:space="preserve">6.4 Le vide de marché africain/sénégalais — une opportunité de conception</w:t>
      </w:r>
    </w:p>
    <w:p>
      <w:pPr>
        <w:spacing w:after="160" w:line="276"/>
      </w:pPr>
      <w:r>
        <w:rPr>
          <w:rFonts w:ascii="Calibri" w:cs="Calibri" w:eastAsia="Calibri" w:hAnsi="Calibri"/>
          <w:sz w:val="21"/>
          <w:szCs w:val="21"/>
        </w:rPr>
        <w:t xml:space="preserve">Aucune des solutions étudiées n'est conçue nativement pour un contexte multi-agences avec droit OHADA/sénégalais, connectivité parfois intermittente, ou usages mobiles dominants. Trois implications directes pour votre Design System :</w:t>
      </w:r>
    </w:p>
    <w:p>
      <w:pPr>
        <w:pStyle w:val="ListParagraph"/>
        <w:numPr>
          <w:ilvl w:val="0"/>
          <w:numId w:val="1"/>
        </w:numPr>
        <w:spacing w:after="90" w:line="264"/>
      </w:pPr>
      <w:r>
        <w:rPr>
          <w:rFonts w:ascii="Calibri" w:cs="Calibri" w:eastAsia="Calibri" w:hAnsi="Calibri"/>
          <w:b/>
          <w:bCs/>
          <w:sz w:val="21"/>
          <w:szCs w:val="21"/>
        </w:rPr>
        <w:t xml:space="preserve">Mode dégradé / offline-first — </w:t>
      </w:r>
      <w:r>
        <w:rPr>
          <w:rFonts w:ascii="Calibri" w:cs="Calibri" w:eastAsia="Calibri" w:hAnsi="Calibri"/>
          <w:sz w:val="21"/>
          <w:szCs w:val="21"/>
        </w:rPr>
        <w:t xml:space="preserve">concevoir des états "non connecté" clairs plutôt que de supposer une connexion permanente, à la différence des LPMS américains qui supposent un haut débit constant.</w:t>
      </w:r>
    </w:p>
    <w:p>
      <w:pPr>
        <w:pStyle w:val="ListParagraph"/>
        <w:numPr>
          <w:ilvl w:val="0"/>
          <w:numId w:val="1"/>
        </w:numPr>
        <w:spacing w:after="90" w:line="264"/>
      </w:pPr>
      <w:r>
        <w:rPr>
          <w:rFonts w:ascii="Calibri" w:cs="Calibri" w:eastAsia="Calibri" w:hAnsi="Calibri"/>
          <w:b/>
          <w:bCs/>
          <w:sz w:val="21"/>
          <w:szCs w:val="21"/>
        </w:rPr>
        <w:t xml:space="preserve">Mobile réellement prioritaire, pas juste "responsive" — </w:t>
      </w:r>
      <w:r>
        <w:rPr>
          <w:rFonts w:ascii="Calibri" w:cs="Calibri" w:eastAsia="Calibri" w:hAnsi="Calibri"/>
          <w:sz w:val="21"/>
          <w:szCs w:val="21"/>
        </w:rPr>
        <w:t xml:space="preserve">vos utilisateurs (avocats, secrétaires) consulteront probablement autant depuis un téléphone que depuis un poste fixe ; les LPMS étudiés traitent le mobile comme un complément à une app desktop dense — vous pouvez inverser cette hiérarchie dès la conception.</w:t>
      </w:r>
    </w:p>
    <w:p>
      <w:pPr>
        <w:pStyle w:val="ListParagraph"/>
        <w:numPr>
          <w:ilvl w:val="0"/>
          <w:numId w:val="1"/>
        </w:numPr>
        <w:spacing w:after="90" w:line="264"/>
      </w:pPr>
      <w:r>
        <w:rPr>
          <w:rFonts w:ascii="Calibri" w:cs="Calibri" w:eastAsia="Calibri" w:hAnsi="Calibri"/>
          <w:b/>
          <w:bCs/>
          <w:sz w:val="21"/>
          <w:szCs w:val="21"/>
        </w:rPr>
        <w:t xml:space="preserve">Sobriété des visuels et poids des pages — </w:t>
      </w:r>
      <w:r>
        <w:rPr>
          <w:rFonts w:ascii="Calibri" w:cs="Calibri" w:eastAsia="Calibri" w:hAnsi="Calibri"/>
          <w:sz w:val="21"/>
          <w:szCs w:val="21"/>
        </w:rPr>
        <w:t xml:space="preserve">éviter les mesh gradients et animations lourdes tendance 2026 (pensés pour des marchés à bande passante illimitée) au profit d'une interface légère, rapide, qui reste crédible sur des connexions plus modestes.</w:t>
      </w:r>
    </w:p>
    <w:p>
      <w:pPr>
        <w:pStyle w:val="Heading1"/>
        <w:spacing w:after="240" w:before="480"/>
      </w:pPr>
      <w:r>
        <w:t xml:space="preserve">7. Comparaison complète</w:t>
      </w:r>
    </w:p>
    <w:p>
      <w:pPr>
        <w:spacing w:after="0"/>
      </w:pPr>
    </w:p>
    <w:tbl>
      <w:tblPr>
        <w:tblW w:type="dxa" w:w="14600"/>
        <w:tblBorders>
          <w:top w:val="single" w:color="D8D3C8" w:sz="2"/>
          <w:left w:val="single" w:color="D8D3C8" w:sz="2"/>
          <w:bottom w:val="single" w:color="D8D3C8" w:sz="2"/>
          <w:right w:val="single" w:color="D8D3C8" w:sz="2"/>
          <w:insideH w:val="single" w:color="D8D3C8" w:sz="2"/>
          <w:insideV w:val="single" w:color="D8D3C8" w:sz="2"/>
        </w:tblBorders>
      </w:tblPr>
      <w:tblGrid>
        <w:gridCol w:w="1400"/>
        <w:gridCol w:w="2400"/>
        <w:gridCol w:w="2400"/>
        <w:gridCol w:w="2400"/>
        <w:gridCol w:w="2200"/>
        <w:gridCol w:w="1800"/>
        <w:gridCol w:w="2000"/>
      </w:tblGrid>
      <w:tr>
        <w:trPr>
          <w:tblHeader/>
        </w:trPr>
        <w:tc>
          <w:tcPr>
            <w:tcW w:type="dxa" w:w="14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Solution</w:t>
            </w:r>
          </w:p>
        </w:tc>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Fonctionnalités</w:t>
            </w:r>
          </w:p>
        </w:tc>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UX/UI</w:t>
            </w:r>
          </w:p>
        </w:tc>
        <w:tc>
          <w:tcPr>
            <w:tcW w:type="dxa" w:w="24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IA</w:t>
            </w:r>
          </w:p>
        </w:tc>
        <w:tc>
          <w:tcPr>
            <w:tcW w:type="dxa" w:w="22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Documentaire</w:t>
            </w:r>
          </w:p>
        </w:tc>
        <w:tc>
          <w:tcPr>
            <w:tcW w:type="dxa" w:w="18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Collaboration</w:t>
            </w:r>
          </w:p>
        </w:tc>
        <w:tc>
          <w:tcPr>
            <w:tcW w:type="dxa" w:w="20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Cible</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Clio</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Très large (facturation, CRM, e-filing)</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Riche, parfois dense</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Clio Duo + Clio Work (vLex)</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Automatisation avancée</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Portail client</w:t>
            </w:r>
          </w:p>
        </w:tc>
        <w:tc>
          <w:tcPr>
            <w:tcW w:type="dxa" w:w="20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Petits à grands cabinets</w:t>
            </w:r>
          </w:p>
        </w:tc>
      </w:tr>
      <w:tr>
        <w:tc>
          <w:tcPr>
            <w:tcW w:type="dxa" w:w="1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MyCase</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Cœur LPMS + comptabilité de base</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Simple, très accessible</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MyCase IQ (résumés, traduction)</w:t>
            </w:r>
          </w:p>
        </w:tc>
        <w:tc>
          <w:tcPr>
            <w:tcW w:type="dxa" w:w="22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Correct, limites de taille</w:t>
            </w:r>
          </w:p>
        </w:tc>
        <w:tc>
          <w:tcPr>
            <w:tcW w:type="dxa" w:w="18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Portail + SMS</w:t>
            </w:r>
          </w:p>
        </w:tc>
        <w:tc>
          <w:tcPr>
            <w:tcW w:type="dxa" w:w="20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Petits/moyens cabinets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Filevine</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Configurable, reporting avancé</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Flux unifié notes/tâches</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LOIS AI</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Stockage illimité, filtres avancés</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Fil unique par dossier</w:t>
            </w:r>
          </w:p>
        </w:tc>
        <w:tc>
          <w:tcPr>
            <w:tcW w:type="dxa" w:w="20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Contentieux, mid-market</w:t>
            </w:r>
          </w:p>
        </w:tc>
      </w:tr>
      <w:tr>
        <w:tc>
          <w:tcPr>
            <w:tcW w:type="dxa" w:w="1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Smokeball</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Auto time-tracking, formulaires</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Robuste mais hybride desktop</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Limitée</w:t>
            </w:r>
          </w:p>
        </w:tc>
        <w:tc>
          <w:tcPr>
            <w:tcW w:type="dxa" w:w="22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Bonne intégration Office</w:t>
            </w:r>
          </w:p>
        </w:tc>
        <w:tc>
          <w:tcPr>
            <w:tcW w:type="dxa" w:w="18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Basique</w:t>
            </w:r>
          </w:p>
        </w:tc>
        <w:tc>
          <w:tcPr>
            <w:tcW w:type="dxa" w:w="20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Petits/moyens cabinets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LEAP</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Centralisation en un onglet</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Jugée parfois rigide</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LawY (recherche/rédaction)</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Correcte</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Basique</w:t>
            </w:r>
          </w:p>
        </w:tc>
        <w:tc>
          <w:tcPr>
            <w:tcW w:type="dxa" w:w="20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Petits/moyens cabinets</w:t>
            </w:r>
          </w:p>
        </w:tc>
      </w:tr>
      <w:tr>
        <w:tc>
          <w:tcPr>
            <w:tcW w:type="dxa" w:w="1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iManage</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Gouvernance, records mgmt</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Complexe, forte courbe d'apprentissage</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RAVN AI</w:t>
            </w:r>
          </w:p>
        </w:tc>
        <w:tc>
          <w:tcPr>
            <w:tcW w:type="dxa" w:w="22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Référence du marché</w:t>
            </w:r>
          </w:p>
        </w:tc>
        <w:tc>
          <w:tcPr>
            <w:tcW w:type="dxa" w:w="18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Intégration Outlook profonde</w:t>
            </w:r>
          </w:p>
        </w:tc>
        <w:tc>
          <w:tcPr>
            <w:tcW w:type="dxa" w:w="20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Grands cabinets (BigLaw)</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NetDocuments</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Cloud-natif, collaboratif</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Plus simple qu'iManage</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PatternBuilder</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Très bonne, OCR intégré</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Édition concurrente</w:t>
            </w:r>
          </w:p>
        </w:tc>
        <w:tc>
          <w:tcPr>
            <w:tcW w:type="dxa" w:w="20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Moyens/grands cabinets</w:t>
            </w:r>
          </w:p>
        </w:tc>
      </w:tr>
      <w:tr>
        <w:tc>
          <w:tcPr>
            <w:tcW w:type="dxa" w:w="1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Harvey AI</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Agents personnalisés</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Interface dédiée à apprendre</w:t>
            </w:r>
          </w:p>
        </w:tc>
        <w:tc>
          <w:tcPr>
            <w:tcW w:type="dxa" w:w="24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IA générative avancée (pas de base propriétaire)</w:t>
            </w:r>
          </w:p>
        </w:tc>
        <w:tc>
          <w:tcPr>
            <w:tcW w:type="dxa" w:w="22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N/A (s'appuie sur DMS existant)</w:t>
            </w:r>
          </w:p>
        </w:tc>
        <w:tc>
          <w:tcPr>
            <w:tcW w:type="dxa" w:w="18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N/A</w:t>
            </w:r>
          </w:p>
        </w:tc>
        <w:tc>
          <w:tcPr>
            <w:tcW w:type="dxa" w:w="20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Grands cabinets, budgets élevés</w:t>
            </w:r>
          </w:p>
        </w:tc>
      </w:tr>
      <w:tr>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CoCounsel / Lexis+</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Recherche, revue de contrats</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Intégré à Westlaw/Lexis existant</w:t>
            </w:r>
          </w:p>
        </w:tc>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Citations ancrées (faible hallucination)</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N/A</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N/A</w:t>
            </w:r>
          </w:p>
        </w:tc>
        <w:tc>
          <w:tcPr>
            <w:tcW w:type="dxa" w:w="20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Cabinets déjà abonnés Westlaw/Lexis</w:t>
            </w:r>
          </w:p>
        </w:tc>
      </w:tr>
    </w:tbl>
    <w:p>
      <w:pPr>
        <w:spacing w:after="200" w:before="40"/>
      </w:pPr>
      <w:r>
        <w:rPr>
          <w:rFonts w:ascii="Calibri" w:cs="Calibri" w:eastAsia="Calibri" w:hAnsi="Calibri"/>
          <w:i/>
          <w:iCs/>
          <w:color w:val="808080"/>
          <w:sz w:val="17"/>
          <w:szCs w:val="17"/>
        </w:rPr>
        <w:t xml:space="preserve">Sources : Synthèse de l'ensemble des sources citées en section 4.</w:t>
      </w:r>
    </w:p>
    <w:p>
      <w:pPr>
        <w:pStyle w:val="Heading1"/>
        <w:spacing w:after="240" w:before="480"/>
      </w:pPr>
      <w:r>
        <w:t xml:space="preserve">8. Comment concevoir une plateforme meilleure que les leaders actuels</w:t>
      </w:r>
    </w:p>
    <w:p>
      <w:pPr>
        <w:spacing w:after="160" w:line="276"/>
      </w:pPr>
      <w:r>
        <w:rPr>
          <w:rFonts w:ascii="Calibri" w:cs="Calibri" w:eastAsia="Calibri" w:hAnsi="Calibri"/>
          <w:sz w:val="21"/>
          <w:szCs w:val="21"/>
        </w:rPr>
        <w:t xml:space="preserve">Cette section traduit les constats précédents en décisions concrètes pour votre prototype UI/UX.</w:t>
      </w:r>
    </w:p>
    <w:p>
      <w:pPr>
        <w:pStyle w:val="Heading2"/>
        <w:spacing w:after="160" w:before="360"/>
      </w:pPr>
      <w:r>
        <w:t xml:space="preserve">8.1 Fonctionnalités incontournables (table d'entrée du marché)</w:t>
      </w:r>
    </w:p>
    <w:p>
      <w:pPr>
        <w:pStyle w:val="ListParagraph"/>
        <w:numPr>
          <w:ilvl w:val="0"/>
          <w:numId w:val="1"/>
        </w:numPr>
        <w:spacing w:after="90" w:line="264"/>
      </w:pPr>
      <w:r>
        <w:t xml:space="preserve">Fiche dossier centralisée avec onglets Aperçu / Documents / Historique / Communication</w:t>
      </w:r>
    </w:p>
    <w:p>
      <w:pPr>
        <w:pStyle w:val="ListParagraph"/>
        <w:numPr>
          <w:ilvl w:val="0"/>
          <w:numId w:val="1"/>
        </w:numPr>
        <w:spacing w:after="90" w:line="264"/>
      </w:pPr>
      <w:r>
        <w:t xml:space="preserve">Recherche universelle (dossiers, contacts, documents) accessible depuis toutes les pages</w:t>
      </w:r>
    </w:p>
    <w:p>
      <w:pPr>
        <w:pStyle w:val="ListParagraph"/>
        <w:numPr>
          <w:ilvl w:val="0"/>
          <w:numId w:val="1"/>
        </w:numPr>
        <w:spacing w:after="90" w:line="264"/>
      </w:pPr>
      <w:r>
        <w:t xml:space="preserve">Tableau de bord filtrable par agence, avec échéances et charge de travail par avocat</w:t>
      </w:r>
    </w:p>
    <w:p>
      <w:pPr>
        <w:pStyle w:val="ListParagraph"/>
        <w:numPr>
          <w:ilvl w:val="0"/>
          <w:numId w:val="1"/>
        </w:numPr>
        <w:spacing w:after="90" w:line="264"/>
      </w:pPr>
      <w:r>
        <w:t xml:space="preserve">Portail/fil de messagerie lié nativement à chaque dossier (pas une messagerie généraliste greffée)</w:t>
      </w:r>
    </w:p>
    <w:p>
      <w:pPr>
        <w:pStyle w:val="ListParagraph"/>
        <w:numPr>
          <w:ilvl w:val="0"/>
          <w:numId w:val="1"/>
        </w:numPr>
        <w:spacing w:after="90" w:line="264"/>
      </w:pPr>
      <w:r>
        <w:t xml:space="preserve">Historique/traçabilité horodatée de chaque action, non modifiable</w:t>
      </w:r>
    </w:p>
    <w:p>
      <w:pPr>
        <w:pStyle w:val="ListParagraph"/>
        <w:numPr>
          <w:ilvl w:val="0"/>
          <w:numId w:val="1"/>
        </w:numPr>
        <w:spacing w:after="90" w:line="264"/>
      </w:pPr>
      <w:r>
        <w:t xml:space="preserve">Gestion des rôles avec au minimum : gérant central, avocat en chef, avocat, assistant, secrétaire</w:t>
      </w:r>
    </w:p>
    <w:p>
      <w:pPr>
        <w:pStyle w:val="Heading2"/>
        <w:spacing w:after="160" w:before="360"/>
      </w:pPr>
      <w:r>
        <w:t xml:space="preserve">8.2 Fonctionnalités innovantes à ajouter (différenciation réelle)</w:t>
      </w:r>
    </w:p>
    <w:p>
      <w:pPr>
        <w:pStyle w:val="ListParagraph"/>
        <w:numPr>
          <w:ilvl w:val="0"/>
          <w:numId w:val="1"/>
        </w:numPr>
        <w:spacing w:after="90" w:line="264"/>
      </w:pPr>
      <w:r>
        <w:rPr>
          <w:rFonts w:ascii="Calibri" w:cs="Calibri" w:eastAsia="Calibri" w:hAnsi="Calibri"/>
          <w:b/>
          <w:bCs/>
          <w:sz w:val="21"/>
          <w:szCs w:val="21"/>
        </w:rPr>
        <w:t xml:space="preserve">IA de triage explicable — </w:t>
      </w:r>
      <w:r>
        <w:rPr>
          <w:rFonts w:ascii="Calibri" w:cs="Calibri" w:eastAsia="Calibri" w:hAnsi="Calibri"/>
          <w:sz w:val="21"/>
          <w:szCs w:val="21"/>
        </w:rPr>
        <w:t xml:space="preserve">à chaque suggestion d'avocat, afficher les 2-3 critères qui l'expliquent (domaine de compétence, charge actuelle, historique similaire) — aucun concurrent étudié n'expose ce niveau de transparence pour l'affectation, alors que c'est devenu un standard pour la recherche juridique (citations Lexis+/CoCounsel).</w:t>
      </w:r>
    </w:p>
    <w:p>
      <w:pPr>
        <w:pStyle w:val="ListParagraph"/>
        <w:numPr>
          <w:ilvl w:val="0"/>
          <w:numId w:val="1"/>
        </w:numPr>
        <w:spacing w:after="90" w:line="264"/>
      </w:pPr>
      <w:r>
        <w:rPr>
          <w:rFonts w:ascii="Calibri" w:cs="Calibri" w:eastAsia="Calibri" w:hAnsi="Calibri"/>
          <w:b/>
          <w:bCs/>
          <w:sz w:val="21"/>
          <w:szCs w:val="21"/>
        </w:rPr>
        <w:t xml:space="preserve">Vue "réseau d'agences" — </w:t>
      </w:r>
      <w:r>
        <w:rPr>
          <w:rFonts w:ascii="Calibri" w:cs="Calibri" w:eastAsia="Calibri" w:hAnsi="Calibri"/>
          <w:sz w:val="21"/>
          <w:szCs w:val="21"/>
        </w:rPr>
        <w:t xml:space="preserve">une carte ou vue hiérarchique montrant la charge et les transferts de dossiers entre agences — aucune solution généraliste étudiée ne propose cette vue, car elles sont conçues pour un cabinet mono-site.</w:t>
      </w:r>
    </w:p>
    <w:p>
      <w:pPr>
        <w:pStyle w:val="ListParagraph"/>
        <w:numPr>
          <w:ilvl w:val="0"/>
          <w:numId w:val="1"/>
        </w:numPr>
        <w:spacing w:after="90" w:line="264"/>
      </w:pPr>
      <w:r>
        <w:rPr>
          <w:rFonts w:ascii="Calibri" w:cs="Calibri" w:eastAsia="Calibri" w:hAnsi="Calibri"/>
          <w:b/>
          <w:bCs/>
          <w:sz w:val="21"/>
          <w:szCs w:val="21"/>
        </w:rPr>
        <w:t xml:space="preserve">Mode dégradé assumé — </w:t>
      </w:r>
      <w:r>
        <w:rPr>
          <w:rFonts w:ascii="Calibri" w:cs="Calibri" w:eastAsia="Calibri" w:hAnsi="Calibri"/>
          <w:sz w:val="21"/>
          <w:szCs w:val="21"/>
        </w:rPr>
        <w:t xml:space="preserve">bannière et indicateurs clairs de synchronisation lorsque la connexion est instable, avec file d'actions en attente — pertinent pour le contexte visé, absent des LPMS étudiés.</w:t>
      </w:r>
    </w:p>
    <w:p>
      <w:pPr>
        <w:pStyle w:val="ListParagraph"/>
        <w:numPr>
          <w:ilvl w:val="0"/>
          <w:numId w:val="1"/>
        </w:numPr>
        <w:spacing w:after="90" w:line="264"/>
      </w:pPr>
      <w:r>
        <w:rPr>
          <w:rFonts w:ascii="Calibri" w:cs="Calibri" w:eastAsia="Calibri" w:hAnsi="Calibri"/>
          <w:b/>
          <w:bCs/>
          <w:sz w:val="21"/>
          <w:szCs w:val="21"/>
        </w:rPr>
        <w:t xml:space="preserve">IA "non branchée" élégante — </w:t>
      </w:r>
      <w:r>
        <w:rPr>
          <w:rFonts w:ascii="Calibri" w:cs="Calibri" w:eastAsia="Calibri" w:hAnsi="Calibri"/>
          <w:sz w:val="21"/>
          <w:szCs w:val="21"/>
        </w:rPr>
        <w:t xml:space="preserve">puisque votre équipe IA arrive plus tard dans le hackathon, prévoyez dès la conception un état visuel "non analysé" soigné (badge neutre, pas une erreur) plutôt qu'un vide brut — cohérent avec votre document de sprints.</w:t>
      </w:r>
    </w:p>
    <w:p>
      <w:pPr>
        <w:pStyle w:val="Heading2"/>
        <w:spacing w:after="160" w:before="360"/>
      </w:pPr>
      <w:r>
        <w:t xml:space="preserve">8.3 Erreurs observées chez les leaders à éviter</w:t>
      </w:r>
    </w:p>
    <w:p>
      <w:pPr>
        <w:pStyle w:val="ListParagraph"/>
        <w:numPr>
          <w:ilvl w:val="0"/>
          <w:numId w:val="1"/>
        </w:numPr>
        <w:spacing w:after="90" w:line="264"/>
      </w:pPr>
      <w:r>
        <w:t xml:space="preserve">Sur-densification progressive du menu latéral au fil des ajouts de fonctionnalités (reproche récurrent sur Clio) — prévoir une architecture d'information extensible dès la V1</w:t>
      </w:r>
    </w:p>
    <w:p>
      <w:pPr>
        <w:pStyle w:val="ListParagraph"/>
        <w:numPr>
          <w:ilvl w:val="0"/>
          <w:numId w:val="1"/>
        </w:numPr>
        <w:spacing w:after="90" w:line="264"/>
      </w:pPr>
      <w:r>
        <w:t xml:space="preserve">Aperçu de documents insuffisant, obligeant à télécharger le fichier pour le consulter (reproche fréquent chez les LPMS orientés petits cabinets) — intégrer une visionneuse PDF native</w:t>
      </w:r>
    </w:p>
    <w:p>
      <w:pPr>
        <w:pStyle w:val="ListParagraph"/>
        <w:numPr>
          <w:ilvl w:val="0"/>
          <w:numId w:val="1"/>
        </w:numPr>
        <w:spacing w:after="90" w:line="264"/>
      </w:pPr>
      <w:r>
        <w:t xml:space="preserve">Personnalisation de dashboard trop limitée pour un usage multi-site (reproche MyCase) — inclure un filtre d'agence dès la première version du tableau de bord</w:t>
      </w:r>
    </w:p>
    <w:p>
      <w:pPr>
        <w:pStyle w:val="ListParagraph"/>
        <w:numPr>
          <w:ilvl w:val="0"/>
          <w:numId w:val="1"/>
        </w:numPr>
        <w:spacing w:after="90" w:line="264"/>
      </w:pPr>
      <w:r>
        <w:t xml:space="preserve">Pricing et fonctionnalités additionnelles opaques (reproche transversal sur Filevine, Harvey, iManage) — non applicable à un prototype, mais à garder en tête pour la présentation produit</w:t>
      </w:r>
    </w:p>
    <w:p>
      <w:pPr>
        <w:pStyle w:val="Heading2"/>
        <w:spacing w:after="160" w:before="360"/>
      </w:pPr>
      <w:r>
        <w:t xml:space="preserve">8.4 Design System recommandé</w:t>
      </w:r>
    </w:p>
    <w:p>
      <w:pPr>
        <w:pStyle w:val="Heading3"/>
        <w:spacing w:after="120" w:before="260"/>
      </w:pPr>
      <w:r>
        <w:t xml:space="preserve">Palette de couleurs</w:t>
      </w:r>
    </w:p>
    <w:p>
      <w:pPr>
        <w:spacing w:after="0"/>
      </w:pPr>
    </w:p>
    <w:tbl>
      <w:tblPr>
        <w:tblW w:type="dxa" w:w="10400"/>
        <w:tblBorders>
          <w:top w:val="single" w:color="D8D3C8" w:sz="2"/>
          <w:left w:val="single" w:color="D8D3C8" w:sz="2"/>
          <w:bottom w:val="single" w:color="D8D3C8" w:sz="2"/>
          <w:right w:val="single" w:color="D8D3C8" w:sz="2"/>
          <w:insideH w:val="single" w:color="D8D3C8" w:sz="2"/>
          <w:insideV w:val="single" w:color="D8D3C8" w:sz="2"/>
        </w:tblBorders>
      </w:tblPr>
      <w:tblGrid>
        <w:gridCol w:w="2200"/>
        <w:gridCol w:w="2600"/>
        <w:gridCol w:w="1600"/>
        <w:gridCol w:w="4000"/>
      </w:tblGrid>
      <w:tr>
        <w:trPr>
          <w:tblHeader/>
        </w:trPr>
        <w:tc>
          <w:tcPr>
            <w:tcW w:type="dxa" w:w="22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Rôle</w:t>
            </w:r>
          </w:p>
        </w:tc>
        <w:tc>
          <w:tcPr>
            <w:tcW w:type="dxa" w:w="26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Couleur</w:t>
            </w:r>
          </w:p>
        </w:tc>
        <w:tc>
          <w:tcPr>
            <w:tcW w:type="dxa" w:w="16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Hex</w:t>
            </w:r>
          </w:p>
        </w:tc>
        <w:tc>
          <w:tcPr>
            <w:tcW w:type="dxa" w:w="4000"/>
            <w:shd w:fill="1B2A4A"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Usage</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Primaire (marque)</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Bleu nuit / Navy</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#1B2A4A</w:t>
            </w:r>
          </w:p>
        </w:tc>
        <w:tc>
          <w:tcPr>
            <w:tcW w:type="dxa" w:w="40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Sidebar, en-têtes, actions principales</w:t>
            </w:r>
          </w:p>
        </w:tc>
      </w:tr>
      <w:tr>
        <w:tc>
          <w:tcPr>
            <w:tcW w:type="dxa" w:w="22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Accent chaud</w:t>
            </w:r>
          </w:p>
        </w:tc>
        <w:tc>
          <w:tcPr>
            <w:tcW w:type="dxa" w:w="2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Or / Bronze discret</w:t>
            </w:r>
          </w:p>
        </w:tc>
        <w:tc>
          <w:tcPr>
            <w:tcW w:type="dxa" w:w="1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#9C7A3C</w:t>
            </w:r>
          </w:p>
        </w:tc>
        <w:tc>
          <w:tcPr>
            <w:tcW w:type="dxa" w:w="40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Éléments IA, mise en avant ponctuelle, badges premium</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Neutre clair</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Blanc cassé chaud</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#F5F2ED</w:t>
            </w:r>
          </w:p>
        </w:tc>
        <w:tc>
          <w:tcPr>
            <w:tcW w:type="dxa" w:w="40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Fond principal (réduit la fatigue oculaire sur sessions longues)</w:t>
            </w:r>
          </w:p>
        </w:tc>
      </w:tr>
      <w:tr>
        <w:tc>
          <w:tcPr>
            <w:tcW w:type="dxa" w:w="22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Neutre texte</w:t>
            </w:r>
          </w:p>
        </w:tc>
        <w:tc>
          <w:tcPr>
            <w:tcW w:type="dxa" w:w="2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Anthracite</w:t>
            </w:r>
          </w:p>
        </w:tc>
        <w:tc>
          <w:tcPr>
            <w:tcW w:type="dxa" w:w="1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#27272A</w:t>
            </w:r>
          </w:p>
        </w:tc>
        <w:tc>
          <w:tcPr>
            <w:tcW w:type="dxa" w:w="40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Corps de texte</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Succès</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Vert sauge</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#2F7A54</w:t>
            </w:r>
          </w:p>
        </w:tc>
        <w:tc>
          <w:tcPr>
            <w:tcW w:type="dxa" w:w="40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Dossier clôturé, paiement reçu</w:t>
            </w:r>
          </w:p>
        </w:tc>
      </w:tr>
      <w:tr>
        <w:tc>
          <w:tcPr>
            <w:tcW w:type="dxa" w:w="22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Attention</w:t>
            </w:r>
          </w:p>
        </w:tc>
        <w:tc>
          <w:tcPr>
            <w:tcW w:type="dxa" w:w="2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Ambre</w:t>
            </w:r>
          </w:p>
        </w:tc>
        <w:tc>
          <w:tcPr>
            <w:tcW w:type="dxa" w:w="1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#B7791F</w:t>
            </w:r>
          </w:p>
        </w:tc>
        <w:tc>
          <w:tcPr>
            <w:tcW w:type="dxa" w:w="40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Échéance proche, action requise</w:t>
            </w:r>
          </w:p>
        </w:tc>
      </w:tr>
      <w:tr>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Erreur</w:t>
            </w:r>
          </w:p>
        </w:tc>
        <w:tc>
          <w:tcPr>
            <w:tcW w:type="dxa" w:w="2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Rouge brique</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#B3261E</w:t>
            </w:r>
          </w:p>
        </w:tc>
        <w:tc>
          <w:tcPr>
            <w:tcW w:type="dxa" w:w="4000"/>
            <w:shd w:fill="FFFFFF"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Retard, conflit, erreur</w:t>
            </w:r>
          </w:p>
        </w:tc>
      </w:tr>
      <w:tr>
        <w:tc>
          <w:tcPr>
            <w:tcW w:type="dxa" w:w="22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Bordures/séparateurs</w:t>
            </w:r>
          </w:p>
        </w:tc>
        <w:tc>
          <w:tcPr>
            <w:tcW w:type="dxa" w:w="2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Gris chaud clair</w:t>
            </w:r>
          </w:p>
        </w:tc>
        <w:tc>
          <w:tcPr>
            <w:tcW w:type="dxa" w:w="16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#D8D3C8</w:t>
            </w:r>
          </w:p>
        </w:tc>
        <w:tc>
          <w:tcPr>
            <w:tcW w:type="dxa" w:w="4000"/>
            <w:shd w:fill="F4F1EC" w:val="clear"/>
            <w:tcMar>
              <w:top w:type="dxa" w:w="80"/>
              <w:left w:type="dxa" w:w="100"/>
              <w:bottom w:type="dxa" w:w="80"/>
              <w:right w:type="dxa" w:w="100"/>
            </w:tcMar>
            <w:vAlign w:val="center"/>
          </w:tcPr>
          <w:p>
            <w:r>
              <w:rPr>
                <w:rFonts w:ascii="Calibri" w:cs="Calibri" w:eastAsia="Calibri" w:hAnsi="Calibri"/>
                <w:b w:val="false"/>
                <w:bCs w:val="false"/>
                <w:color w:val="27272A"/>
                <w:sz w:val="18"/>
                <w:szCs w:val="18"/>
              </w:rPr>
              <w:t xml:space="preserve">Tables, cartes, séparateurs</w:t>
            </w:r>
          </w:p>
        </w:tc>
      </w:tr>
    </w:tbl>
    <w:p>
      <w:pPr>
        <w:spacing w:after="160" w:line="276"/>
      </w:pPr>
      <w:r>
        <w:rPr>
          <w:rFonts w:ascii="Calibri" w:cs="Calibri" w:eastAsia="Calibri" w:hAnsi="Calibri"/>
          <w:sz w:val="21"/>
          <w:szCs w:val="21"/>
        </w:rPr>
        <w:t xml:space="preserve">Justification : cette palette s'écarte volontairement du bleu SaaS générique (#2563EB) sur-utilisé dans le secteur (voir 6.1) tout en conservant les codes de sérieux attendus par une clientèle juridique — le navy et l'or évoquent la robe/le prétoire sans tomber dans le cliché "balance de la justice". Toutes les combinaisons texte/fond ci-dessus respectent un ratio de contraste WCAG AA (vérification à refaire systématiquement dans Figma avec un plugin de contraste avant livraison).</w:t>
      </w:r>
    </w:p>
    <w:p>
      <w:pPr>
        <w:pStyle w:val="Heading3"/>
        <w:spacing w:after="120" w:before="260"/>
      </w:pPr>
      <w:r>
        <w:t xml:space="preserve">Typographie recommandée</w:t>
      </w:r>
    </w:p>
    <w:p>
      <w:pPr>
        <w:pStyle w:val="ListParagraph"/>
        <w:numPr>
          <w:ilvl w:val="0"/>
          <w:numId w:val="1"/>
        </w:numPr>
        <w:spacing w:after="90" w:line="264"/>
      </w:pPr>
      <w:r>
        <w:rPr>
          <w:rFonts w:ascii="Calibri" w:cs="Calibri" w:eastAsia="Calibri" w:hAnsi="Calibri"/>
          <w:b/>
          <w:bCs/>
          <w:sz w:val="21"/>
          <w:szCs w:val="21"/>
        </w:rPr>
        <w:t xml:space="preserve">Titres — </w:t>
      </w:r>
      <w:r>
        <w:rPr>
          <w:rFonts w:ascii="Calibri" w:cs="Calibri" w:eastAsia="Calibri" w:hAnsi="Calibri"/>
          <w:sz w:val="21"/>
          <w:szCs w:val="21"/>
        </w:rPr>
        <w:t xml:space="preserve">une sans-serif géométrique moderne (ex. Inter ou Manrope, gratuites et disponibles sur Google Fonts) en 600/700, pour une lecture rapide des titres de dossier et de section.</w:t>
      </w:r>
    </w:p>
    <w:p>
      <w:pPr>
        <w:pStyle w:val="ListParagraph"/>
        <w:numPr>
          <w:ilvl w:val="0"/>
          <w:numId w:val="1"/>
        </w:numPr>
        <w:spacing w:after="90" w:line="264"/>
      </w:pPr>
      <w:r>
        <w:rPr>
          <w:rFonts w:ascii="Calibri" w:cs="Calibri" w:eastAsia="Calibri" w:hAnsi="Calibri"/>
          <w:b/>
          <w:bCs/>
          <w:sz w:val="21"/>
          <w:szCs w:val="21"/>
        </w:rPr>
        <w:t xml:space="preserve">Corps de texte — </w:t>
      </w:r>
      <w:r>
        <w:rPr>
          <w:rFonts w:ascii="Calibri" w:cs="Calibri" w:eastAsia="Calibri" w:hAnsi="Calibri"/>
          <w:sz w:val="21"/>
          <w:szCs w:val="21"/>
        </w:rPr>
        <w:t xml:space="preserve">la même famille en 400/500 pour garantir une cohérence totale entre titres et contenu (évite d'avoir à gérer deux familles de police dans le prototype Figma).</w:t>
      </w:r>
    </w:p>
    <w:p>
      <w:pPr>
        <w:pStyle w:val="ListParagraph"/>
        <w:numPr>
          <w:ilvl w:val="0"/>
          <w:numId w:val="1"/>
        </w:numPr>
        <w:spacing w:after="90" w:line="264"/>
      </w:pPr>
      <w:r>
        <w:rPr>
          <w:rFonts w:ascii="Calibri" w:cs="Calibri" w:eastAsia="Calibri" w:hAnsi="Calibri"/>
          <w:b/>
          <w:bCs/>
          <w:sz w:val="21"/>
          <w:szCs w:val="21"/>
        </w:rPr>
        <w:t xml:space="preserve">Données chiffrées / dates — </w:t>
      </w:r>
      <w:r>
        <w:rPr>
          <w:rFonts w:ascii="Calibri" w:cs="Calibri" w:eastAsia="Calibri" w:hAnsi="Calibri"/>
          <w:sz w:val="21"/>
          <w:szCs w:val="21"/>
        </w:rPr>
        <w:t xml:space="preserve">variante à chasse fixe (ex. JetBrains Mono ou tabular numbers d'Inter) pour l'alignement des montants et des dates dans les tableaux de facturation.</w:t>
      </w:r>
    </w:p>
    <w:p>
      <w:pPr>
        <w:pStyle w:val="ListParagraph"/>
        <w:numPr>
          <w:ilvl w:val="0"/>
          <w:numId w:val="1"/>
        </w:numPr>
        <w:spacing w:after="90" w:line="264"/>
      </w:pPr>
      <w:r>
        <w:rPr>
          <w:rFonts w:ascii="Calibri" w:cs="Calibri" w:eastAsia="Calibri" w:hAnsi="Calibri"/>
          <w:b/>
          <w:bCs/>
          <w:sz w:val="21"/>
          <w:szCs w:val="21"/>
        </w:rPr>
        <w:t xml:space="preserve">Échelle suggérée — </w:t>
      </w:r>
      <w:r>
        <w:rPr>
          <w:rFonts w:ascii="Calibri" w:cs="Calibri" w:eastAsia="Calibri" w:hAnsi="Calibri"/>
          <w:sz w:val="21"/>
          <w:szCs w:val="21"/>
        </w:rPr>
        <w:t xml:space="preserve">12 / 14 / 16 / 20 / 24 / 32 px, avec le corps de texte par défaut à 14-16 px pour un usage professionnel prolongé.</w:t>
      </w:r>
    </w:p>
    <w:p>
      <w:pPr>
        <w:pStyle w:val="Heading3"/>
        <w:spacing w:after="120" w:before="260"/>
      </w:pPr>
      <w:r>
        <w:t xml:space="preserve">Composants prioritaires à construire dans Figma</w:t>
      </w:r>
    </w:p>
    <w:p>
      <w:pPr>
        <w:pStyle w:val="ListParagraph"/>
        <w:numPr>
          <w:ilvl w:val="0"/>
          <w:numId w:val="1"/>
        </w:numPr>
        <w:spacing w:after="90" w:line="264"/>
      </w:pPr>
      <w:r>
        <w:t xml:space="preserve">Sidebar de navigation avec état actif, badges de notification et sélecteur d'agence en haut</w:t>
      </w:r>
    </w:p>
    <w:p>
      <w:pPr>
        <w:pStyle w:val="ListParagraph"/>
        <w:numPr>
          <w:ilvl w:val="0"/>
          <w:numId w:val="1"/>
        </w:numPr>
        <w:spacing w:after="90" w:line="264"/>
      </w:pPr>
      <w:r>
        <w:t xml:space="preserve">Barre de recherche universelle avec résultats groupés (dossiers / contacts / documents)</w:t>
      </w:r>
    </w:p>
    <w:p>
      <w:pPr>
        <w:pStyle w:val="ListParagraph"/>
        <w:numPr>
          <w:ilvl w:val="0"/>
          <w:numId w:val="1"/>
        </w:numPr>
        <w:spacing w:after="90" w:line="264"/>
      </w:pPr>
      <w:r>
        <w:t xml:space="preserve">Carte dossier (statut coloré, avocat assigné, échéance, badge IA "résumé disponible")</w:t>
      </w:r>
    </w:p>
    <w:p>
      <w:pPr>
        <w:pStyle w:val="ListParagraph"/>
        <w:numPr>
          <w:ilvl w:val="0"/>
          <w:numId w:val="1"/>
        </w:numPr>
        <w:spacing w:after="90" w:line="264"/>
      </w:pPr>
      <w:r>
        <w:t xml:space="preserve">Tableau de dossiers avec tri, filtre par agence/statut/avocat, et vue Kanban alternative</w:t>
      </w:r>
    </w:p>
    <w:p>
      <w:pPr>
        <w:pStyle w:val="ListParagraph"/>
        <w:numPr>
          <w:ilvl w:val="0"/>
          <w:numId w:val="1"/>
        </w:numPr>
        <w:spacing w:after="90" w:line="264"/>
      </w:pPr>
      <w:r>
        <w:t xml:space="preserve">Fiche dossier à onglets (Aperçu, Documents, Historique, Messagerie)</w:t>
      </w:r>
    </w:p>
    <w:p>
      <w:pPr>
        <w:pStyle w:val="ListParagraph"/>
        <w:numPr>
          <w:ilvl w:val="0"/>
          <w:numId w:val="1"/>
        </w:numPr>
        <w:spacing w:after="90" w:line="264"/>
      </w:pPr>
      <w:r>
        <w:t xml:space="preserve">Composant de fil de messagerie par dossier (bulles, pièce jointe, horodatage, indicateur agence d'origine)</w:t>
      </w:r>
    </w:p>
    <w:p>
      <w:pPr>
        <w:pStyle w:val="ListParagraph"/>
        <w:numPr>
          <w:ilvl w:val="0"/>
          <w:numId w:val="1"/>
        </w:numPr>
        <w:spacing w:after="90" w:line="264"/>
      </w:pPr>
      <w:r>
        <w:t xml:space="preserve">Visionneuse de document (PDF inline + panneau de métadonnées)</w:t>
      </w:r>
    </w:p>
    <w:p>
      <w:pPr>
        <w:pStyle w:val="ListParagraph"/>
        <w:numPr>
          <w:ilvl w:val="0"/>
          <w:numId w:val="1"/>
        </w:numPr>
        <w:spacing w:after="90" w:line="264"/>
      </w:pPr>
      <w:r>
        <w:t xml:space="preserve">Timeline d'historique verticale avec icônes d'action</w:t>
      </w:r>
    </w:p>
    <w:p>
      <w:pPr>
        <w:pStyle w:val="ListParagraph"/>
        <w:numPr>
          <w:ilvl w:val="0"/>
          <w:numId w:val="1"/>
        </w:numPr>
        <w:spacing w:after="90" w:line="264"/>
      </w:pPr>
      <w:r>
        <w:t xml:space="preserve">Widget de tableau de bord modulaire (réordonnable, filtrable par agence)</w:t>
      </w:r>
    </w:p>
    <w:p>
      <w:pPr>
        <w:pStyle w:val="ListParagraph"/>
        <w:numPr>
          <w:ilvl w:val="0"/>
          <w:numId w:val="1"/>
        </w:numPr>
        <w:spacing w:after="90" w:line="264"/>
      </w:pPr>
      <w:r>
        <w:t xml:space="preserve">Panneau IA latéral non intrusif (résumé, suggestion d'avocat avec justification, état "non analysé")</w:t>
      </w:r>
    </w:p>
    <w:p>
      <w:pPr>
        <w:pStyle w:val="ListParagraph"/>
        <w:numPr>
          <w:ilvl w:val="0"/>
          <w:numId w:val="1"/>
        </w:numPr>
        <w:spacing w:after="90" w:line="264"/>
      </w:pPr>
      <w:r>
        <w:t xml:space="preserve">Système de badges de statut et de rôle</w:t>
      </w:r>
    </w:p>
    <w:p>
      <w:pPr>
        <w:pStyle w:val="ListParagraph"/>
        <w:numPr>
          <w:ilvl w:val="0"/>
          <w:numId w:val="1"/>
        </w:numPr>
        <w:spacing w:after="90" w:line="264"/>
      </w:pPr>
      <w:r>
        <w:t xml:space="preserve">Modale de création rapide (dossier / tâche / message)</w:t>
      </w:r>
    </w:p>
    <w:p>
      <w:pPr>
        <w:pStyle w:val="Heading2"/>
        <w:spacing w:after="160" w:before="360"/>
      </w:pPr>
      <w:r>
        <w:t xml:space="preserve">8.5 Écrans indispensables pour le prototype</w:t>
      </w:r>
    </w:p>
    <w:p>
      <w:pPr>
        <w:pStyle w:val="ListParagraph"/>
        <w:numPr>
          <w:ilvl w:val="0"/>
          <w:numId w:val="1"/>
        </w:numPr>
        <w:spacing w:after="90" w:line="264"/>
      </w:pPr>
      <w:r>
        <w:t xml:space="preserve">Connexion / sélection d'agence</w:t>
      </w:r>
    </w:p>
    <w:p>
      <w:pPr>
        <w:pStyle w:val="ListParagraph"/>
        <w:numPr>
          <w:ilvl w:val="0"/>
          <w:numId w:val="1"/>
        </w:numPr>
        <w:spacing w:after="90" w:line="264"/>
      </w:pPr>
      <w:r>
        <w:t xml:space="preserve">Tableau de bord (vue gérant central + vue avocat, filtrées par agence)</w:t>
      </w:r>
    </w:p>
    <w:p>
      <w:pPr>
        <w:pStyle w:val="ListParagraph"/>
        <w:numPr>
          <w:ilvl w:val="0"/>
          <w:numId w:val="1"/>
        </w:numPr>
        <w:spacing w:after="90" w:line="264"/>
      </w:pPr>
      <w:r>
        <w:t xml:space="preserve">Liste des dossiers (table + Kanban)</w:t>
      </w:r>
    </w:p>
    <w:p>
      <w:pPr>
        <w:pStyle w:val="ListParagraph"/>
        <w:numPr>
          <w:ilvl w:val="0"/>
          <w:numId w:val="1"/>
        </w:numPr>
        <w:spacing w:after="90" w:line="264"/>
      </w:pPr>
      <w:r>
        <w:t xml:space="preserve">Création de dossier (formulaire progressif)</w:t>
      </w:r>
    </w:p>
    <w:p>
      <w:pPr>
        <w:pStyle w:val="ListParagraph"/>
        <w:numPr>
          <w:ilvl w:val="0"/>
          <w:numId w:val="1"/>
        </w:numPr>
        <w:spacing w:after="90" w:line="264"/>
      </w:pPr>
      <w:r>
        <w:t xml:space="preserve">Fiche dossier détaillée (avec les 4 onglets)</w:t>
      </w:r>
    </w:p>
    <w:p>
      <w:pPr>
        <w:pStyle w:val="ListParagraph"/>
        <w:numPr>
          <w:ilvl w:val="0"/>
          <w:numId w:val="1"/>
        </w:numPr>
        <w:spacing w:after="90" w:line="264"/>
      </w:pPr>
      <w:r>
        <w:t xml:space="preserve">Gestion des documents d'un dossier</w:t>
      </w:r>
    </w:p>
    <w:p>
      <w:pPr>
        <w:pStyle w:val="ListParagraph"/>
        <w:numPr>
          <w:ilvl w:val="0"/>
          <w:numId w:val="1"/>
        </w:numPr>
        <w:spacing w:after="90" w:line="264"/>
      </w:pPr>
      <w:r>
        <w:t xml:space="preserve">Messagerie inter-agences liée au dossier</w:t>
      </w:r>
    </w:p>
    <w:p>
      <w:pPr>
        <w:pStyle w:val="ListParagraph"/>
        <w:numPr>
          <w:ilvl w:val="0"/>
          <w:numId w:val="1"/>
        </w:numPr>
        <w:spacing w:after="90" w:line="264"/>
      </w:pPr>
      <w:r>
        <w:t xml:space="preserve">Gestion des agences et des utilisateurs (rôles)</w:t>
      </w:r>
    </w:p>
    <w:p>
      <w:pPr>
        <w:pStyle w:val="ListParagraph"/>
        <w:numPr>
          <w:ilvl w:val="0"/>
          <w:numId w:val="1"/>
        </w:numPr>
        <w:spacing w:after="90" w:line="264"/>
      </w:pPr>
      <w:r>
        <w:t xml:space="preserve">Écran de suggestion IA (résumé + avocat recommandé + justification)</w:t>
      </w:r>
    </w:p>
    <w:p>
      <w:pPr>
        <w:pStyle w:val="ListParagraph"/>
        <w:numPr>
          <w:ilvl w:val="0"/>
          <w:numId w:val="1"/>
        </w:numPr>
        <w:spacing w:after="90" w:line="264"/>
      </w:pPr>
      <w:r>
        <w:t xml:space="preserve">Rapports / statistiques par agence</w:t>
      </w:r>
    </w:p>
    <w:p>
      <w:pPr>
        <w:pStyle w:val="Heading2"/>
        <w:spacing w:after="160" w:before="360"/>
      </w:pPr>
      <w:r>
        <w:t xml:space="preserve">8.6 Workflows à privilégier</w:t>
      </w:r>
    </w:p>
    <w:p>
      <w:pPr>
        <w:pStyle w:val="ListParagraph"/>
        <w:numPr>
          <w:ilvl w:val="0"/>
          <w:numId w:val="1"/>
        </w:numPr>
        <w:spacing w:after="90" w:line="264"/>
      </w:pPr>
      <w:r>
        <w:rPr>
          <w:rFonts w:ascii="Calibri" w:cs="Calibri" w:eastAsia="Calibri" w:hAnsi="Calibri"/>
          <w:b/>
          <w:bCs/>
          <w:sz w:val="21"/>
          <w:szCs w:val="21"/>
        </w:rPr>
        <w:t xml:space="preserve">Réception → Analyse IA → Affectation → Suivi → Clôture — </w:t>
      </w:r>
      <w:r>
        <w:rPr>
          <w:rFonts w:ascii="Calibri" w:cs="Calibri" w:eastAsia="Calibri" w:hAnsi="Calibri"/>
          <w:sz w:val="21"/>
          <w:szCs w:val="21"/>
        </w:rPr>
        <w:t xml:space="preserve">ce cycle, déjà présent dans votre cahier des charges, doit rester visible comme une progression linéaire claire sur la fiche dossier (proche d'un stepper), plutôt que dispersé entre plusieurs écrans.</w:t>
      </w:r>
    </w:p>
    <w:p>
      <w:pPr>
        <w:pStyle w:val="ListParagraph"/>
        <w:numPr>
          <w:ilvl w:val="0"/>
          <w:numId w:val="1"/>
        </w:numPr>
        <w:spacing w:after="90" w:line="264"/>
      </w:pPr>
      <w:r>
        <w:rPr>
          <w:rFonts w:ascii="Calibri" w:cs="Calibri" w:eastAsia="Calibri" w:hAnsi="Calibri"/>
          <w:b/>
          <w:bCs/>
          <w:sz w:val="21"/>
          <w:szCs w:val="21"/>
        </w:rPr>
        <w:t xml:space="preserve">Transfert entre agences comme action de premier niveau — </w:t>
      </w:r>
      <w:r>
        <w:rPr>
          <w:rFonts w:ascii="Calibri" w:cs="Calibri" w:eastAsia="Calibri" w:hAnsi="Calibri"/>
          <w:sz w:val="21"/>
          <w:szCs w:val="21"/>
        </w:rPr>
        <w:t xml:space="preserve">et non enfouie dans un sous-menu, car c'est un cas d'usage central de votre cahier des charges (l'exemple de Maître Sow) et un point faible chez tous les concurrents mono-site étudiés.</w:t>
      </w:r>
    </w:p>
    <w:p>
      <w:pPr>
        <w:pStyle w:val="Heading2"/>
        <w:spacing w:after="160" w:before="360"/>
      </w:pPr>
      <w:r>
        <w:t xml:space="preserve">8.7 Proposition d'architecture du prototype Figma</w:t>
      </w:r>
    </w:p>
    <w:p>
      <w:pPr>
        <w:spacing w:after="160" w:line="276"/>
      </w:pPr>
      <w:r>
        <w:rPr>
          <w:rFonts w:ascii="Calibri" w:cs="Calibri" w:eastAsia="Calibri" w:hAnsi="Calibri"/>
          <w:sz w:val="21"/>
          <w:szCs w:val="21"/>
        </w:rPr>
        <w:t xml:space="preserve">Structure de fichier recommandée pour organiser le travail d'équipe sur Figma :</w:t>
      </w:r>
    </w:p>
    <w:p>
      <w:pPr>
        <w:pStyle w:val="ListParagraph"/>
        <w:numPr>
          <w:ilvl w:val="0"/>
          <w:numId w:val="1"/>
        </w:numPr>
        <w:spacing w:after="90" w:line="264"/>
      </w:pPr>
      <w:r>
        <w:rPr>
          <w:rFonts w:ascii="Calibri" w:cs="Calibri" w:eastAsia="Calibri" w:hAnsi="Calibri"/>
          <w:b/>
          <w:bCs/>
          <w:sz w:val="21"/>
          <w:szCs w:val="21"/>
        </w:rPr>
        <w:t xml:space="preserve">Page 0 — Design System : </w:t>
      </w:r>
      <w:r>
        <w:rPr>
          <w:rFonts w:ascii="Calibri" w:cs="Calibri" w:eastAsia="Calibri" w:hAnsi="Calibri"/>
          <w:sz w:val="21"/>
          <w:szCs w:val="21"/>
        </w:rPr>
        <w:t xml:space="preserve">styles de couleur, typographie, grille, composants de base (boutons, champs, badges) en Auto Layout, prêts à être insérés partout ailleurs.</w:t>
      </w:r>
    </w:p>
    <w:p>
      <w:pPr>
        <w:pStyle w:val="ListParagraph"/>
        <w:numPr>
          <w:ilvl w:val="0"/>
          <w:numId w:val="1"/>
        </w:numPr>
        <w:spacing w:after="90" w:line="264"/>
      </w:pPr>
      <w:r>
        <w:rPr>
          <w:rFonts w:ascii="Calibri" w:cs="Calibri" w:eastAsia="Calibri" w:hAnsi="Calibri"/>
          <w:b/>
          <w:bCs/>
          <w:sz w:val="21"/>
          <w:szCs w:val="21"/>
        </w:rPr>
        <w:t xml:space="preserve">Page 1 — Composants métier : </w:t>
      </w:r>
      <w:r>
        <w:rPr>
          <w:rFonts w:ascii="Calibri" w:cs="Calibri" w:eastAsia="Calibri" w:hAnsi="Calibri"/>
          <w:sz w:val="21"/>
          <w:szCs w:val="21"/>
        </w:rPr>
        <w:t xml:space="preserve">carte dossier, fiche dossier, fil de messagerie, widget dashboard — construits comme composants réutilisables avec variantes (statuts, rôles, avec/sans IA).</w:t>
      </w:r>
    </w:p>
    <w:p>
      <w:pPr>
        <w:pStyle w:val="ListParagraph"/>
        <w:numPr>
          <w:ilvl w:val="0"/>
          <w:numId w:val="1"/>
        </w:numPr>
        <w:spacing w:after="90" w:line="264"/>
      </w:pPr>
      <w:r>
        <w:rPr>
          <w:rFonts w:ascii="Calibri" w:cs="Calibri" w:eastAsia="Calibri" w:hAnsi="Calibri"/>
          <w:b/>
          <w:bCs/>
          <w:sz w:val="21"/>
          <w:szCs w:val="21"/>
        </w:rPr>
        <w:t xml:space="preserve">Page 2 — Flux Authentification &amp; Onboarding : </w:t>
      </w:r>
      <w:r>
        <w:rPr>
          <w:rFonts w:ascii="Calibri" w:cs="Calibri" w:eastAsia="Calibri" w:hAnsi="Calibri"/>
          <w:sz w:val="21"/>
          <w:szCs w:val="21"/>
        </w:rPr>
        <w:t xml:space="preserve">connexion, sélection d'agence, première configuration.</w:t>
      </w:r>
    </w:p>
    <w:p>
      <w:pPr>
        <w:pStyle w:val="ListParagraph"/>
        <w:numPr>
          <w:ilvl w:val="0"/>
          <w:numId w:val="1"/>
        </w:numPr>
        <w:spacing w:after="90" w:line="264"/>
      </w:pPr>
      <w:r>
        <w:rPr>
          <w:rFonts w:ascii="Calibri" w:cs="Calibri" w:eastAsia="Calibri" w:hAnsi="Calibri"/>
          <w:b/>
          <w:bCs/>
          <w:sz w:val="21"/>
          <w:szCs w:val="21"/>
        </w:rPr>
        <w:t xml:space="preserve">Page 3 — Flux Dossiers : </w:t>
      </w:r>
      <w:r>
        <w:rPr>
          <w:rFonts w:ascii="Calibri" w:cs="Calibri" w:eastAsia="Calibri" w:hAnsi="Calibri"/>
          <w:sz w:val="21"/>
          <w:szCs w:val="21"/>
        </w:rPr>
        <w:t xml:space="preserve">liste, création, fiche détaillée, transfert, clôture — dans l'ordre du cycle de vie.</w:t>
      </w:r>
    </w:p>
    <w:p>
      <w:pPr>
        <w:pStyle w:val="ListParagraph"/>
        <w:numPr>
          <w:ilvl w:val="0"/>
          <w:numId w:val="1"/>
        </w:numPr>
        <w:spacing w:after="90" w:line="264"/>
      </w:pPr>
      <w:r>
        <w:rPr>
          <w:rFonts w:ascii="Calibri" w:cs="Calibri" w:eastAsia="Calibri" w:hAnsi="Calibri"/>
          <w:b/>
          <w:bCs/>
          <w:sz w:val="21"/>
          <w:szCs w:val="21"/>
        </w:rPr>
        <w:t xml:space="preserve">Page 4 — Flux Documents &amp; Messagerie : </w:t>
      </w:r>
      <w:r>
        <w:rPr>
          <w:rFonts w:ascii="Calibri" w:cs="Calibri" w:eastAsia="Calibri" w:hAnsi="Calibri"/>
          <w:sz w:val="21"/>
          <w:szCs w:val="21"/>
        </w:rPr>
        <w:t xml:space="preserve">dépôt, consultation, fil de discussion inter-agences.</w:t>
      </w:r>
    </w:p>
    <w:p>
      <w:pPr>
        <w:pStyle w:val="ListParagraph"/>
        <w:numPr>
          <w:ilvl w:val="0"/>
          <w:numId w:val="1"/>
        </w:numPr>
        <w:spacing w:after="90" w:line="264"/>
      </w:pPr>
      <w:r>
        <w:rPr>
          <w:rFonts w:ascii="Calibri" w:cs="Calibri" w:eastAsia="Calibri" w:hAnsi="Calibri"/>
          <w:b/>
          <w:bCs/>
          <w:sz w:val="21"/>
          <w:szCs w:val="21"/>
        </w:rPr>
        <w:t xml:space="preserve">Page 5 — Tableau de bord &amp; Reporting : </w:t>
      </w:r>
      <w:r>
        <w:rPr>
          <w:rFonts w:ascii="Calibri" w:cs="Calibri" w:eastAsia="Calibri" w:hAnsi="Calibri"/>
          <w:sz w:val="21"/>
          <w:szCs w:val="21"/>
        </w:rPr>
        <w:t xml:space="preserve">vues gérant central / avocat / agence.</w:t>
      </w:r>
    </w:p>
    <w:p>
      <w:pPr>
        <w:pStyle w:val="ListParagraph"/>
        <w:numPr>
          <w:ilvl w:val="0"/>
          <w:numId w:val="1"/>
        </w:numPr>
        <w:spacing w:after="90" w:line="264"/>
      </w:pPr>
      <w:r>
        <w:rPr>
          <w:rFonts w:ascii="Calibri" w:cs="Calibri" w:eastAsia="Calibri" w:hAnsi="Calibri"/>
          <w:b/>
          <w:bCs/>
          <w:sz w:val="21"/>
          <w:szCs w:val="21"/>
        </w:rPr>
        <w:t xml:space="preserve">Page 6 — IA : </w:t>
      </w:r>
      <w:r>
        <w:rPr>
          <w:rFonts w:ascii="Calibri" w:cs="Calibri" w:eastAsia="Calibri" w:hAnsi="Calibri"/>
          <w:sz w:val="21"/>
          <w:szCs w:val="21"/>
        </w:rPr>
        <w:t xml:space="preserve">panneau de résumé, suggestion d'avocat, état "non branché".</w:t>
      </w:r>
    </w:p>
    <w:p>
      <w:pPr>
        <w:pStyle w:val="ListParagraph"/>
        <w:numPr>
          <w:ilvl w:val="0"/>
          <w:numId w:val="1"/>
        </w:numPr>
        <w:spacing w:after="90" w:line="264"/>
      </w:pPr>
      <w:r>
        <w:rPr>
          <w:rFonts w:ascii="Calibri" w:cs="Calibri" w:eastAsia="Calibri" w:hAnsi="Calibri"/>
          <w:b/>
          <w:bCs/>
          <w:sz w:val="21"/>
          <w:szCs w:val="21"/>
        </w:rPr>
        <w:t xml:space="preserve">Page 7 — Responsive mobile : </w:t>
      </w:r>
      <w:r>
        <w:rPr>
          <w:rFonts w:ascii="Calibri" w:cs="Calibri" w:eastAsia="Calibri" w:hAnsi="Calibri"/>
          <w:sz w:val="21"/>
          <w:szCs w:val="21"/>
        </w:rPr>
        <w:t xml:space="preserve">déclinaisons mobiles des écrans prioritaires, pensées mobile-first conformément à la recommandation de la section 6.4.</w:t>
      </w:r>
    </w:p>
    <w:p>
      <w:pPr>
        <w:spacing w:after="160" w:line="276"/>
      </w:pPr>
      <w:r>
        <w:rPr>
          <w:rFonts w:ascii="Calibri" w:cs="Calibri" w:eastAsia="Calibri" w:hAnsi="Calibri"/>
          <w:sz w:val="21"/>
          <w:szCs w:val="21"/>
        </w:rPr>
        <w:t xml:space="preserve">Cette segmentation par page permet à plusieurs personnes de travailler en parallèle dans le même fichier Figma sans conflit, et fait écho à votre découpage en sprints (le Design System et les composants métier doivent être terminés avant le début des flux, comme le Sprint 0 doit précéder le Sprint 1 dans votre planning de développement).</w:t>
      </w:r>
    </w:p>
    <w:p>
      <w:pPr>
        <w:pStyle w:val="Heading1"/>
        <w:spacing w:after="240" w:before="480"/>
      </w:pPr>
      <w:r>
        <w:t xml:space="preserve">9. Conclusion et prochaines étapes</w:t>
      </w:r>
    </w:p>
    <w:p>
      <w:pPr>
        <w:spacing w:after="160" w:line="276"/>
      </w:pPr>
      <w:r>
        <w:rPr>
          <w:rFonts w:ascii="Calibri" w:cs="Calibri" w:eastAsia="Calibri" w:hAnsi="Calibri"/>
          <w:sz w:val="21"/>
          <w:szCs w:val="21"/>
        </w:rPr>
        <w:t xml:space="preserve">Le marché mondial du LPMS est mature sur les fonctionions de base (dossiers, facturation, documents) mais aucune solution étudiée ne traite nativement le cas multi-agences avec triage IA transparent comme le prévoit votre cahier des charges — c'est un espace de différenciation réel, pas seulement un discours marketing. Les recommandations ci-dessus (palette, typographie, composants, écrans, architecture Figma) vous donnent une base immédiatement exploitable pour démarrer le wireframing.</w:t>
      </w:r>
    </w:p>
    <w:p>
      <w:pPr>
        <w:spacing w:after="160" w:line="276"/>
      </w:pPr>
      <w:r>
        <w:rPr>
          <w:rFonts w:ascii="Calibri" w:cs="Calibri" w:eastAsia="Calibri" w:hAnsi="Calibri"/>
          <w:sz w:val="21"/>
          <w:szCs w:val="21"/>
        </w:rPr>
        <w:t xml:space="preserve">Pour aller plus loin sur des points spécifiques (par exemple une analyse écran-par-écran encore plus poussée d'un concurrent précis, une étude dédiée aux plateformes africaines/OHADA, ou un audit d'accessibilité détaillé), la fonctionnalité Research de Claude peut mener des dizaines de recherches supplémentaires en autonomie et produire un rapport encore plus long — n'hésitez pas à me solliciter à nouveau sur un sous-thème précis, je pourrai approfondir davantage.</w:t>
      </w:r>
    </w:p>
    <w:p>
      <w:pPr>
        <w:pStyle w:val="Heading1"/>
        <w:spacing w:after="240" w:before="480"/>
      </w:pPr>
      <w:r>
        <w:t xml:space="preserve">10. Sources principales</w:t>
      </w:r>
    </w:p>
    <w:p>
      <w:pPr>
        <w:spacing w:after="160" w:line="276"/>
      </w:pPr>
      <w:r>
        <w:rPr>
          <w:rFonts w:ascii="Calibri" w:cs="Calibri" w:eastAsia="Calibri" w:hAnsi="Calibri"/>
          <w:sz w:val="21"/>
          <w:szCs w:val="21"/>
        </w:rPr>
        <w:t xml:space="preserve">Éditeurs : clio.com, mycase.com, filevine (via comparatifs), smokeball.com (via comparatifs), leap.com (via comparatifs), imanage.com, netdocuments (via comparatifs).</w:t>
      </w:r>
    </w:p>
    <w:p>
      <w:pPr>
        <w:spacing w:after="160" w:line="276"/>
      </w:pPr>
      <w:r>
        <w:rPr>
          <w:rFonts w:ascii="Calibri" w:cs="Calibri" w:eastAsia="Calibri" w:hAnsi="Calibri"/>
          <w:sz w:val="21"/>
          <w:szCs w:val="21"/>
        </w:rPr>
        <w:t xml:space="preserve">Presse et analystes spécialisés : Lawyerist (lawyerist.com), LawNext (lawnext.com/Bob Ambrogi), Capterra, G2, GetApp, Software Advice, SelectHub, Research.com, SoftwareFinder, ITQlick, SoftwareWorld, Big Mode Consulting, Powell Software, Compare the Cloud, SuiteFiles, PixelShift, SaaS Battle, onthemap.com.</w:t>
      </w:r>
    </w:p>
    <w:p>
      <w:pPr>
        <w:spacing w:after="160" w:line="276"/>
      </w:pPr>
      <w:r>
        <w:rPr>
          <w:rFonts w:ascii="Calibri" w:cs="Calibri" w:eastAsia="Calibri" w:hAnsi="Calibri"/>
          <w:sz w:val="21"/>
          <w:szCs w:val="21"/>
        </w:rPr>
        <w:t xml:space="preserve">IA juridique : AI Vortex (aivortex.io), GC AI (gc.ai), Eigent (eigent.ai), get-alfred.ai, techno-pulse.com, thelegalprompts.com, legalfly.com.</w:t>
      </w:r>
    </w:p>
    <w:p>
      <w:pPr>
        <w:spacing w:after="160" w:line="276"/>
      </w:pPr>
      <w:r>
        <w:rPr>
          <w:rFonts w:ascii="Calibri" w:cs="Calibri" w:eastAsia="Calibri" w:hAnsi="Calibri"/>
          <w:sz w:val="21"/>
          <w:szCs w:val="21"/>
        </w:rPr>
        <w:t xml:space="preserve">Design et UX/UI 2026 : Recursion Agency, SkyRye Design, Lounge Lizard, UXPin, Tubik Studio, Interaction Design Foundation (IxDF), ideapeel, updivision.com.</w:t>
      </w:r>
    </w:p>
    <w:r>
      <w:rPr>
        <w:rFonts w:ascii="Calibri" w:cs="Calibri" w:eastAsia="Calibri" w:hAnsi="Calibri"/>
        <w:i/>
        <w:iCs/>
        <w:color w:val="475569"/>
        <w:sz w:val="21"/>
        <w:szCs w:val="21"/>
      </w:rPr>
      <w:t xml:space="preserve">Toutes les données de tarification et de fonctionnalités évoluent en continu ; elles doivent être revérifiées auprès des sites officiels avant toute décision d'achat ou de benchmarking contractuel.</w:t>
    </w:r>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4"/>
        <w:szCs w:val="14"/>
      </w:rPr>
      <w:t xml:space="preserve">Benchmark UX/UI — Plateformes Legal Practice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2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60" w:before="36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120" w:before="26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2026-07-05T12:59:46.582Z</dcterms:created>
  <dcterms:modified xsi:type="dcterms:W3CDTF">2026-07-05T12:59:46.582Z</dcterms:modified>
</cp:coreProperties>
</file>

<file path=docProps/custom.xml><?xml version="1.0" encoding="utf-8"?>
<Properties xmlns="http://schemas.openxmlformats.org/officeDocument/2006/custom-properties" xmlns:vt="http://schemas.openxmlformats.org/officeDocument/2006/docPropsVTypes"/>
</file>