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before="0" w:after="200"/>
        <w:jc w:val="start"/>
        <w:rPr/>
      </w:pPr>
      <w:r>
        <w:rPr>
          <w:rFonts w:eastAsia="Arial" w:cs="Arial"/>
          <w:b/>
          <w:bCs/>
          <w:color w:val="1F3864"/>
          <w:sz w:val="40"/>
          <w:szCs w:val="40"/>
        </w:rPr>
        <w:t>Software Architecture and Design Specification</w:t>
      </w:r>
    </w:p>
    <w:p>
      <w:pPr>
        <w:pStyle w:val="Normal"/>
        <w:spacing w:before="0" w:after="70"/>
        <w:rPr/>
      </w:pPr>
      <w:r>
        <w:rPr>
          <w:rFonts w:eastAsia="Arial" w:cs="Arial"/>
          <w:b/>
          <w:bCs/>
          <w:sz w:val="20"/>
          <w:szCs w:val="20"/>
        </w:rPr>
        <w:t>Project:</w:t>
      </w:r>
      <w:r>
        <w:rPr>
          <w:rFonts w:eastAsia="Arial" w:cs="Arial"/>
          <w:sz w:val="20"/>
          <w:szCs w:val="20"/>
        </w:rPr>
        <w:t xml:space="preserve"> Admission Management Platform (Automated Engineering Admission &amp; Counselling Management Platform for KCET and COMEDK)</w:t>
      </w:r>
    </w:p>
    <w:p>
      <w:pPr>
        <w:pStyle w:val="Normal"/>
        <w:spacing w:before="0" w:after="70"/>
        <w:rPr/>
      </w:pPr>
      <w:r>
        <w:rPr>
          <w:rFonts w:eastAsia="Arial" w:cs="Arial"/>
          <w:b/>
          <w:bCs/>
          <w:sz w:val="20"/>
          <w:szCs w:val="20"/>
        </w:rPr>
        <w:t>Version:</w:t>
      </w:r>
      <w:r>
        <w:rPr>
          <w:rFonts w:eastAsia="Arial" w:cs="Arial"/>
          <w:sz w:val="20"/>
          <w:szCs w:val="20"/>
        </w:rPr>
        <w:t xml:space="preserve"> 1.1</w:t>
      </w:r>
    </w:p>
    <w:p>
      <w:pPr>
        <w:pStyle w:val="Normal"/>
        <w:spacing w:before="0" w:after="70"/>
        <w:rPr/>
      </w:pPr>
      <w:r>
        <w:rPr>
          <w:rFonts w:eastAsia="Arial" w:cs="Arial"/>
          <w:b/>
          <w:bCs/>
          <w:sz w:val="20"/>
          <w:szCs w:val="20"/>
        </w:rPr>
        <w:t>Authors:</w:t>
      </w:r>
      <w:r>
        <w:rPr>
          <w:rFonts w:eastAsia="Arial" w:cs="Arial"/>
          <w:sz w:val="20"/>
          <w:szCs w:val="20"/>
        </w:rPr>
        <w:t xml:space="preserve"> Team 5 - Varun M L, Gagandeep N, Dikshith Varma M N, Tasya Shetty</w:t>
      </w:r>
    </w:p>
    <w:p>
      <w:pPr>
        <w:pStyle w:val="Normal"/>
        <w:spacing w:before="0" w:after="70"/>
        <w:rPr/>
      </w:pPr>
      <w:r>
        <w:rPr>
          <w:rFonts w:eastAsia="Arial" w:cs="Arial"/>
          <w:b/>
          <w:bCs/>
          <w:sz w:val="20"/>
          <w:szCs w:val="20"/>
        </w:rPr>
        <w:t>Date:</w:t>
      </w:r>
      <w:r>
        <w:rPr>
          <w:rFonts w:eastAsia="Arial" w:cs="Arial"/>
          <w:sz w:val="20"/>
          <w:szCs w:val="20"/>
        </w:rPr>
        <w:t xml:space="preserve"> 03-10-2026</w:t>
      </w:r>
    </w:p>
    <w:p>
      <w:pPr>
        <w:pStyle w:val="Normal"/>
        <w:spacing w:before="0" w:after="200"/>
        <w:rPr/>
      </w:pPr>
      <w:r>
        <w:rPr>
          <w:rFonts w:eastAsia="Arial" w:cs="Arial"/>
          <w:b/>
          <w:bCs/>
          <w:sz w:val="20"/>
          <w:szCs w:val="20"/>
        </w:rPr>
        <w:t>Status:</w:t>
      </w:r>
      <w:r>
        <w:rPr>
          <w:rFonts w:eastAsia="Arial" w:cs="Arial"/>
          <w:sz w:val="20"/>
          <w:szCs w:val="20"/>
        </w:rPr>
        <w:t xml:space="preserve"> Draft</w:t>
      </w:r>
    </w:p>
    <w:p>
      <w:pPr>
        <w:pStyle w:val="Heading1"/>
        <w:rPr/>
      </w:pPr>
      <w:r>
        <w:rPr>
          <w:rFonts w:eastAsia="Arial" w:cs="Arial" w:ascii="Arial" w:hAnsi="Arial"/>
        </w:rPr>
        <w:t>Revision History</w:t>
      </w:r>
    </w:p>
    <w:tbl>
      <w:tblPr>
        <w:tblW w:w="9638" w:type="dxa"/>
        <w:jc w:val="start"/>
        <w:tblInd w:w="0" w:type="dxa"/>
        <w:tblLayout w:type="fixed"/>
        <w:tblCellMar>
          <w:top w:w="25" w:type="dxa"/>
          <w:start w:w="70" w:type="dxa"/>
          <w:bottom w:w="25" w:type="dxa"/>
          <w:end w:w="70" w:type="dxa"/>
        </w:tblCellMar>
      </w:tblPr>
      <w:tblGrid>
        <w:gridCol w:w="1199"/>
        <w:gridCol w:w="1600"/>
        <w:gridCol w:w="1801"/>
        <w:gridCol w:w="5038"/>
      </w:tblGrid>
      <w:tr>
        <w:trPr>
          <w:tblHeader w:val="true"/>
        </w:trPr>
        <w:tc>
          <w:tcPr>
            <w:tcW w:w="1199" w:type="dxa"/>
            <w:tcBorders>
              <w:top w:val="single" w:sz="4" w:space="0" w:color="A6A6A6"/>
              <w:start w:val="single" w:sz="4" w:space="0" w:color="A6A6A6"/>
              <w:bottom w:val="single" w:sz="4" w:space="0" w:color="A6A6A6"/>
              <w:end w:val="single" w:sz="4" w:space="0" w:color="A6A6A6"/>
            </w:tcBorders>
            <w:shd w:color="auto" w:fill="D9E2F3" w:val="clear"/>
          </w:tcPr>
          <w:p>
            <w:pPr>
              <w:pStyle w:val="Normal"/>
              <w:spacing w:before="0" w:after="10"/>
              <w:rPr/>
            </w:pPr>
            <w:r>
              <w:rPr>
                <w:rFonts w:eastAsia="Arial" w:cs="Arial"/>
                <w:b/>
                <w:bCs/>
                <w:sz w:val="17"/>
                <w:szCs w:val="17"/>
              </w:rPr>
              <w:t>Version</w:t>
            </w:r>
          </w:p>
        </w:tc>
        <w:tc>
          <w:tcPr>
            <w:tcW w:w="1600" w:type="dxa"/>
            <w:tcBorders>
              <w:top w:val="single" w:sz="4" w:space="0" w:color="A6A6A6"/>
              <w:start w:val="single" w:sz="4" w:space="0" w:color="A6A6A6"/>
              <w:bottom w:val="single" w:sz="4" w:space="0" w:color="A6A6A6"/>
              <w:end w:val="single" w:sz="4" w:space="0" w:color="A6A6A6"/>
            </w:tcBorders>
            <w:shd w:color="auto" w:fill="D9E2F3" w:val="clear"/>
          </w:tcPr>
          <w:p>
            <w:pPr>
              <w:pStyle w:val="Normal"/>
              <w:spacing w:before="0" w:after="10"/>
              <w:rPr/>
            </w:pPr>
            <w:r>
              <w:rPr>
                <w:rFonts w:eastAsia="Arial" w:cs="Arial"/>
                <w:b/>
                <w:bCs/>
                <w:sz w:val="17"/>
                <w:szCs w:val="17"/>
              </w:rPr>
              <w:t>Date</w:t>
            </w:r>
          </w:p>
        </w:tc>
        <w:tc>
          <w:tcPr>
            <w:tcW w:w="1801" w:type="dxa"/>
            <w:tcBorders>
              <w:top w:val="single" w:sz="4" w:space="0" w:color="A6A6A6"/>
              <w:start w:val="single" w:sz="4" w:space="0" w:color="A6A6A6"/>
              <w:bottom w:val="single" w:sz="4" w:space="0" w:color="A6A6A6"/>
              <w:end w:val="single" w:sz="4" w:space="0" w:color="A6A6A6"/>
            </w:tcBorders>
            <w:shd w:color="auto" w:fill="D9E2F3" w:val="clear"/>
          </w:tcPr>
          <w:p>
            <w:pPr>
              <w:pStyle w:val="Normal"/>
              <w:spacing w:before="0" w:after="10"/>
              <w:rPr/>
            </w:pPr>
            <w:r>
              <w:rPr>
                <w:rFonts w:eastAsia="Arial" w:cs="Arial"/>
                <w:b/>
                <w:bCs/>
                <w:sz w:val="17"/>
                <w:szCs w:val="17"/>
              </w:rPr>
              <w:t>Author</w:t>
            </w:r>
          </w:p>
        </w:tc>
        <w:tc>
          <w:tcPr>
            <w:tcW w:w="5038" w:type="dxa"/>
            <w:tcBorders>
              <w:top w:val="single" w:sz="4" w:space="0" w:color="A6A6A6"/>
              <w:start w:val="single" w:sz="4" w:space="0" w:color="A6A6A6"/>
              <w:bottom w:val="single" w:sz="4" w:space="0" w:color="A6A6A6"/>
              <w:end w:val="single" w:sz="4" w:space="0" w:color="A6A6A6"/>
            </w:tcBorders>
            <w:shd w:color="auto" w:fill="D9E2F3" w:val="clear"/>
          </w:tcPr>
          <w:p>
            <w:pPr>
              <w:pStyle w:val="Normal"/>
              <w:spacing w:before="0" w:after="10"/>
              <w:rPr/>
            </w:pPr>
            <w:r>
              <w:rPr>
                <w:rFonts w:eastAsia="Arial" w:cs="Arial"/>
                <w:b/>
                <w:bCs/>
                <w:sz w:val="17"/>
                <w:szCs w:val="17"/>
              </w:rPr>
              <w:t>Change Summary</w:t>
            </w:r>
          </w:p>
        </w:tc>
      </w:tr>
      <w:tr>
        <w:trPr/>
        <w:tc>
          <w:tcPr>
            <w:tcW w:w="119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sz w:val="17"/>
                <w:szCs w:val="17"/>
              </w:rPr>
              <w:t>1.0</w:t>
            </w:r>
          </w:p>
        </w:tc>
        <w:tc>
          <w:tcPr>
            <w:tcW w:w="16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sz w:val="17"/>
                <w:szCs w:val="17"/>
              </w:rPr>
              <w:t>03-10-2026</w:t>
            </w:r>
          </w:p>
        </w:tc>
        <w:tc>
          <w:tcPr>
            <w:tcW w:w="1801"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sz w:val="17"/>
                <w:szCs w:val="17"/>
              </w:rPr>
              <w:t>Team 5</w:t>
            </w:r>
          </w:p>
        </w:tc>
        <w:tc>
          <w:tcPr>
            <w:tcW w:w="5038"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sz w:val="17"/>
                <w:szCs w:val="17"/>
              </w:rPr>
              <w:t>Initial draft of the SAD, derived from the SRS (Team 5).</w:t>
            </w:r>
          </w:p>
        </w:tc>
      </w:tr>
    </w:tbl>
    <w:p>
      <w:pPr>
        <w:pStyle w:val="Normal"/>
        <w:spacing w:before="0" w:after="40"/>
        <w:rPr/>
      </w:pPr>
      <w:r>
        <w:rPr/>
      </w:r>
    </w:p>
    <w:p>
      <w:pPr>
        <w:pStyle w:val="Heading1"/>
        <w:rPr/>
      </w:pPr>
      <w:r>
        <w:rPr>
          <w:rFonts w:eastAsia="Arial" w:cs="Arial" w:ascii="Arial" w:hAnsi="Arial"/>
        </w:rPr>
        <w:t>1. Introduction</w:t>
      </w:r>
    </w:p>
    <w:p>
      <w:pPr>
        <w:pStyle w:val="Heading2"/>
        <w:rPr/>
      </w:pPr>
      <w:r>
        <w:rPr>
          <w:rFonts w:eastAsia="Arial" w:cs="Arial" w:ascii="Arial" w:hAnsi="Arial"/>
        </w:rPr>
        <w:t>1.1 Purpose</w:t>
      </w:r>
    </w:p>
    <w:p>
      <w:pPr>
        <w:pStyle w:val="Normal"/>
        <w:spacing w:before="0" w:after="70"/>
        <w:rPr/>
      </w:pPr>
      <w:r>
        <w:rPr>
          <w:rFonts w:eastAsia="Arial" w:cs="Arial"/>
          <w:sz w:val="20"/>
          <w:szCs w:val="20"/>
        </w:rPr>
        <w:t>This document specifies the architecture and design of the Admission Management Platform, a web-based system that supports a KCET/COMEDK-style engineering admission and seat-counselling workflow. It is derived entirely from the Software Requirements Specification (SRS) and explains how the SRS requirements are realised by components, interactions, interfaces and security mechanisms. It guides the implementation and testing of the system by the four-member project team.</w:t>
      </w:r>
    </w:p>
    <w:p>
      <w:pPr>
        <w:pStyle w:val="Heading2"/>
        <w:rPr/>
      </w:pPr>
      <w:r>
        <w:rPr>
          <w:rFonts w:eastAsia="Arial" w:cs="Arial" w:ascii="Arial" w:hAnsi="Arial"/>
        </w:rPr>
        <w:t>1.2 Scope</w:t>
      </w:r>
    </w:p>
    <w:p>
      <w:pPr>
        <w:pStyle w:val="Normal"/>
        <w:spacing w:before="0" w:after="70"/>
        <w:rPr/>
      </w:pPr>
      <w:r>
        <w:rPr>
          <w:rFonts w:eastAsia="Arial" w:cs="Arial"/>
          <w:b/>
          <w:bCs/>
          <w:sz w:val="20"/>
          <w:szCs w:val="20"/>
        </w:rPr>
        <w:t>In scope :</w:t>
      </w:r>
      <w:r>
        <w:rPr>
          <w:rFonts w:eastAsia="Arial" w:cs="Arial"/>
          <w:sz w:val="20"/>
          <w:szCs w:val="20"/>
        </w:rPr>
        <w:t xml:space="preserve"> Candidates can register, log in, manage their profile and exam details, save and submit an application, upload documents, check eligibility, browse the college/branch catalogue, fill, reorder and lock choices, view their allotment result and accept or reject the allotted seat. The Administrator can manage candidate records, verify documents, manage colleges, branches, category-wise seat capacity and eligibility rules, run seat allotment, publish results, use a consolidated dashboard and review the audit log. A </w:t>
      </w:r>
      <w:r>
        <w:rPr>
          <w:rFonts w:eastAsia="Arial" w:cs="Arial"/>
          <w:b/>
          <w:bCs/>
          <w:sz w:val="20"/>
          <w:szCs w:val="20"/>
        </w:rPr>
        <w:t>single allotment cycle</w:t>
      </w:r>
      <w:r>
        <w:rPr>
          <w:rFonts w:eastAsia="Arial" w:cs="Arial"/>
          <w:sz w:val="20"/>
          <w:szCs w:val="20"/>
        </w:rPr>
        <w:t xml:space="preserve"> is implemented.</w:t>
      </w:r>
    </w:p>
    <w:p>
      <w:pPr>
        <w:pStyle w:val="Normal"/>
        <w:spacing w:before="0" w:after="70"/>
        <w:rPr/>
      </w:pPr>
      <w:r>
        <w:rPr>
          <w:rFonts w:eastAsia="Arial" w:cs="Arial"/>
          <w:b/>
          <w:bCs/>
          <w:sz w:val="20"/>
          <w:szCs w:val="20"/>
        </w:rPr>
        <w:t>Out of scope :</w:t>
      </w:r>
      <w:r>
        <w:rPr>
          <w:rFonts w:eastAsia="Arial" w:cs="Arial"/>
          <w:sz w:val="20"/>
          <w:szCs w:val="20"/>
        </w:rPr>
        <w:t xml:space="preserve"> The following are explicitly excluded by the SRS and therefore have no place in this architecture: integration with real KEA/COMEDK systems or APIs, OCR or AI-based document verification, Aadhaar or biometric authentication, offline/kiosk modes, payment functionality (real or simulated), real SMS gateways, mandatory external e-mail services, in-app notifications, multiple counselling rounds, medical/dental admissions, post-admission management, and AI-based prediction, recommendation or graph analytics. All exam data, ranks, categories and eligibility rules are mock/seeded data. As a consequence, the system has </w:t>
      </w:r>
      <w:r>
        <w:rPr>
          <w:rFonts w:eastAsia="Arial" w:cs="Arial"/>
          <w:b w:val="false"/>
          <w:bCs w:val="false"/>
          <w:sz w:val="20"/>
          <w:szCs w:val="20"/>
        </w:rPr>
        <w:t>no external system interfaces</w:t>
      </w:r>
      <w:r>
        <w:rPr>
          <w:rFonts w:eastAsia="Arial" w:cs="Arial"/>
          <w:sz w:val="20"/>
          <w:szCs w:val="20"/>
        </w:rPr>
        <w:t>. Conflicts between the broad admission-platform features and these SRS constraints are recorded in section 3.11.</w:t>
      </w:r>
    </w:p>
    <w:p>
      <w:pPr>
        <w:pStyle w:val="Heading2"/>
        <w:rPr/>
      </w:pPr>
      <w:r>
        <w:rPr>
          <w:rFonts w:eastAsia="Arial" w:cs="Arial" w:ascii="Arial" w:hAnsi="Arial"/>
        </w:rPr>
        <w:t>1.3 Audience</w:t>
      </w:r>
    </w:p>
    <w:p>
      <w:pPr>
        <w:pStyle w:val="Normal"/>
        <w:spacing w:before="0" w:after="70"/>
        <w:rPr/>
      </w:pPr>
      <w:r>
        <w:rPr>
          <w:rFonts w:eastAsia="Arial" w:cs="Arial"/>
          <w:sz w:val="20"/>
          <w:szCs w:val="20"/>
        </w:rPr>
        <w:t>The student project team (developers and testers), the project guide/faculty evaluator, and reviewers assessing the completeness and testability of the design.</w:t>
      </w:r>
    </w:p>
    <w:p>
      <w:pPr>
        <w:pStyle w:val="Heading2"/>
        <w:rPr/>
      </w:pPr>
      <w:r>
        <w:rPr>
          <w:rFonts w:eastAsia="Arial" w:cs="Arial" w:ascii="Arial" w:hAnsi="Arial"/>
        </w:rPr>
        <w:t>1.4 Definitions</w:t>
      </w:r>
    </w:p>
    <w:tbl>
      <w:tblPr>
        <w:tblW w:w="9638" w:type="dxa"/>
        <w:jc w:val="start"/>
        <w:tblInd w:w="0" w:type="dxa"/>
        <w:tblLayout w:type="fixed"/>
        <w:tblCellMar>
          <w:top w:w="25" w:type="dxa"/>
          <w:start w:w="70" w:type="dxa"/>
          <w:bottom w:w="25" w:type="dxa"/>
          <w:end w:w="70" w:type="dxa"/>
        </w:tblCellMar>
      </w:tblPr>
      <w:tblGrid>
        <w:gridCol w:w="2200"/>
        <w:gridCol w:w="7438"/>
      </w:tblGrid>
      <w:tr>
        <w:trPr>
          <w:tblHeader w:val="true"/>
        </w:trPr>
        <w:tc>
          <w:tcPr>
            <w:tcW w:w="2200" w:type="dxa"/>
            <w:tcBorders>
              <w:top w:val="single" w:sz="4" w:space="0" w:color="A6A6A6"/>
              <w:start w:val="single" w:sz="4" w:space="0" w:color="A6A6A6"/>
              <w:bottom w:val="single" w:sz="4" w:space="0" w:color="A6A6A6"/>
              <w:end w:val="single" w:sz="4" w:space="0" w:color="A6A6A6"/>
            </w:tcBorders>
            <w:shd w:color="auto" w:fill="D9E2F3" w:val="clear"/>
          </w:tcPr>
          <w:p>
            <w:pPr>
              <w:pStyle w:val="Normal"/>
              <w:spacing w:before="0" w:after="10"/>
              <w:rPr/>
            </w:pPr>
            <w:r>
              <w:rPr>
                <w:rFonts w:eastAsia="Arial" w:cs="Arial"/>
                <w:b/>
                <w:bCs/>
                <w:sz w:val="17"/>
                <w:szCs w:val="17"/>
              </w:rPr>
              <w:t>Term</w:t>
            </w:r>
          </w:p>
        </w:tc>
        <w:tc>
          <w:tcPr>
            <w:tcW w:w="7438" w:type="dxa"/>
            <w:tcBorders>
              <w:top w:val="single" w:sz="4" w:space="0" w:color="A6A6A6"/>
              <w:start w:val="single" w:sz="4" w:space="0" w:color="A6A6A6"/>
              <w:bottom w:val="single" w:sz="4" w:space="0" w:color="A6A6A6"/>
              <w:end w:val="single" w:sz="4" w:space="0" w:color="A6A6A6"/>
            </w:tcBorders>
            <w:shd w:color="auto" w:fill="D9E2F3" w:val="clear"/>
          </w:tcPr>
          <w:p>
            <w:pPr>
              <w:pStyle w:val="Normal"/>
              <w:spacing w:before="0" w:after="10"/>
              <w:rPr/>
            </w:pPr>
            <w:r>
              <w:rPr>
                <w:rFonts w:eastAsia="Arial" w:cs="Arial"/>
                <w:b/>
                <w:bCs/>
                <w:sz w:val="17"/>
                <w:szCs w:val="17"/>
              </w:rPr>
              <w:t>Definition</w:t>
            </w:r>
          </w:p>
        </w:tc>
      </w:tr>
      <w:tr>
        <w:trPr/>
        <w:tc>
          <w:tcPr>
            <w:tcW w:w="22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bCs/>
                <w:sz w:val="17"/>
                <w:szCs w:val="17"/>
              </w:rPr>
              <w:t>Candidate</w:t>
            </w:r>
          </w:p>
        </w:tc>
        <w:tc>
          <w:tcPr>
            <w:tcW w:w="7438"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7"/>
                <w:szCs w:val="17"/>
              </w:rPr>
              <w:t>A prospective engineering student who registers on the platform.</w:t>
            </w:r>
          </w:p>
        </w:tc>
      </w:tr>
      <w:tr>
        <w:trPr/>
        <w:tc>
          <w:tcPr>
            <w:tcW w:w="22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bCs/>
                <w:sz w:val="17"/>
                <w:szCs w:val="17"/>
              </w:rPr>
              <w:t>Administrator</w:t>
            </w:r>
          </w:p>
        </w:tc>
        <w:tc>
          <w:tcPr>
            <w:tcW w:w="7438"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7"/>
                <w:szCs w:val="17"/>
              </w:rPr>
              <w:t>The single platform-operator role (verification, catalogue and seat-matrix management, allotment, publication, audit review).</w:t>
            </w:r>
          </w:p>
        </w:tc>
      </w:tr>
      <w:tr>
        <w:trPr/>
        <w:tc>
          <w:tcPr>
            <w:tcW w:w="22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bCs/>
                <w:sz w:val="17"/>
                <w:szCs w:val="17"/>
              </w:rPr>
              <w:t>Application</w:t>
            </w:r>
          </w:p>
        </w:tc>
        <w:tc>
          <w:tcPr>
            <w:tcW w:w="7438"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7"/>
                <w:szCs w:val="17"/>
              </w:rPr>
              <w:t>A candidate's formal request for admission, identified by a unique reference number.</w:t>
            </w:r>
          </w:p>
        </w:tc>
      </w:tr>
      <w:tr>
        <w:trPr/>
        <w:tc>
          <w:tcPr>
            <w:tcW w:w="22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bCs/>
                <w:sz w:val="17"/>
                <w:szCs w:val="17"/>
              </w:rPr>
              <w:t>Eligibility</w:t>
            </w:r>
          </w:p>
        </w:tc>
        <w:tc>
          <w:tcPr>
            <w:tcW w:w="7438"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7"/>
                <w:szCs w:val="17"/>
              </w:rPr>
              <w:t>Qualification status (Eligible, Not Eligible, Pending Verification) determined against configured, seeded rules.</w:t>
            </w:r>
          </w:p>
        </w:tc>
      </w:tr>
      <w:tr>
        <w:trPr/>
        <w:tc>
          <w:tcPr>
            <w:tcW w:w="22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bCs/>
                <w:sz w:val="17"/>
                <w:szCs w:val="17"/>
              </w:rPr>
              <w:t>Choice</w:t>
            </w:r>
          </w:p>
        </w:tc>
        <w:tc>
          <w:tcPr>
            <w:tcW w:w="7438"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7"/>
                <w:szCs w:val="17"/>
              </w:rPr>
              <w:t>A candidate-selected college-branch combination, ranked by preference.</w:t>
            </w:r>
          </w:p>
        </w:tc>
      </w:tr>
      <w:tr>
        <w:trPr/>
        <w:tc>
          <w:tcPr>
            <w:tcW w:w="22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bCs/>
                <w:sz w:val="17"/>
                <w:szCs w:val="17"/>
              </w:rPr>
              <w:t>Seat Matrix</w:t>
            </w:r>
          </w:p>
        </w:tc>
        <w:tc>
          <w:tcPr>
            <w:tcW w:w="7438"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7"/>
                <w:szCs w:val="17"/>
              </w:rPr>
              <w:t>Configured record of total, filled and available seats per college, branch and category.</w:t>
            </w:r>
          </w:p>
        </w:tc>
      </w:tr>
      <w:tr>
        <w:trPr/>
        <w:tc>
          <w:tcPr>
            <w:tcW w:w="22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bCs/>
                <w:sz w:val="17"/>
                <w:szCs w:val="17"/>
              </w:rPr>
              <w:t>Allotment Run</w:t>
            </w:r>
          </w:p>
        </w:tc>
        <w:tc>
          <w:tcPr>
            <w:tcW w:w="7438"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7"/>
                <w:szCs w:val="17"/>
              </w:rPr>
              <w:t>One execution of the allotment engine over the candidate pool and seat matrix.</w:t>
            </w:r>
          </w:p>
        </w:tc>
      </w:tr>
      <w:tr>
        <w:trPr/>
        <w:tc>
          <w:tcPr>
            <w:tcW w:w="22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bCs/>
                <w:sz w:val="17"/>
                <w:szCs w:val="17"/>
              </w:rPr>
              <w:t>Not Allocated</w:t>
            </w:r>
          </w:p>
        </w:tc>
        <w:tc>
          <w:tcPr>
            <w:tcW w:w="7438"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7"/>
                <w:szCs w:val="17"/>
              </w:rPr>
              <w:t>Outcome when none of a candidate's locked preferences can be satisfied.</w:t>
            </w:r>
          </w:p>
        </w:tc>
      </w:tr>
      <w:tr>
        <w:trPr/>
        <w:tc>
          <w:tcPr>
            <w:tcW w:w="22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bCs/>
                <w:sz w:val="17"/>
                <w:szCs w:val="17"/>
              </w:rPr>
              <w:t>RBAC</w:t>
            </w:r>
          </w:p>
        </w:tc>
        <w:tc>
          <w:tcPr>
            <w:tcW w:w="7438"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7"/>
                <w:szCs w:val="17"/>
              </w:rPr>
              <w:t>Role-Based Access Control.</w:t>
            </w:r>
          </w:p>
        </w:tc>
      </w:tr>
      <w:tr>
        <w:trPr/>
        <w:tc>
          <w:tcPr>
            <w:tcW w:w="22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bCs/>
                <w:sz w:val="17"/>
                <w:szCs w:val="17"/>
              </w:rPr>
              <w:t>NFR / RTM</w:t>
            </w:r>
          </w:p>
        </w:tc>
        <w:tc>
          <w:tcPr>
            <w:tcW w:w="7438"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7"/>
                <w:szCs w:val="17"/>
              </w:rPr>
              <w:t>Non-Functional Requirement / Requirements Traceability Matrix.</w:t>
            </w:r>
          </w:p>
        </w:tc>
      </w:tr>
      <w:tr>
        <w:trPr/>
        <w:tc>
          <w:tcPr>
            <w:tcW w:w="22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bCs/>
                <w:sz w:val="17"/>
                <w:szCs w:val="17"/>
              </w:rPr>
              <w:t>Assumption (A-xx)</w:t>
            </w:r>
          </w:p>
        </w:tc>
        <w:tc>
          <w:tcPr>
            <w:tcW w:w="7438"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7"/>
                <w:szCs w:val="17"/>
              </w:rPr>
              <w:t>A design assumption or choice made by the team where the SRS is silent. Listed in section 3.10. Assumptions are not SRS requirements.</w:t>
            </w:r>
          </w:p>
        </w:tc>
      </w:tr>
    </w:tbl>
    <w:p>
      <w:pPr>
        <w:pStyle w:val="Normal"/>
        <w:spacing w:before="0" w:after="40"/>
        <w:rPr/>
      </w:pPr>
      <w:r>
        <w:rPr/>
      </w:r>
    </w:p>
    <w:p>
      <w:pPr>
        <w:pStyle w:val="Heading1"/>
        <w:rPr/>
      </w:pPr>
      <w:r>
        <w:rPr>
          <w:rFonts w:eastAsia="Arial" w:cs="Arial" w:ascii="Arial" w:hAnsi="Arial"/>
        </w:rPr>
        <w:t>2. Document Overview</w:t>
      </w:r>
    </w:p>
    <w:p>
      <w:pPr>
        <w:pStyle w:val="Heading2"/>
        <w:rPr/>
      </w:pPr>
      <w:r>
        <w:rPr>
          <w:rFonts w:eastAsia="Arial" w:cs="Arial" w:ascii="Arial" w:hAnsi="Arial"/>
        </w:rPr>
        <w:t>2.1 How to use this document</w:t>
      </w:r>
    </w:p>
    <w:p>
      <w:pPr>
        <w:pStyle w:val="Normal"/>
        <w:spacing w:before="0" w:after="70"/>
        <w:rPr/>
      </w:pPr>
      <w:r>
        <w:rPr>
          <w:rFonts w:eastAsia="Arial" w:cs="Arial"/>
          <w:sz w:val="20"/>
          <w:szCs w:val="20"/>
        </w:rPr>
        <w:t>Section 3 describes the architecture (goals, component diagram and descriptions, pattern, technology, risks, traceability, security). Section 4 describes the design (sequence diagrams, API design, error handling/logging/monitoring, UX, open issues). Section 5 contains appendices.</w:t>
      </w:r>
    </w:p>
    <w:p>
      <w:pPr>
        <w:pStyle w:val="Normal"/>
        <w:spacing w:before="0" w:after="70"/>
        <w:rPr/>
      </w:pPr>
      <w:r>
        <w:rPr>
          <w:rFonts w:eastAsia="Arial" w:cs="Arial"/>
          <w:b/>
          <w:bCs/>
          <w:sz w:val="20"/>
          <w:szCs w:val="20"/>
        </w:rPr>
        <w:t>Conventions.</w:t>
      </w:r>
      <w:r>
        <w:rPr>
          <w:rFonts w:eastAsia="Arial" w:cs="Arial"/>
          <w:sz w:val="20"/>
          <w:szCs w:val="20"/>
        </w:rPr>
        <w:t xml:space="preserve"> Requirement IDs (ADM-F-xxx, ADM-NFR-xxx, SEC-F-xxx) are copied unchanged from the SRS. Anything marked with an assumption ID (</w:t>
      </w:r>
      <w:r>
        <w:rPr>
          <w:rFonts w:eastAsia="Arial" w:cs="Arial"/>
          <w:b/>
          <w:bCs/>
          <w:sz w:val="20"/>
          <w:szCs w:val="20"/>
        </w:rPr>
        <w:t>A-xx</w:t>
      </w:r>
      <w:r>
        <w:rPr>
          <w:rFonts w:eastAsia="Arial" w:cs="Arial"/>
          <w:sz w:val="20"/>
          <w:szCs w:val="20"/>
        </w:rPr>
        <w:t>) is a design assumption made by the team because the SRS does not specify it (see section 3.10); it must not be read as an SRS requirement. Conflicts and inconsistencies are listed in section 3.11.</w:t>
      </w:r>
    </w:p>
    <w:p>
      <w:pPr>
        <w:pStyle w:val="Heading2"/>
        <w:rPr/>
      </w:pPr>
      <w:r>
        <w:rPr>
          <w:rFonts w:eastAsia="Arial" w:cs="Arial" w:ascii="Arial" w:hAnsi="Arial"/>
        </w:rPr>
        <w:t>2.2 Related Documents</w:t>
      </w:r>
    </w:p>
    <w:p>
      <w:pPr>
        <w:pStyle w:val="ListParagraph"/>
        <w:numPr>
          <w:ilvl w:val="0"/>
          <w:numId w:val="3"/>
        </w:numPr>
        <w:spacing w:before="0" w:after="30"/>
        <w:rPr/>
      </w:pPr>
      <w:r>
        <w:rPr>
          <w:rFonts w:eastAsia="Arial" w:cs="Arial"/>
          <w:b/>
          <w:bCs/>
          <w:sz w:val="20"/>
          <w:szCs w:val="20"/>
        </w:rPr>
        <w:t>SRS</w:t>
      </w:r>
      <w:r>
        <w:rPr>
          <w:rFonts w:eastAsia="Arial" w:cs="Arial"/>
          <w:sz w:val="20"/>
          <w:szCs w:val="20"/>
        </w:rPr>
        <w:t xml:space="preserve"> - Automated Engineering Admission &amp; Counselling Management Platform for KCET and COMEDK (Team 5): single source of truth for scope, requirements, roles, constraints and NFRs.</w:t>
      </w:r>
    </w:p>
    <w:p>
      <w:pPr>
        <w:pStyle w:val="ListParagraph"/>
        <w:numPr>
          <w:ilvl w:val="0"/>
          <w:numId w:val="1"/>
        </w:numPr>
        <w:spacing w:before="0" w:after="30"/>
        <w:rPr/>
      </w:pPr>
      <w:r>
        <w:rPr>
          <w:rFonts w:eastAsia="Arial" w:cs="Arial"/>
          <w:b/>
          <w:bCs/>
          <w:sz w:val="20"/>
          <w:szCs w:val="20"/>
        </w:rPr>
        <w:t>STP</w:t>
      </w:r>
      <w:r>
        <w:rPr>
          <w:rFonts w:eastAsia="Arial" w:cs="Arial"/>
          <w:sz w:val="20"/>
          <w:szCs w:val="20"/>
        </w:rPr>
        <w:t xml:space="preserve"> (Software Test Plan) - to be prepared; test cases TC-001 to TC-030 are already referenced in the SRS.</w:t>
      </w:r>
    </w:p>
    <w:p>
      <w:pPr>
        <w:pStyle w:val="ListParagraph"/>
        <w:numPr>
          <w:ilvl w:val="0"/>
          <w:numId w:val="1"/>
        </w:numPr>
        <w:spacing w:before="0" w:after="30"/>
        <w:rPr/>
      </w:pPr>
      <w:r>
        <w:rPr>
          <w:rFonts w:eastAsia="Arial" w:cs="Arial"/>
          <w:b/>
          <w:bCs/>
          <w:sz w:val="20"/>
          <w:szCs w:val="20"/>
        </w:rPr>
        <w:t>RTM</w:t>
      </w:r>
      <w:r>
        <w:rPr>
          <w:rFonts w:eastAsia="Arial" w:cs="Arial"/>
          <w:sz w:val="20"/>
          <w:szCs w:val="20"/>
        </w:rPr>
        <w:t xml:space="preserve"> - SRS section 8 maps requirements to modules and test cases; section 3.8 of this SAD extends it to design elements.</w:t>
      </w:r>
    </w:p>
    <w:p>
      <w:pPr>
        <w:pStyle w:val="Heading2"/>
        <w:rPr/>
      </w:pPr>
      <w:r>
        <w:rPr>
          <w:rFonts w:eastAsia="Arial" w:cs="Arial" w:ascii="Arial" w:hAnsi="Arial"/>
        </w:rPr>
        <w:t>2.3 Scope Priority</w:t>
      </w:r>
    </w:p>
    <w:p>
      <w:pPr>
        <w:pStyle w:val="Normal"/>
        <w:spacing w:before="0" w:after="70"/>
        <w:rPr/>
      </w:pPr>
      <w:r>
        <w:rPr>
          <w:rFonts w:eastAsia="Arial" w:cs="Arial"/>
          <w:sz w:val="20"/>
          <w:szCs w:val="20"/>
        </w:rPr>
        <w:t>When sources conflict, the higher-priority source wins. An explicit SRS constraint is never silently overridden; every conflict is recorded in section 3.11 and every assumption in section 3.10.</w:t>
      </w:r>
    </w:p>
    <w:tbl>
      <w:tblPr>
        <w:tblW w:w="9638" w:type="dxa"/>
        <w:jc w:val="start"/>
        <w:tblInd w:w="0" w:type="dxa"/>
        <w:tblLayout w:type="fixed"/>
        <w:tblCellMar>
          <w:top w:w="25" w:type="dxa"/>
          <w:start w:w="70" w:type="dxa"/>
          <w:bottom w:w="25" w:type="dxa"/>
          <w:end w:w="70" w:type="dxa"/>
        </w:tblCellMar>
      </w:tblPr>
      <w:tblGrid>
        <w:gridCol w:w="1000"/>
        <w:gridCol w:w="3399"/>
        <w:gridCol w:w="5239"/>
      </w:tblGrid>
      <w:tr>
        <w:trPr>
          <w:tblHeader w:val="true"/>
        </w:trPr>
        <w:tc>
          <w:tcPr>
            <w:tcW w:w="1000" w:type="dxa"/>
            <w:tcBorders>
              <w:top w:val="single" w:sz="4" w:space="0" w:color="A6A6A6"/>
              <w:start w:val="single" w:sz="4" w:space="0" w:color="A6A6A6"/>
              <w:bottom w:val="single" w:sz="4" w:space="0" w:color="A6A6A6"/>
              <w:end w:val="single" w:sz="4" w:space="0" w:color="A6A6A6"/>
            </w:tcBorders>
            <w:shd w:color="auto" w:fill="D9E2F3" w:val="clear"/>
          </w:tcPr>
          <w:p>
            <w:pPr>
              <w:pStyle w:val="Normal"/>
              <w:spacing w:before="0" w:after="10"/>
              <w:rPr/>
            </w:pPr>
            <w:r>
              <w:rPr>
                <w:rFonts w:eastAsia="Arial" w:cs="Arial"/>
                <w:b/>
                <w:bCs/>
                <w:sz w:val="17"/>
                <w:szCs w:val="17"/>
              </w:rPr>
              <w:t>Priority</w:t>
            </w:r>
          </w:p>
        </w:tc>
        <w:tc>
          <w:tcPr>
            <w:tcW w:w="3399" w:type="dxa"/>
            <w:tcBorders>
              <w:top w:val="single" w:sz="4" w:space="0" w:color="A6A6A6"/>
              <w:start w:val="single" w:sz="4" w:space="0" w:color="A6A6A6"/>
              <w:bottom w:val="single" w:sz="4" w:space="0" w:color="A6A6A6"/>
              <w:end w:val="single" w:sz="4" w:space="0" w:color="A6A6A6"/>
            </w:tcBorders>
            <w:shd w:color="auto" w:fill="D9E2F3" w:val="clear"/>
          </w:tcPr>
          <w:p>
            <w:pPr>
              <w:pStyle w:val="Normal"/>
              <w:spacing w:before="0" w:after="10"/>
              <w:rPr/>
            </w:pPr>
            <w:r>
              <w:rPr>
                <w:rFonts w:eastAsia="Arial" w:cs="Arial"/>
                <w:b/>
                <w:bCs/>
                <w:sz w:val="17"/>
                <w:szCs w:val="17"/>
              </w:rPr>
              <w:t>Source</w:t>
            </w:r>
          </w:p>
        </w:tc>
        <w:tc>
          <w:tcPr>
            <w:tcW w:w="5239" w:type="dxa"/>
            <w:tcBorders>
              <w:top w:val="single" w:sz="4" w:space="0" w:color="A6A6A6"/>
              <w:start w:val="single" w:sz="4" w:space="0" w:color="A6A6A6"/>
              <w:bottom w:val="single" w:sz="4" w:space="0" w:color="A6A6A6"/>
              <w:end w:val="single" w:sz="4" w:space="0" w:color="A6A6A6"/>
            </w:tcBorders>
            <w:shd w:color="auto" w:fill="D9E2F3" w:val="clear"/>
          </w:tcPr>
          <w:p>
            <w:pPr>
              <w:pStyle w:val="Normal"/>
              <w:spacing w:before="0" w:after="10"/>
              <w:rPr/>
            </w:pPr>
            <w:r>
              <w:rPr>
                <w:rFonts w:eastAsia="Arial" w:cs="Arial"/>
                <w:b/>
                <w:bCs/>
                <w:sz w:val="17"/>
                <w:szCs w:val="17"/>
              </w:rPr>
              <w:t>Examples</w:t>
            </w:r>
          </w:p>
        </w:tc>
      </w:tr>
      <w:tr>
        <w:trPr/>
        <w:tc>
          <w:tcPr>
            <w:tcW w:w="10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bCs/>
                <w:sz w:val="17"/>
                <w:szCs w:val="17"/>
              </w:rPr>
              <w:t>1</w:t>
            </w:r>
          </w:p>
        </w:tc>
        <w:tc>
          <w:tcPr>
            <w:tcW w:w="339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7"/>
                <w:szCs w:val="17"/>
              </w:rPr>
              <w:t>Explicit implementation requirements and constraints in the SRS</w:t>
            </w:r>
          </w:p>
        </w:tc>
        <w:tc>
          <w:tcPr>
            <w:tcW w:w="523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7"/>
                <w:szCs w:val="17"/>
              </w:rPr>
              <w:t>SRS 2.5 Constraints, 3.3 Software Interfaces, 3.4 Communications, Assumptions section (mock/seeded data, no payment, no external interfaces, manual document verification, single allotment cycle).</w:t>
            </w:r>
          </w:p>
        </w:tc>
      </w:tr>
      <w:tr>
        <w:trPr/>
        <w:tc>
          <w:tcPr>
            <w:tcW w:w="10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bCs/>
                <w:sz w:val="17"/>
                <w:szCs w:val="17"/>
              </w:rPr>
              <w:t>2</w:t>
            </w:r>
          </w:p>
        </w:tc>
        <w:tc>
          <w:tcPr>
            <w:tcW w:w="339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7"/>
                <w:szCs w:val="17"/>
              </w:rPr>
              <w:t>Explicit SRS scope and project constraints</w:t>
            </w:r>
          </w:p>
        </w:tc>
        <w:tc>
          <w:tcPr>
            <w:tcW w:w="523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7"/>
                <w:szCs w:val="17"/>
              </w:rPr>
              <w:t>SRS 1.2 Scope and out-of-scope list, 2.1 Product Perspective, 2.4 Operating Environment.</w:t>
            </w:r>
          </w:p>
        </w:tc>
      </w:tr>
      <w:tr>
        <w:trPr/>
        <w:tc>
          <w:tcPr>
            <w:tcW w:w="10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bCs/>
                <w:sz w:val="17"/>
                <w:szCs w:val="17"/>
              </w:rPr>
              <w:t>3</w:t>
            </w:r>
          </w:p>
        </w:tc>
        <w:tc>
          <w:tcPr>
            <w:tcW w:w="339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7"/>
                <w:szCs w:val="17"/>
              </w:rPr>
              <w:t>Functional and non-functional requirements</w:t>
            </w:r>
          </w:p>
        </w:tc>
        <w:tc>
          <w:tcPr>
            <w:tcW w:w="523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7"/>
                <w:szCs w:val="17"/>
              </w:rPr>
              <w:t>ADM-F-001 to ADM-F-020, ADM-NFR-001 to ADM-NFR-005, SEC-F-001 to SEC-F-005.</w:t>
            </w:r>
          </w:p>
        </w:tc>
      </w:tr>
      <w:tr>
        <w:trPr/>
        <w:tc>
          <w:tcPr>
            <w:tcW w:w="10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bCs/>
                <w:sz w:val="17"/>
                <w:szCs w:val="17"/>
              </w:rPr>
              <w:t>4</w:t>
            </w:r>
          </w:p>
        </w:tc>
        <w:tc>
          <w:tcPr>
            <w:tcW w:w="339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7"/>
                <w:szCs w:val="17"/>
              </w:rPr>
              <w:t>Other SRS design and interface information</w:t>
            </w:r>
          </w:p>
        </w:tc>
        <w:tc>
          <w:tcPr>
            <w:tcW w:w="523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7"/>
                <w:szCs w:val="17"/>
              </w:rPr>
              <w:t>SRS 3.1 user interfaces, section 7 use-case diagrams, glossary, RTM module names.</w:t>
            </w:r>
          </w:p>
        </w:tc>
      </w:tr>
      <w:tr>
        <w:trPr/>
        <w:tc>
          <w:tcPr>
            <w:tcW w:w="10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bCs/>
                <w:sz w:val="17"/>
                <w:szCs w:val="17"/>
              </w:rPr>
              <w:t>5</w:t>
            </w:r>
          </w:p>
        </w:tc>
        <w:tc>
          <w:tcPr>
            <w:tcW w:w="339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7"/>
                <w:szCs w:val="17"/>
              </w:rPr>
              <w:t>Clearly labelled design assumptions</w:t>
            </w:r>
          </w:p>
        </w:tc>
        <w:tc>
          <w:tcPr>
            <w:tcW w:w="523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7"/>
                <w:szCs w:val="17"/>
              </w:rPr>
              <w:t>Section 3.10 (A-01 to A-22).</w:t>
            </w:r>
          </w:p>
        </w:tc>
      </w:tr>
    </w:tbl>
    <w:p>
      <w:pPr>
        <w:pStyle w:val="Normal"/>
        <w:spacing w:before="0" w:after="40"/>
        <w:rPr/>
      </w:pPr>
      <w:r>
        <w:rPr/>
      </w:r>
    </w:p>
    <w:p>
      <w:pPr>
        <w:pStyle w:val="Heading1"/>
        <w:rPr/>
      </w:pPr>
      <w:r>
        <w:rPr>
          <w:rFonts w:eastAsia="Arial" w:cs="Arial" w:ascii="Arial" w:hAnsi="Arial"/>
        </w:rPr>
        <w:t>3. Architecture</w:t>
      </w:r>
    </w:p>
    <w:p>
      <w:pPr>
        <w:pStyle w:val="Heading2"/>
        <w:rPr/>
      </w:pPr>
      <w:r>
        <w:rPr>
          <w:rFonts w:eastAsia="Arial" w:cs="Arial" w:ascii="Arial" w:hAnsi="Arial"/>
        </w:rPr>
        <w:t>3.1 Goals &amp; Constraints</w:t>
      </w:r>
    </w:p>
    <w:p>
      <w:pPr>
        <w:pStyle w:val="Normal"/>
        <w:keepNext w:val="true"/>
        <w:spacing w:before="0" w:after="70"/>
        <w:rPr/>
      </w:pPr>
      <w:r>
        <w:rPr>
          <w:rFonts w:eastAsia="Arial" w:cs="Arial"/>
          <w:b/>
          <w:bCs/>
          <w:sz w:val="20"/>
          <w:szCs w:val="20"/>
        </w:rPr>
        <w:t>Goals :</w:t>
      </w:r>
    </w:p>
    <w:p>
      <w:pPr>
        <w:pStyle w:val="ListParagraph"/>
        <w:numPr>
          <w:ilvl w:val="0"/>
          <w:numId w:val="1"/>
        </w:numPr>
        <w:spacing w:before="0" w:after="30"/>
        <w:rPr/>
      </w:pPr>
      <w:r>
        <w:rPr>
          <w:rFonts w:eastAsia="Arial" w:cs="Arial"/>
          <w:sz w:val="20"/>
          <w:szCs w:val="20"/>
        </w:rPr>
        <w:t>Correct rank-, preference- and seat-based allotment (ADM-F-015, ADM-F-016).</w:t>
      </w:r>
    </w:p>
    <w:p>
      <w:pPr>
        <w:pStyle w:val="ListParagraph"/>
        <w:numPr>
          <w:ilvl w:val="0"/>
          <w:numId w:val="1"/>
        </w:numPr>
        <w:spacing w:before="0" w:after="30"/>
        <w:rPr/>
      </w:pPr>
      <w:r>
        <w:rPr>
          <w:rFonts w:eastAsia="Arial" w:cs="Arial"/>
          <w:sz w:val="20"/>
          <w:szCs w:val="20"/>
        </w:rPr>
        <w:t>Seat counts consistent with allotment records, never above capacity (ADM-NFR-003).</w:t>
      </w:r>
    </w:p>
    <w:p>
      <w:pPr>
        <w:pStyle w:val="ListParagraph"/>
        <w:numPr>
          <w:ilvl w:val="0"/>
          <w:numId w:val="1"/>
        </w:numPr>
        <w:spacing w:before="0" w:after="30"/>
        <w:rPr/>
      </w:pPr>
      <w:r>
        <w:rPr>
          <w:rFonts w:eastAsia="Arial" w:cs="Arial"/>
          <w:sz w:val="20"/>
          <w:szCs w:val="20"/>
        </w:rPr>
        <w:t>Candidate-facing pages respond within 2 seconds under normal load (ADM-NFR-001).</w:t>
      </w:r>
    </w:p>
    <w:p>
      <w:pPr>
        <w:pStyle w:val="ListParagraph"/>
        <w:numPr>
          <w:ilvl w:val="0"/>
          <w:numId w:val="1"/>
        </w:numPr>
        <w:spacing w:before="0" w:after="30"/>
        <w:rPr/>
      </w:pPr>
      <w:r>
        <w:rPr>
          <w:rFonts w:eastAsia="Arial" w:cs="Arial"/>
          <w:sz w:val="20"/>
          <w:szCs w:val="20"/>
        </w:rPr>
        <w:t>Allotment run for a few hundred candidates in reasonable time (ADM-NFR-002).</w:t>
      </w:r>
    </w:p>
    <w:p>
      <w:pPr>
        <w:pStyle w:val="ListParagraph"/>
        <w:numPr>
          <w:ilvl w:val="0"/>
          <w:numId w:val="1"/>
        </w:numPr>
        <w:spacing w:before="0" w:after="30"/>
        <w:rPr/>
      </w:pPr>
      <w:r>
        <w:rPr>
          <w:rFonts w:eastAsia="Arial" w:cs="Arial"/>
          <w:sz w:val="20"/>
          <w:szCs w:val="20"/>
        </w:rPr>
        <w:t>First-time candidates can submit an application without help (ADM-NFR-004).</w:t>
      </w:r>
    </w:p>
    <w:p>
      <w:pPr>
        <w:pStyle w:val="ListParagraph"/>
        <w:numPr>
          <w:ilvl w:val="0"/>
          <w:numId w:val="1"/>
        </w:numPr>
        <w:spacing w:before="0" w:after="30"/>
        <w:rPr/>
      </w:pPr>
      <w:r>
        <w:rPr>
          <w:rFonts w:eastAsia="Arial" w:cs="Arial"/>
          <w:sz w:val="20"/>
          <w:szCs w:val="20"/>
        </w:rPr>
        <w:t>Catalogue, seat-matrix and eligibility-rule data configurable, not hard-coded (ADM-NFR-005).</w:t>
      </w:r>
    </w:p>
    <w:p>
      <w:pPr>
        <w:pStyle w:val="ListParagraph"/>
        <w:numPr>
          <w:ilvl w:val="0"/>
          <w:numId w:val="1"/>
        </w:numPr>
        <w:spacing w:before="0" w:after="30"/>
        <w:rPr/>
      </w:pPr>
      <w:r>
        <w:rPr>
          <w:rFonts w:eastAsia="Arial" w:cs="Arial"/>
          <w:sz w:val="20"/>
          <w:szCs w:val="20"/>
        </w:rPr>
        <w:t>Authentication, RBAC, salted hashing, encrypted transport, audit log (SEC-F-001 to SEC-F-005).</w:t>
      </w:r>
    </w:p>
    <w:p>
      <w:pPr>
        <w:pStyle w:val="Normal"/>
        <w:keepNext w:val="true"/>
        <w:spacing w:before="0" w:after="70"/>
        <w:rPr/>
      </w:pPr>
      <w:r>
        <w:rPr>
          <w:rFonts w:eastAsia="Arial" w:cs="Arial"/>
          <w:b/>
          <w:bCs/>
          <w:sz w:val="20"/>
          <w:szCs w:val="20"/>
        </w:rPr>
        <w:t>Constraints :</w:t>
      </w:r>
    </w:p>
    <w:p>
      <w:pPr>
        <w:pStyle w:val="ListParagraph"/>
        <w:numPr>
          <w:ilvl w:val="0"/>
          <w:numId w:val="1"/>
        </w:numPr>
        <w:spacing w:before="0" w:after="30"/>
        <w:rPr/>
      </w:pPr>
      <w:r>
        <w:rPr>
          <w:rFonts w:eastAsia="Arial" w:cs="Arial"/>
          <w:sz w:val="20"/>
          <w:szCs w:val="20"/>
        </w:rPr>
        <w:t>Four-member team, single academic semester (SRS 2.5).</w:t>
      </w:r>
    </w:p>
    <w:p>
      <w:pPr>
        <w:pStyle w:val="ListParagraph"/>
        <w:numPr>
          <w:ilvl w:val="0"/>
          <w:numId w:val="1"/>
        </w:numPr>
        <w:spacing w:before="0" w:after="30"/>
        <w:rPr/>
      </w:pPr>
      <w:r>
        <w:rPr>
          <w:rFonts w:eastAsia="Arial" w:cs="Arial"/>
          <w:sz w:val="20"/>
          <w:szCs w:val="20"/>
        </w:rPr>
        <w:t>Mock/seeded exam and eligibility data; no real KEA/COMEDK integration (SRS 2.5, 3.3).</w:t>
      </w:r>
    </w:p>
    <w:p>
      <w:pPr>
        <w:pStyle w:val="ListParagraph"/>
        <w:numPr>
          <w:ilvl w:val="0"/>
          <w:numId w:val="1"/>
        </w:numPr>
        <w:spacing w:before="0" w:after="30"/>
        <w:rPr/>
      </w:pPr>
      <w:r>
        <w:rPr>
          <w:rFonts w:eastAsia="Arial" w:cs="Arial"/>
          <w:sz w:val="20"/>
          <w:szCs w:val="20"/>
        </w:rPr>
        <w:t>No payment, SMS or mandatory e-mail interfaces; no OCR (SRS 1.2, 3.3).</w:t>
      </w:r>
    </w:p>
    <w:p>
      <w:pPr>
        <w:pStyle w:val="ListParagraph"/>
        <w:numPr>
          <w:ilvl w:val="0"/>
          <w:numId w:val="1"/>
        </w:numPr>
        <w:spacing w:before="0" w:after="30"/>
        <w:rPr/>
      </w:pPr>
      <w:r>
        <w:rPr>
          <w:rFonts w:eastAsia="Arial" w:cs="Arial"/>
          <w:sz w:val="20"/>
          <w:szCs w:val="20"/>
        </w:rPr>
        <w:t>Small-to-moderate dataset (tens to a few hundred candidates); single allotment cycle; single Administrator role.</w:t>
      </w:r>
    </w:p>
    <w:p>
      <w:pPr>
        <w:pStyle w:val="ListParagraph"/>
        <w:numPr>
          <w:ilvl w:val="0"/>
          <w:numId w:val="1"/>
        </w:numPr>
        <w:spacing w:before="0" w:after="30"/>
        <w:rPr/>
      </w:pPr>
      <w:r>
        <w:rPr>
          <w:rFonts w:eastAsia="Arial" w:cs="Arial"/>
          <w:sz w:val="20"/>
          <w:szCs w:val="20"/>
        </w:rPr>
        <w:t>Browser-based client; all client-server communication over HTTPS (SRS 3.4).</w:t>
      </w:r>
    </w:p>
    <w:p>
      <w:pPr>
        <w:pStyle w:val="Heading2"/>
        <w:rPr/>
      </w:pPr>
      <w:r>
        <w:rPr>
          <w:rFonts w:eastAsia="Arial" w:cs="Arial" w:ascii="Arial" w:hAnsi="Arial"/>
        </w:rPr>
        <w:t>3.2 Stakeholders &amp; Concerns</w:t>
      </w:r>
    </w:p>
    <w:tbl>
      <w:tblPr>
        <w:tblW w:w="9638" w:type="dxa"/>
        <w:jc w:val="start"/>
        <w:tblInd w:w="0" w:type="dxa"/>
        <w:tblLayout w:type="fixed"/>
        <w:tblCellMar>
          <w:top w:w="25" w:type="dxa"/>
          <w:start w:w="70" w:type="dxa"/>
          <w:bottom w:w="25" w:type="dxa"/>
          <w:end w:w="70" w:type="dxa"/>
        </w:tblCellMar>
      </w:tblPr>
      <w:tblGrid>
        <w:gridCol w:w="2399"/>
        <w:gridCol w:w="7239"/>
      </w:tblGrid>
      <w:tr>
        <w:trPr>
          <w:tblHeader w:val="true"/>
        </w:trPr>
        <w:tc>
          <w:tcPr>
            <w:tcW w:w="2399" w:type="dxa"/>
            <w:tcBorders>
              <w:top w:val="single" w:sz="4" w:space="0" w:color="A6A6A6"/>
              <w:start w:val="single" w:sz="4" w:space="0" w:color="A6A6A6"/>
              <w:bottom w:val="single" w:sz="4" w:space="0" w:color="A6A6A6"/>
              <w:end w:val="single" w:sz="4" w:space="0" w:color="A6A6A6"/>
            </w:tcBorders>
            <w:shd w:color="auto" w:fill="D9E2F3" w:val="clear"/>
          </w:tcPr>
          <w:p>
            <w:pPr>
              <w:pStyle w:val="Normal"/>
              <w:spacing w:before="0" w:after="10"/>
              <w:rPr/>
            </w:pPr>
            <w:r>
              <w:rPr>
                <w:rFonts w:eastAsia="Arial" w:cs="Arial"/>
                <w:b/>
                <w:bCs/>
                <w:sz w:val="17"/>
                <w:szCs w:val="17"/>
              </w:rPr>
              <w:t>Stakeholder</w:t>
            </w:r>
          </w:p>
        </w:tc>
        <w:tc>
          <w:tcPr>
            <w:tcW w:w="7239" w:type="dxa"/>
            <w:tcBorders>
              <w:top w:val="single" w:sz="4" w:space="0" w:color="A6A6A6"/>
              <w:start w:val="single" w:sz="4" w:space="0" w:color="A6A6A6"/>
              <w:bottom w:val="single" w:sz="4" w:space="0" w:color="A6A6A6"/>
              <w:end w:val="single" w:sz="4" w:space="0" w:color="A6A6A6"/>
            </w:tcBorders>
            <w:shd w:color="auto" w:fill="D9E2F3" w:val="clear"/>
          </w:tcPr>
          <w:p>
            <w:pPr>
              <w:pStyle w:val="Normal"/>
              <w:spacing w:before="0" w:after="10"/>
              <w:rPr/>
            </w:pPr>
            <w:r>
              <w:rPr>
                <w:rFonts w:eastAsia="Arial" w:cs="Arial"/>
                <w:b/>
                <w:bCs/>
                <w:sz w:val="17"/>
                <w:szCs w:val="17"/>
              </w:rPr>
              <w:t>Concerns</w:t>
            </w:r>
          </w:p>
        </w:tc>
      </w:tr>
      <w:tr>
        <w:trPr/>
        <w:tc>
          <w:tcPr>
            <w:tcW w:w="239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bCs/>
                <w:sz w:val="17"/>
                <w:szCs w:val="17"/>
              </w:rPr>
              <w:t>Candidates</w:t>
            </w:r>
          </w:p>
        </w:tc>
        <w:tc>
          <w:tcPr>
            <w:tcW w:w="723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7"/>
                <w:szCs w:val="17"/>
              </w:rPr>
              <w:t>Easy-to-follow workflow, privacy of personal data, clear document and result status, fair and correct allotment.</w:t>
            </w:r>
          </w:p>
        </w:tc>
      </w:tr>
      <w:tr>
        <w:trPr/>
        <w:tc>
          <w:tcPr>
            <w:tcW w:w="239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bCs/>
                <w:sz w:val="17"/>
                <w:szCs w:val="17"/>
              </w:rPr>
              <w:t>Administrator</w:t>
            </w:r>
          </w:p>
        </w:tc>
        <w:tc>
          <w:tcPr>
            <w:tcW w:w="723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7"/>
                <w:szCs w:val="17"/>
              </w:rPr>
              <w:t>Efficient document verification, configurable catalogue/seat data, reliable allotment, audit trail.</w:t>
            </w:r>
          </w:p>
        </w:tc>
      </w:tr>
      <w:tr>
        <w:trPr/>
        <w:tc>
          <w:tcPr>
            <w:tcW w:w="239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bCs/>
                <w:sz w:val="17"/>
                <w:szCs w:val="17"/>
              </w:rPr>
              <w:t>Developers / testers</w:t>
            </w:r>
          </w:p>
        </w:tc>
        <w:tc>
          <w:tcPr>
            <w:tcW w:w="723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7"/>
                <w:szCs w:val="17"/>
              </w:rPr>
              <w:t>Modularity, testability of the allotment algorithm, maintainability within one semester.</w:t>
            </w:r>
          </w:p>
        </w:tc>
      </w:tr>
      <w:tr>
        <w:trPr/>
        <w:tc>
          <w:tcPr>
            <w:tcW w:w="239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bCs/>
                <w:sz w:val="17"/>
                <w:szCs w:val="17"/>
              </w:rPr>
              <w:t>Faculty evaluator</w:t>
            </w:r>
          </w:p>
        </w:tc>
        <w:tc>
          <w:tcPr>
            <w:tcW w:w="723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7"/>
                <w:szCs w:val="17"/>
              </w:rPr>
              <w:t>Completeness, traceability to the SRS, correctness of the allotment engine.</w:t>
            </w:r>
          </w:p>
        </w:tc>
      </w:tr>
    </w:tbl>
    <w:p>
      <w:pPr>
        <w:pStyle w:val="Normal"/>
        <w:spacing w:before="0" w:after="40"/>
        <w:rPr/>
      </w:pPr>
      <w:r>
        <w:rPr/>
      </w:r>
    </w:p>
    <w:p>
      <w:pPr>
        <w:pStyle w:val="Heading2"/>
        <w:rPr/>
      </w:pPr>
      <w:r>
        <w:rPr>
          <w:rFonts w:eastAsia="Arial" w:cs="Arial" w:ascii="Arial" w:hAnsi="Arial"/>
        </w:rPr>
        <w:t>3.3 Component (UML) Diagram</w:t>
      </w:r>
    </w:p>
    <w:p>
      <w:pPr>
        <w:pStyle w:val="Normal"/>
        <w:spacing w:before="0" w:after="70"/>
        <w:rPr/>
      </w:pPr>
      <w:r>
        <w:rPr>
          <w:rFonts w:eastAsia="Arial" w:cs="Arial"/>
          <w:sz w:val="20"/>
          <w:szCs w:val="20"/>
        </w:rPr>
        <w:t>Figure 1 shows the major components. The system is a single web application organised in layers. There are no external systems because the SRS excludes KEA/COMEDK, payment gateway, SMS/e-mail gateway and OCR/AI integrations; mock/seeded exam data is represented inside the Relational Database instead.</w:t>
      </w:r>
    </w:p>
    <w:p>
      <w:pPr>
        <w:pStyle w:val="Normal"/>
        <w:keepNext w:val="true"/>
        <w:spacing w:before="60" w:after="40"/>
        <w:jc w:val="center"/>
        <w:rPr/>
      </w:pPr>
      <w:r>
        <w:rPr/>
        <w:drawing>
          <wp:inline distT="0" distB="0" distL="0" distR="0">
            <wp:extent cx="4572000" cy="3457575"/>
            <wp:effectExtent l="0" t="0" r="0" b="0"/>
            <wp:docPr id="1" name="Component diagram of the Admission Management Platform" descr="Component diagram of the Admission Management Platform" title="Component diagram of the Admission Management Plat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omponent diagram of the Admission Management Platform" descr="Component diagram of the Admission Management Platform" title="Component diagram of the Admission Management Platform"/>
                    <pic:cNvPicPr>
                      <a:picLocks noChangeAspect="1" noChangeArrowheads="1"/>
                    </pic:cNvPicPr>
                  </pic:nvPicPr>
                  <pic:blipFill>
                    <a:blip r:embed="rId2"/>
                    <a:stretch>
                      <a:fillRect/>
                    </a:stretch>
                  </pic:blipFill>
                  <pic:spPr bwMode="auto">
                    <a:xfrm>
                      <a:off x="0" y="0"/>
                      <a:ext cx="4572000" cy="3457575"/>
                    </a:xfrm>
                    <a:prstGeom prst="rect">
                      <a:avLst/>
                    </a:prstGeom>
                    <a:noFill/>
                  </pic:spPr>
                </pic:pic>
              </a:graphicData>
            </a:graphic>
          </wp:inline>
        </w:drawing>
      </w:r>
    </w:p>
    <w:p>
      <w:pPr>
        <w:pStyle w:val="Normal"/>
        <w:spacing w:before="0" w:after="160"/>
        <w:jc w:val="center"/>
        <w:rPr/>
      </w:pPr>
      <w:r>
        <w:rPr>
          <w:rFonts w:eastAsia="Arial" w:cs="Arial"/>
          <w:i/>
          <w:iCs/>
          <w:sz w:val="18"/>
          <w:szCs w:val="18"/>
        </w:rPr>
        <w:t>Figure 1: Component diagram. Modules inside the Application Layer reach data only through the Data Access Layer; uploaded files are kept in the Document File Store.</w:t>
      </w:r>
    </w:p>
    <w:p>
      <w:pPr>
        <w:pStyle w:val="Heading2"/>
        <w:rPr/>
      </w:pPr>
      <w:r>
        <w:rPr>
          <w:rFonts w:eastAsia="Arial" w:cs="Arial" w:ascii="Arial" w:hAnsi="Arial"/>
        </w:rPr>
        <w:t>3.4 Component Descriptions</w:t>
      </w:r>
    </w:p>
    <w:p>
      <w:pPr>
        <w:pStyle w:val="Normal"/>
        <w:spacing w:before="0" w:after="70"/>
        <w:rPr/>
      </w:pPr>
      <w:r>
        <w:rPr>
          <w:rFonts w:eastAsia="Arial" w:cs="Arial"/>
          <w:sz w:val="20"/>
          <w:szCs w:val="20"/>
        </w:rPr>
        <w:t>Every component shown in Figure 1 is described below.</w:t>
      </w:r>
    </w:p>
    <w:tbl>
      <w:tblPr>
        <w:tblW w:w="9638" w:type="dxa"/>
        <w:jc w:val="start"/>
        <w:tblInd w:w="0" w:type="dxa"/>
        <w:tblLayout w:type="fixed"/>
        <w:tblCellMar>
          <w:top w:w="25" w:type="dxa"/>
          <w:start w:w="70" w:type="dxa"/>
          <w:bottom w:w="25" w:type="dxa"/>
          <w:end w:w="70" w:type="dxa"/>
        </w:tblCellMar>
      </w:tblPr>
      <w:tblGrid>
        <w:gridCol w:w="1499"/>
        <w:gridCol w:w="1501"/>
        <w:gridCol w:w="3700"/>
        <w:gridCol w:w="2938"/>
      </w:tblGrid>
      <w:tr>
        <w:trPr>
          <w:tblHeader w:val="true"/>
        </w:trPr>
        <w:tc>
          <w:tcPr>
            <w:tcW w:w="1499" w:type="dxa"/>
            <w:tcBorders>
              <w:top w:val="single" w:sz="4" w:space="0" w:color="A6A6A6"/>
              <w:start w:val="single" w:sz="4" w:space="0" w:color="A6A6A6"/>
              <w:bottom w:val="single" w:sz="4" w:space="0" w:color="A6A6A6"/>
              <w:end w:val="single" w:sz="4" w:space="0" w:color="A6A6A6"/>
            </w:tcBorders>
            <w:shd w:color="auto" w:fill="D9E2F3" w:val="clear"/>
          </w:tcPr>
          <w:p>
            <w:pPr>
              <w:pStyle w:val="Normal"/>
              <w:spacing w:before="0" w:after="10"/>
              <w:rPr/>
            </w:pPr>
            <w:r>
              <w:rPr>
                <w:rFonts w:eastAsia="Arial" w:cs="Arial"/>
                <w:b/>
                <w:bCs/>
                <w:sz w:val="16"/>
                <w:szCs w:val="16"/>
              </w:rPr>
              <w:t>Component</w:t>
            </w:r>
          </w:p>
        </w:tc>
        <w:tc>
          <w:tcPr>
            <w:tcW w:w="1501" w:type="dxa"/>
            <w:tcBorders>
              <w:top w:val="single" w:sz="4" w:space="0" w:color="A6A6A6"/>
              <w:start w:val="single" w:sz="4" w:space="0" w:color="A6A6A6"/>
              <w:bottom w:val="single" w:sz="4" w:space="0" w:color="A6A6A6"/>
              <w:end w:val="single" w:sz="4" w:space="0" w:color="A6A6A6"/>
            </w:tcBorders>
            <w:shd w:color="auto" w:fill="D9E2F3" w:val="clear"/>
          </w:tcPr>
          <w:p>
            <w:pPr>
              <w:pStyle w:val="Normal"/>
              <w:spacing w:before="0" w:after="10"/>
              <w:rPr/>
            </w:pPr>
            <w:r>
              <w:rPr>
                <w:rFonts w:eastAsia="Arial" w:cs="Arial"/>
                <w:b/>
                <w:bCs/>
                <w:sz w:val="16"/>
                <w:szCs w:val="16"/>
              </w:rPr>
              <w:t>Purpose</w:t>
            </w:r>
          </w:p>
        </w:tc>
        <w:tc>
          <w:tcPr>
            <w:tcW w:w="3700" w:type="dxa"/>
            <w:tcBorders>
              <w:top w:val="single" w:sz="4" w:space="0" w:color="A6A6A6"/>
              <w:start w:val="single" w:sz="4" w:space="0" w:color="A6A6A6"/>
              <w:bottom w:val="single" w:sz="4" w:space="0" w:color="A6A6A6"/>
              <w:end w:val="single" w:sz="4" w:space="0" w:color="A6A6A6"/>
            </w:tcBorders>
            <w:shd w:color="auto" w:fill="D9E2F3" w:val="clear"/>
          </w:tcPr>
          <w:p>
            <w:pPr>
              <w:pStyle w:val="Normal"/>
              <w:spacing w:before="0" w:after="10"/>
              <w:rPr/>
            </w:pPr>
            <w:r>
              <w:rPr>
                <w:rFonts w:eastAsia="Arial" w:cs="Arial"/>
                <w:b/>
                <w:bCs/>
                <w:sz w:val="16"/>
                <w:szCs w:val="16"/>
              </w:rPr>
              <w:t>Main responsibilities</w:t>
            </w:r>
          </w:p>
        </w:tc>
        <w:tc>
          <w:tcPr>
            <w:tcW w:w="2938" w:type="dxa"/>
            <w:tcBorders>
              <w:top w:val="single" w:sz="4" w:space="0" w:color="A6A6A6"/>
              <w:start w:val="single" w:sz="4" w:space="0" w:color="A6A6A6"/>
              <w:bottom w:val="single" w:sz="4" w:space="0" w:color="A6A6A6"/>
              <w:end w:val="single" w:sz="4" w:space="0" w:color="A6A6A6"/>
            </w:tcBorders>
            <w:shd w:color="auto" w:fill="D9E2F3" w:val="clear"/>
          </w:tcPr>
          <w:p>
            <w:pPr>
              <w:pStyle w:val="Normal"/>
              <w:spacing w:before="0" w:after="10"/>
              <w:rPr/>
            </w:pPr>
            <w:r>
              <w:rPr>
                <w:rFonts w:eastAsia="Arial" w:cs="Arial"/>
                <w:b/>
                <w:bCs/>
                <w:sz w:val="16"/>
                <w:szCs w:val="16"/>
              </w:rPr>
              <w:t>Interactions / dependencies</w:t>
            </w:r>
          </w:p>
        </w:tc>
      </w:tr>
      <w:tr>
        <w:trPr/>
        <w:tc>
          <w:tcPr>
            <w:tcW w:w="149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bCs/>
                <w:sz w:val="16"/>
                <w:szCs w:val="16"/>
              </w:rPr>
              <w:t>Candidate Web Interface</w:t>
            </w:r>
          </w:p>
        </w:tc>
        <w:tc>
          <w:tcPr>
            <w:tcW w:w="1501"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Browser UI for candidates.</w:t>
            </w:r>
          </w:p>
        </w:tc>
        <w:tc>
          <w:tcPr>
            <w:tcW w:w="37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Registration/login, profile and exam details, application form, document upload, eligibility status, catalogue, choice filling/locking, allotment result and seat decision (SRS 3.1).</w:t>
            </w:r>
          </w:p>
        </w:tc>
        <w:tc>
          <w:tcPr>
            <w:tcW w:w="2938"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Calls REST APIs through the Security Layer over HTTPS.</w:t>
            </w:r>
          </w:p>
        </w:tc>
      </w:tr>
      <w:tr>
        <w:trPr/>
        <w:tc>
          <w:tcPr>
            <w:tcW w:w="149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bCs/>
                <w:sz w:val="16"/>
                <w:szCs w:val="16"/>
              </w:rPr>
              <w:t>Administrator Web Interface</w:t>
            </w:r>
          </w:p>
        </w:tc>
        <w:tc>
          <w:tcPr>
            <w:tcW w:w="1501"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Browser UI for the Administrator.</w:t>
            </w:r>
          </w:p>
        </w:tc>
        <w:tc>
          <w:tcPr>
            <w:tcW w:w="37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Candidate management, document verification, college/branch/seat-matrix and eligibility-rule management, allotment execution, result publication, dashboard, audit log view.</w:t>
            </w:r>
          </w:p>
        </w:tc>
        <w:tc>
          <w:tcPr>
            <w:tcW w:w="2938"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Calls REST APIs through the Security Layer over HTTPS.</w:t>
            </w:r>
          </w:p>
        </w:tc>
      </w:tr>
      <w:tr>
        <w:trPr/>
        <w:tc>
          <w:tcPr>
            <w:tcW w:w="149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bCs/>
                <w:sz w:val="16"/>
                <w:szCs w:val="16"/>
              </w:rPr>
              <w:t>Security Layer</w:t>
            </w:r>
          </w:p>
        </w:tc>
        <w:tc>
          <w:tcPr>
            <w:tcW w:w="1501"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Gatekeeper for every request.</w:t>
            </w:r>
          </w:p>
        </w:tc>
        <w:tc>
          <w:tcPr>
            <w:tcW w:w="37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Enforces HTTPS, requires authentication for all functions except register/login (SEC-F-001), enforces RBAC (SEC-F-002), manages sessions.</w:t>
            </w:r>
          </w:p>
        </w:tc>
        <w:tc>
          <w:tcPr>
            <w:tcW w:w="2938"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Sits between both interfaces and all modules; asks Account Module to verify credentials.</w:t>
            </w:r>
          </w:p>
        </w:tc>
      </w:tr>
      <w:tr>
        <w:trPr/>
        <w:tc>
          <w:tcPr>
            <w:tcW w:w="149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bCs/>
                <w:sz w:val="16"/>
                <w:szCs w:val="16"/>
              </w:rPr>
              <w:t>Account Module</w:t>
            </w:r>
          </w:p>
        </w:tc>
        <w:tc>
          <w:tcPr>
            <w:tcW w:w="1501"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Candidate identity and credentials.</w:t>
            </w:r>
          </w:p>
        </w:tc>
        <w:tc>
          <w:tcPr>
            <w:tcW w:w="37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Registration (ADM-F-001), login/logout (ADM-F-002), profile and exam details (ADM-F-003), salted password hashing (SEC-F-003), role lookup.</w:t>
            </w:r>
          </w:p>
        </w:tc>
        <w:tc>
          <w:tcPr>
            <w:tcW w:w="2938"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Uses Data Access Layer (incl. seeded exam records); used by Security Layer, Application, Eligibility, Allotment, Admin modules.</w:t>
            </w:r>
          </w:p>
        </w:tc>
      </w:tr>
      <w:tr>
        <w:trPr/>
        <w:tc>
          <w:tcPr>
            <w:tcW w:w="149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bCs/>
                <w:sz w:val="16"/>
                <w:szCs w:val="16"/>
              </w:rPr>
              <w:t>Application Module</w:t>
            </w:r>
          </w:p>
        </w:tc>
        <w:tc>
          <w:tcPr>
            <w:tcW w:w="1501"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Admission application lifecycle.</w:t>
            </w:r>
          </w:p>
        </w:tc>
        <w:tc>
          <w:tcPr>
            <w:tcW w:w="37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Save draft, edit, submit with unique reference number (ADM-F-004, ADM-F-005).</w:t>
            </w:r>
          </w:p>
        </w:tc>
        <w:tc>
          <w:tcPr>
            <w:tcW w:w="2938"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Depends on Account Module for candidate data.</w:t>
            </w:r>
          </w:p>
        </w:tc>
      </w:tr>
      <w:tr>
        <w:trPr/>
        <w:tc>
          <w:tcPr>
            <w:tcW w:w="149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bCs/>
                <w:sz w:val="16"/>
                <w:szCs w:val="16"/>
              </w:rPr>
              <w:t>Document Module</w:t>
            </w:r>
          </w:p>
        </w:tc>
        <w:tc>
          <w:tcPr>
            <w:tcW w:w="1501"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Supporting-document handling.</w:t>
            </w:r>
          </w:p>
        </w:tc>
        <w:tc>
          <w:tcPr>
            <w:tcW w:w="37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Upload with type/size validation (ADM-F-006), admin approve/reject with reason (ADM-F-007), status view and resubmission (ADM-F-008).</w:t>
            </w:r>
          </w:p>
        </w:tc>
        <w:tc>
          <w:tcPr>
            <w:tcW w:w="2938"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Stores files in Document File Store, metadata in database; writes Audit Module entries for admin reviews; its statuses feed Eligibility Module.</w:t>
            </w:r>
          </w:p>
        </w:tc>
      </w:tr>
      <w:tr>
        <w:trPr/>
        <w:tc>
          <w:tcPr>
            <w:tcW w:w="149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bCs/>
                <w:sz w:val="16"/>
                <w:szCs w:val="16"/>
              </w:rPr>
              <w:t>Eligibility Module</w:t>
            </w:r>
          </w:p>
        </w:tc>
        <w:tc>
          <w:tcPr>
            <w:tcW w:w="1501"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Eligibility evaluation.</w:t>
            </w:r>
          </w:p>
        </w:tc>
        <w:tc>
          <w:tcPr>
            <w:tcW w:w="37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Evaluate exam details and category against configured rules; return Eligible / Not Eligible / Pending Verification with reason (ADM-F-009); rules editable by admin (ADM-NFR-005).</w:t>
            </w:r>
          </w:p>
        </w:tc>
        <w:tc>
          <w:tcPr>
            <w:tcW w:w="2938"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Reads exam details (Account), document statuses (Document), rules (database); result is used by Choice and Allotment modules.</w:t>
            </w:r>
          </w:p>
        </w:tc>
      </w:tr>
      <w:tr>
        <w:trPr/>
        <w:tc>
          <w:tcPr>
            <w:tcW w:w="149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bCs/>
                <w:sz w:val="16"/>
                <w:szCs w:val="16"/>
              </w:rPr>
              <w:t>Catalogue Module</w:t>
            </w:r>
          </w:p>
        </w:tc>
        <w:tc>
          <w:tcPr>
            <w:tcW w:w="1501"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Colleges, branches and seat matrix.</w:t>
            </w:r>
          </w:p>
        </w:tc>
        <w:tc>
          <w:tcPr>
            <w:tcW w:w="37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Candidate catalogue view with filter (ADM-F-010); admin add/edit/configure colleges, branches, category-wise capacity; seat availability updated after allotment (ADM-F-011).</w:t>
            </w:r>
          </w:p>
        </w:tc>
        <w:tc>
          <w:tcPr>
            <w:tcW w:w="2938"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Read by Choice and Allotment modules; admin changes logged via Audit Module.</w:t>
            </w:r>
          </w:p>
        </w:tc>
      </w:tr>
      <w:tr>
        <w:trPr/>
        <w:tc>
          <w:tcPr>
            <w:tcW w:w="149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bCs/>
                <w:sz w:val="16"/>
                <w:szCs w:val="16"/>
              </w:rPr>
              <w:t>Choice Module</w:t>
            </w:r>
          </w:p>
        </w:tc>
        <w:tc>
          <w:tcPr>
            <w:tcW w:w="1501"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Preference list management.</w:t>
            </w:r>
          </w:p>
        </w:tc>
        <w:tc>
          <w:tcPr>
            <w:tcW w:w="37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Add/remove/preview choices without duplicates (ADM-F-012), reorder (ADM-F-013), lock list (ADM-F-014).</w:t>
            </w:r>
          </w:p>
        </w:tc>
        <w:tc>
          <w:tcPr>
            <w:tcW w:w="2938"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Requires Eligible status (Eligibility) and catalogue data (Catalogue); locked lists feed Allotment Module.</w:t>
            </w:r>
          </w:p>
        </w:tc>
      </w:tr>
      <w:tr>
        <w:trPr/>
        <w:tc>
          <w:tcPr>
            <w:tcW w:w="149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bCs/>
                <w:sz w:val="16"/>
                <w:szCs w:val="16"/>
              </w:rPr>
              <w:t>Allotment Module</w:t>
            </w:r>
          </w:p>
        </w:tc>
        <w:tc>
          <w:tcPr>
            <w:tcW w:w="1501"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Seat allotment engine.</w:t>
            </w:r>
          </w:p>
        </w:tc>
        <w:tc>
          <w:tcPr>
            <w:tcW w:w="37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Run allotment in ascending rank order, first satisfiable locked preference, immediate seat reduction (ADM-F-015); mark Not Allocated (ADM-F-016); keep seat counts consistent (ADM-NFR-003).</w:t>
            </w:r>
          </w:p>
        </w:tc>
        <w:tc>
          <w:tcPr>
            <w:tcW w:w="2938"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Reads rank/category (Account), eligibility, locked choices, seat matrix; writes allotment records; logs the run via Audit Module.</w:t>
            </w:r>
          </w:p>
        </w:tc>
      </w:tr>
      <w:tr>
        <w:trPr/>
        <w:tc>
          <w:tcPr>
            <w:tcW w:w="149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bCs/>
                <w:sz w:val="16"/>
                <w:szCs w:val="16"/>
              </w:rPr>
              <w:t>Result Module</w:t>
            </w:r>
          </w:p>
        </w:tc>
        <w:tc>
          <w:tcPr>
            <w:tcW w:w="1501"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Result publication and seat decision.</w:t>
            </w:r>
          </w:p>
        </w:tc>
        <w:tc>
          <w:tcPr>
            <w:tcW w:w="37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Publish results (ADM-F-017), candidate result view (ADM-F-018), accept or reject/withdraw exactly once (ADM-F-019).</w:t>
            </w:r>
          </w:p>
        </w:tc>
        <w:tc>
          <w:tcPr>
            <w:tcW w:w="2938"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Depends on Allotment Module records; publication logged via Audit Module.</w:t>
            </w:r>
          </w:p>
        </w:tc>
      </w:tr>
      <w:tr>
        <w:trPr/>
        <w:tc>
          <w:tcPr>
            <w:tcW w:w="149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bCs/>
                <w:sz w:val="16"/>
                <w:szCs w:val="16"/>
              </w:rPr>
              <w:t>Admin Module</w:t>
            </w:r>
          </w:p>
        </w:tc>
        <w:tc>
          <w:tcPr>
            <w:tcW w:w="1501"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Administrative oversight.</w:t>
            </w:r>
          </w:p>
        </w:tc>
        <w:tc>
          <w:tcPr>
            <w:tcW w:w="37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Consolidated dashboard of candidates, application statuses and verification queues (ADM-F-020); candidate record management; audit log viewing.</w:t>
            </w:r>
          </w:p>
        </w:tc>
        <w:tc>
          <w:tcPr>
            <w:tcW w:w="2938"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Reads Account, Application, Document data; reads Audit Module log; changes logged via Audit Module.</w:t>
            </w:r>
          </w:p>
        </w:tc>
      </w:tr>
      <w:tr>
        <w:trPr/>
        <w:tc>
          <w:tcPr>
            <w:tcW w:w="149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bCs/>
                <w:sz w:val="16"/>
                <w:szCs w:val="16"/>
              </w:rPr>
              <w:t>Audit Module</w:t>
            </w:r>
          </w:p>
        </w:tc>
        <w:tc>
          <w:tcPr>
            <w:tcW w:w="1501"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Traceability of privileged actions.</w:t>
            </w:r>
          </w:p>
        </w:tc>
        <w:tc>
          <w:tcPr>
            <w:tcW w:w="37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Write append-only entries with actor, timestamp and action type (SEC-F-005); read-only retrieval for the Administrator.</w:t>
            </w:r>
          </w:p>
        </w:tc>
        <w:tc>
          <w:tcPr>
            <w:tcW w:w="2938"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Called by Document, Catalogue, Allotment, Result and Admin modules; stores entries via Data Access Layer.</w:t>
            </w:r>
          </w:p>
        </w:tc>
      </w:tr>
      <w:tr>
        <w:trPr/>
        <w:tc>
          <w:tcPr>
            <w:tcW w:w="149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bCs/>
                <w:sz w:val="16"/>
                <w:szCs w:val="16"/>
              </w:rPr>
              <w:t>Data Access Layer</w:t>
            </w:r>
          </w:p>
        </w:tc>
        <w:tc>
          <w:tcPr>
            <w:tcW w:w="1501"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Single point of database access.</w:t>
            </w:r>
          </w:p>
        </w:tc>
        <w:tc>
          <w:tcPr>
            <w:tcW w:w="37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Repositories for each entity; transaction handling (used by the allotment run).</w:t>
            </w:r>
          </w:p>
        </w:tc>
        <w:tc>
          <w:tcPr>
            <w:tcW w:w="2938"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Used by all modules; talks to Relational Database.</w:t>
            </w:r>
          </w:p>
        </w:tc>
      </w:tr>
      <w:tr>
        <w:trPr/>
        <w:tc>
          <w:tcPr>
            <w:tcW w:w="149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bCs/>
                <w:sz w:val="16"/>
                <w:szCs w:val="16"/>
              </w:rPr>
              <w:t>Relational Database</w:t>
            </w:r>
          </w:p>
        </w:tc>
        <w:tc>
          <w:tcPr>
            <w:tcW w:w="1501"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Persistent data store.</w:t>
            </w:r>
          </w:p>
        </w:tc>
        <w:tc>
          <w:tcPr>
            <w:tcW w:w="37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Candidates, applications, documents (metadata), colleges, branches, seat matrix, choices, allotment records, eligibility rules, seeded exam data, audit log.</w:t>
            </w:r>
          </w:p>
        </w:tc>
        <w:tc>
          <w:tcPr>
            <w:tcW w:w="2938"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Accessed only through Data Access Layer.</w:t>
            </w:r>
          </w:p>
        </w:tc>
      </w:tr>
      <w:tr>
        <w:trPr/>
        <w:tc>
          <w:tcPr>
            <w:tcW w:w="149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bCs/>
                <w:sz w:val="16"/>
                <w:szCs w:val="16"/>
              </w:rPr>
              <w:t>Document File Store</w:t>
            </w:r>
          </w:p>
        </w:tc>
        <w:tc>
          <w:tcPr>
            <w:tcW w:w="1501"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Storage for uploaded files.</w:t>
            </w:r>
          </w:p>
        </w:tc>
        <w:tc>
          <w:tcPr>
            <w:tcW w:w="37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Holds uploaded PDF/JPEG/PNG files (A-04).</w:t>
            </w:r>
          </w:p>
        </w:tc>
        <w:tc>
          <w:tcPr>
            <w:tcW w:w="2938"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Written/read by Document Module only.</w:t>
            </w:r>
          </w:p>
        </w:tc>
      </w:tr>
    </w:tbl>
    <w:p>
      <w:pPr>
        <w:pStyle w:val="Normal"/>
        <w:spacing w:before="0" w:after="40"/>
        <w:rPr/>
      </w:pPr>
      <w:r>
        <w:rPr/>
      </w:r>
    </w:p>
    <w:p>
      <w:pPr>
        <w:pStyle w:val="Heading2"/>
        <w:rPr/>
      </w:pPr>
      <w:r>
        <w:rPr>
          <w:rFonts w:eastAsia="Arial" w:cs="Arial" w:ascii="Arial" w:hAnsi="Arial"/>
        </w:rPr>
        <w:t>3.5 Chosen Architecture Pattern and Rationale</w:t>
      </w:r>
    </w:p>
    <w:p>
      <w:pPr>
        <w:pStyle w:val="Normal"/>
        <w:spacing w:before="0" w:after="70"/>
        <w:rPr/>
      </w:pPr>
      <w:r>
        <w:rPr>
          <w:rFonts w:eastAsia="Arial" w:cs="Arial"/>
          <w:b/>
          <w:bCs/>
          <w:sz w:val="20"/>
          <w:szCs w:val="20"/>
        </w:rPr>
        <w:t>Pattern: layered modular monolith</w:t>
      </w:r>
      <w:r>
        <w:rPr>
          <w:rFonts w:eastAsia="Arial" w:cs="Arial"/>
          <w:sz w:val="20"/>
          <w:szCs w:val="20"/>
        </w:rPr>
        <w:t xml:space="preserve"> (presentation, application, data), with one module per SRS functional area. This matches the module names in the SRS traceability matrix (Account, Application, Document, Eligibility, Catalogue, Choice, Allotment, Result, Admin, Audit).</w:t>
      </w:r>
    </w:p>
    <w:p>
      <w:pPr>
        <w:pStyle w:val="Normal"/>
        <w:spacing w:before="0" w:after="70"/>
        <w:rPr/>
      </w:pPr>
      <w:r>
        <w:rPr>
          <w:rFonts w:eastAsia="Arial" w:cs="Arial"/>
          <w:b/>
          <w:bCs/>
          <w:sz w:val="20"/>
          <w:szCs w:val="20"/>
        </w:rPr>
        <w:t>Why it fits:</w:t>
      </w:r>
      <w:r>
        <w:rPr>
          <w:rFonts w:eastAsia="Arial" w:cs="Arial"/>
          <w:sz w:val="20"/>
          <w:szCs w:val="20"/>
        </w:rPr>
        <w:t xml:space="preserve"> (1) one deployable application is realistic for a four-member team and one semester; (2) the dataset is small and there are no external systems, so distribution gives no benefit; (3) the allotment run must update seat counts consistently, which is simplest with one database and one transaction (ADM-NFR-003); (4) separate modules keep catalogue, rules and seat data configurable and testable (ADM-NFR-005).</w:t>
      </w:r>
    </w:p>
    <w:p>
      <w:pPr>
        <w:pStyle w:val="Normal"/>
        <w:spacing w:before="0" w:after="70"/>
        <w:rPr/>
      </w:pPr>
      <w:r>
        <w:rPr>
          <w:rFonts w:eastAsia="Arial" w:cs="Arial"/>
          <w:b/>
          <w:bCs/>
          <w:sz w:val="20"/>
          <w:szCs w:val="20"/>
        </w:rPr>
        <w:t>Rejected alternatives:</w:t>
      </w:r>
      <w:r>
        <w:rPr>
          <w:rFonts w:eastAsia="Arial" w:cs="Arial"/>
          <w:sz w:val="20"/>
          <w:szCs w:val="20"/>
        </w:rPr>
        <w:t xml:space="preserve"> microservices and event-driven designs add network, deployment and consistency complexity with no SRS need; a separate document database is unnecessary because the data is relational.</w:t>
      </w:r>
    </w:p>
    <w:p>
      <w:pPr>
        <w:pStyle w:val="Normal"/>
        <w:spacing w:before="0" w:after="70"/>
        <w:rPr/>
      </w:pPr>
      <w:r>
        <w:rPr>
          <w:rFonts w:eastAsia="Arial" w:cs="Arial"/>
          <w:sz w:val="20"/>
          <w:szCs w:val="20"/>
        </w:rPr>
        <w:t>The assumptions behind this choice (A-01 architecture, A-02 and A-03 technology, A-07 transactional allotment) are listed in section 3.10.</w:t>
      </w:r>
    </w:p>
    <w:p>
      <w:pPr>
        <w:pStyle w:val="Heading2"/>
        <w:rPr/>
      </w:pPr>
      <w:r>
        <w:rPr>
          <w:rFonts w:eastAsia="Arial" w:cs="Arial" w:ascii="Arial" w:hAnsi="Arial"/>
        </w:rPr>
        <w:t>3.6 Technology Stack &amp; Data Stores</w:t>
      </w:r>
    </w:p>
    <w:p>
      <w:pPr>
        <w:pStyle w:val="Normal"/>
        <w:spacing w:before="0" w:after="70"/>
        <w:rPr/>
      </w:pPr>
      <w:r>
        <w:rPr>
          <w:rFonts w:eastAsia="Arial" w:cs="Arial"/>
          <w:sz w:val="20"/>
          <w:szCs w:val="20"/>
        </w:rPr>
        <w:t xml:space="preserve">The SRS does not mandate any programming language, framework or database (SRS 3.3, Assumptions). Every technology below is therefore a </w:t>
      </w:r>
      <w:r>
        <w:rPr>
          <w:rFonts w:eastAsia="Arial" w:cs="Arial"/>
          <w:b/>
          <w:bCs/>
          <w:sz w:val="20"/>
          <w:szCs w:val="20"/>
        </w:rPr>
        <w:t>design/implementation choice</w:t>
      </w:r>
      <w:r>
        <w:rPr>
          <w:rFonts w:eastAsia="Arial" w:cs="Arial"/>
          <w:sz w:val="20"/>
          <w:szCs w:val="20"/>
        </w:rPr>
        <w:t xml:space="preserve"> unless the Basis column says it is an SRS requirement.</w:t>
      </w:r>
    </w:p>
    <w:tbl>
      <w:tblPr>
        <w:tblW w:w="9638" w:type="dxa"/>
        <w:jc w:val="start"/>
        <w:tblInd w:w="0" w:type="dxa"/>
        <w:tblLayout w:type="fixed"/>
        <w:tblCellMar>
          <w:top w:w="25" w:type="dxa"/>
          <w:start w:w="70" w:type="dxa"/>
          <w:bottom w:w="25" w:type="dxa"/>
          <w:end w:w="70" w:type="dxa"/>
        </w:tblCellMar>
      </w:tblPr>
      <w:tblGrid>
        <w:gridCol w:w="2600"/>
        <w:gridCol w:w="2999"/>
        <w:gridCol w:w="4039"/>
      </w:tblGrid>
      <w:tr>
        <w:trPr>
          <w:tblHeader w:val="true"/>
        </w:trPr>
        <w:tc>
          <w:tcPr>
            <w:tcW w:w="2600" w:type="dxa"/>
            <w:tcBorders>
              <w:top w:val="single" w:sz="4" w:space="0" w:color="A6A6A6"/>
              <w:start w:val="single" w:sz="4" w:space="0" w:color="A6A6A6"/>
              <w:bottom w:val="single" w:sz="4" w:space="0" w:color="A6A6A6"/>
              <w:end w:val="single" w:sz="4" w:space="0" w:color="A6A6A6"/>
            </w:tcBorders>
            <w:shd w:color="auto" w:fill="D9E2F3" w:val="clear"/>
          </w:tcPr>
          <w:p>
            <w:pPr>
              <w:pStyle w:val="Normal"/>
              <w:spacing w:before="0" w:after="10"/>
              <w:rPr/>
            </w:pPr>
            <w:r>
              <w:rPr>
                <w:rFonts w:eastAsia="Arial" w:cs="Arial"/>
                <w:b/>
                <w:bCs/>
                <w:sz w:val="16"/>
                <w:szCs w:val="16"/>
              </w:rPr>
              <w:t>Technology</w:t>
            </w:r>
          </w:p>
        </w:tc>
        <w:tc>
          <w:tcPr>
            <w:tcW w:w="2999" w:type="dxa"/>
            <w:tcBorders>
              <w:top w:val="single" w:sz="4" w:space="0" w:color="A6A6A6"/>
              <w:start w:val="single" w:sz="4" w:space="0" w:color="A6A6A6"/>
              <w:bottom w:val="single" w:sz="4" w:space="0" w:color="A6A6A6"/>
              <w:end w:val="single" w:sz="4" w:space="0" w:color="A6A6A6"/>
            </w:tcBorders>
            <w:shd w:color="auto" w:fill="D9E2F3" w:val="clear"/>
          </w:tcPr>
          <w:p>
            <w:pPr>
              <w:pStyle w:val="Normal"/>
              <w:spacing w:before="0" w:after="10"/>
              <w:rPr/>
            </w:pPr>
            <w:r>
              <w:rPr>
                <w:rFonts w:eastAsia="Arial" w:cs="Arial"/>
                <w:b/>
                <w:bCs/>
                <w:sz w:val="16"/>
                <w:szCs w:val="16"/>
              </w:rPr>
              <w:t>Used for</w:t>
            </w:r>
          </w:p>
        </w:tc>
        <w:tc>
          <w:tcPr>
            <w:tcW w:w="4039" w:type="dxa"/>
            <w:tcBorders>
              <w:top w:val="single" w:sz="4" w:space="0" w:color="A6A6A6"/>
              <w:start w:val="single" w:sz="4" w:space="0" w:color="A6A6A6"/>
              <w:bottom w:val="single" w:sz="4" w:space="0" w:color="A6A6A6"/>
              <w:end w:val="single" w:sz="4" w:space="0" w:color="A6A6A6"/>
            </w:tcBorders>
            <w:shd w:color="auto" w:fill="D9E2F3" w:val="clear"/>
          </w:tcPr>
          <w:p>
            <w:pPr>
              <w:pStyle w:val="Normal"/>
              <w:spacing w:before="0" w:after="10"/>
              <w:rPr/>
            </w:pPr>
            <w:r>
              <w:rPr>
                <w:rFonts w:eastAsia="Arial" w:cs="Arial"/>
                <w:b/>
                <w:bCs/>
                <w:sz w:val="16"/>
                <w:szCs w:val="16"/>
              </w:rPr>
              <w:t>Basis</w:t>
            </w:r>
          </w:p>
        </w:tc>
      </w:tr>
      <w:tr>
        <w:trPr/>
        <w:tc>
          <w:tcPr>
            <w:tcW w:w="26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bCs/>
                <w:sz w:val="16"/>
                <w:szCs w:val="16"/>
              </w:rPr>
              <w:t>Modular monolith</w:t>
            </w:r>
          </w:p>
        </w:tc>
        <w:tc>
          <w:tcPr>
            <w:tcW w:w="299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Overall architecture: one deployable application with one module per SRS functional area.</w:t>
            </w:r>
          </w:p>
        </w:tc>
        <w:tc>
          <w:tcPr>
            <w:tcW w:w="403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Design choice (A-01).</w:t>
            </w:r>
          </w:p>
        </w:tc>
      </w:tr>
      <w:tr>
        <w:trPr/>
        <w:tc>
          <w:tcPr>
            <w:tcW w:w="26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bCs/>
                <w:sz w:val="16"/>
                <w:szCs w:val="16"/>
              </w:rPr>
              <w:t>Web application (browser client: HTML5, CSS/Bootstrap, JavaScript)</w:t>
            </w:r>
          </w:p>
        </w:tc>
        <w:tc>
          <w:tcPr>
            <w:tcW w:w="299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Candidate and Administrator interfaces.</w:t>
            </w:r>
          </w:p>
        </w:tc>
        <w:tc>
          <w:tcPr>
            <w:tcW w:w="403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A web-based, browser-accessed system is an SRS requirement (1.1, 2.4, 3.1); the client technologies are a design choice (A-02).</w:t>
            </w:r>
          </w:p>
        </w:tc>
      </w:tr>
      <w:tr>
        <w:trPr/>
        <w:tc>
          <w:tcPr>
            <w:tcW w:w="26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bCs/>
                <w:sz w:val="16"/>
                <w:szCs w:val="16"/>
              </w:rPr>
              <w:t>Spring Boot (Java 17, Spring Web, Spring Data JPA)</w:t>
            </w:r>
          </w:p>
        </w:tc>
        <w:tc>
          <w:tcPr>
            <w:tcW w:w="299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Application layer, REST controllers, data access.</w:t>
            </w:r>
          </w:p>
        </w:tc>
        <w:tc>
          <w:tcPr>
            <w:tcW w:w="403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Design choice (A-02); the SRS leaves the framework to the team (3.3).</w:t>
            </w:r>
          </w:p>
        </w:tc>
      </w:tr>
      <w:tr>
        <w:trPr/>
        <w:tc>
          <w:tcPr>
            <w:tcW w:w="26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bCs/>
                <w:sz w:val="16"/>
                <w:szCs w:val="16"/>
              </w:rPr>
              <w:t>Spring Security</w:t>
            </w:r>
          </w:p>
        </w:tc>
        <w:tc>
          <w:tcPr>
            <w:tcW w:w="299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Authentication, RBAC, sessions in the Security Layer.</w:t>
            </w:r>
          </w:p>
        </w:tc>
        <w:tc>
          <w:tcPr>
            <w:tcW w:w="403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Design choice (A-02) realising SEC-F-001 and SEC-F-002, which are SRS requirements.</w:t>
            </w:r>
          </w:p>
        </w:tc>
      </w:tr>
      <w:tr>
        <w:trPr/>
        <w:tc>
          <w:tcPr>
            <w:tcW w:w="26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bCs/>
                <w:sz w:val="16"/>
                <w:szCs w:val="16"/>
              </w:rPr>
              <w:t>MySQL</w:t>
            </w:r>
          </w:p>
        </w:tc>
        <w:tc>
          <w:tcPr>
            <w:tcW w:w="299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Relational Database.</w:t>
            </w:r>
          </w:p>
        </w:tc>
        <w:tc>
          <w:tcPr>
            <w:tcW w:w="403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Design choice (A-03); the SRS allows a relational or document database (3.3).</w:t>
            </w:r>
          </w:p>
        </w:tc>
      </w:tr>
      <w:tr>
        <w:trPr/>
        <w:tc>
          <w:tcPr>
            <w:tcW w:w="26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bCs/>
                <w:sz w:val="16"/>
                <w:szCs w:val="16"/>
              </w:rPr>
              <w:t>BCrypt</w:t>
            </w:r>
          </w:p>
        </w:tc>
        <w:tc>
          <w:tcPr>
            <w:tcW w:w="299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Salted password hashing in the Account Module.</w:t>
            </w:r>
          </w:p>
        </w:tc>
        <w:tc>
          <w:tcPr>
            <w:tcW w:w="403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Design choice (A-02); SEC-F-003 requires a salted cryptographic hash but names no algorithm.</w:t>
            </w:r>
          </w:p>
        </w:tc>
      </w:tr>
      <w:tr>
        <w:trPr/>
        <w:tc>
          <w:tcPr>
            <w:tcW w:w="26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bCs/>
                <w:sz w:val="16"/>
                <w:szCs w:val="16"/>
              </w:rPr>
              <w:t>REST + JSON</w:t>
            </w:r>
          </w:p>
        </w:tc>
        <w:tc>
          <w:tcPr>
            <w:tcW w:w="299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Interface between the web client and the modules.</w:t>
            </w:r>
          </w:p>
        </w:tc>
        <w:tc>
          <w:tcPr>
            <w:tcW w:w="403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Design choice (A-20).</w:t>
            </w:r>
          </w:p>
        </w:tc>
      </w:tr>
      <w:tr>
        <w:trPr/>
        <w:tc>
          <w:tcPr>
            <w:tcW w:w="26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bCs/>
                <w:sz w:val="16"/>
                <w:szCs w:val="16"/>
              </w:rPr>
              <w:t>HTTPS/TLS</w:t>
            </w:r>
          </w:p>
        </w:tc>
        <w:tc>
          <w:tcPr>
            <w:tcW w:w="299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All client-server communication.</w:t>
            </w:r>
          </w:p>
        </w:tc>
        <w:tc>
          <w:tcPr>
            <w:tcW w:w="403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SRS requirement (3.4, SEC-F-004); TLS version and certificate set-up are an assumption (A-16).</w:t>
            </w:r>
          </w:p>
        </w:tc>
      </w:tr>
      <w:tr>
        <w:trPr/>
        <w:tc>
          <w:tcPr>
            <w:tcW w:w="26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bCs/>
                <w:sz w:val="16"/>
                <w:szCs w:val="16"/>
              </w:rPr>
              <w:t>JUnit</w:t>
            </w:r>
          </w:p>
        </w:tc>
        <w:tc>
          <w:tcPr>
            <w:tcW w:w="299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Unit tests, including the allotment algorithm.</w:t>
            </w:r>
          </w:p>
        </w:tc>
        <w:tc>
          <w:tcPr>
            <w:tcW w:w="403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Design choice (A-02).</w:t>
            </w:r>
          </w:p>
        </w:tc>
      </w:tr>
      <w:tr>
        <w:trPr/>
        <w:tc>
          <w:tcPr>
            <w:tcW w:w="26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bCs/>
                <w:sz w:val="16"/>
                <w:szCs w:val="16"/>
              </w:rPr>
              <w:t>Postman</w:t>
            </w:r>
          </w:p>
        </w:tc>
        <w:tc>
          <w:tcPr>
            <w:tcW w:w="299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API testing.</w:t>
            </w:r>
          </w:p>
        </w:tc>
        <w:tc>
          <w:tcPr>
            <w:tcW w:w="403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Design choice (A-02).</w:t>
            </w:r>
          </w:p>
        </w:tc>
      </w:tr>
      <w:tr>
        <w:trPr/>
        <w:tc>
          <w:tcPr>
            <w:tcW w:w="26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bCs/>
                <w:sz w:val="16"/>
                <w:szCs w:val="16"/>
              </w:rPr>
              <w:t>JMeter</w:t>
            </w:r>
          </w:p>
        </w:tc>
        <w:tc>
          <w:tcPr>
            <w:tcW w:w="299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Response-time and allotment-run timing checks.</w:t>
            </w:r>
          </w:p>
        </w:tc>
        <w:tc>
          <w:tcPr>
            <w:tcW w:w="403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Design choice (A-02); the SRS asks only for informal timing or a lightweight load-testing tool (ADM-NFR-001, ADM-NFR-002).</w:t>
            </w:r>
          </w:p>
        </w:tc>
      </w:tr>
      <w:tr>
        <w:trPr/>
        <w:tc>
          <w:tcPr>
            <w:tcW w:w="26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bCs/>
                <w:sz w:val="16"/>
                <w:szCs w:val="16"/>
              </w:rPr>
              <w:t>Python / Matplotlib (where applicable)</w:t>
            </w:r>
          </w:p>
        </w:tc>
        <w:tc>
          <w:tcPr>
            <w:tcW w:w="299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Drawing the diagrams in this document.</w:t>
            </w:r>
          </w:p>
        </w:tc>
        <w:tc>
          <w:tcPr>
            <w:tcW w:w="403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Documentation tool choice (A-02).</w:t>
            </w:r>
          </w:p>
        </w:tc>
      </w:tr>
      <w:tr>
        <w:trPr/>
        <w:tc>
          <w:tcPr>
            <w:tcW w:w="26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bCs/>
                <w:sz w:val="16"/>
                <w:szCs w:val="16"/>
              </w:rPr>
              <w:t>draw.io / PlantUML (where applicable)</w:t>
            </w:r>
          </w:p>
        </w:tc>
        <w:tc>
          <w:tcPr>
            <w:tcW w:w="299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Editing or redrawing the diagrams.</w:t>
            </w:r>
          </w:p>
        </w:tc>
        <w:tc>
          <w:tcPr>
            <w:tcW w:w="403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Documentation tool choice (A-02).</w:t>
            </w:r>
          </w:p>
        </w:tc>
      </w:tr>
      <w:tr>
        <w:trPr/>
        <w:tc>
          <w:tcPr>
            <w:tcW w:w="26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bCs/>
                <w:sz w:val="16"/>
                <w:szCs w:val="16"/>
              </w:rPr>
              <w:t>Server directory</w:t>
            </w:r>
          </w:p>
        </w:tc>
        <w:tc>
          <w:tcPr>
            <w:tcW w:w="299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Document File Store.</w:t>
            </w:r>
          </w:p>
        </w:tc>
        <w:tc>
          <w:tcPr>
            <w:tcW w:w="403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Design choice (A-04).</w:t>
            </w:r>
          </w:p>
        </w:tc>
      </w:tr>
    </w:tbl>
    <w:p>
      <w:pPr>
        <w:pStyle w:val="Normal"/>
        <w:spacing w:before="0" w:after="40"/>
        <w:rPr/>
      </w:pPr>
      <w:r>
        <w:rPr/>
      </w:r>
    </w:p>
    <w:p>
      <w:pPr>
        <w:pStyle w:val="Normal"/>
        <w:spacing w:before="0" w:after="70"/>
        <w:rPr/>
      </w:pPr>
      <w:r>
        <w:rPr>
          <w:rFonts w:eastAsia="Arial" w:cs="Arial"/>
          <w:b/>
          <w:bCs/>
          <w:sz w:val="20"/>
          <w:szCs w:val="20"/>
        </w:rPr>
        <w:t>Data stores.</w:t>
      </w:r>
      <w:r>
        <w:rPr>
          <w:rFonts w:eastAsia="Arial" w:cs="Arial"/>
          <w:sz w:val="20"/>
          <w:szCs w:val="20"/>
        </w:rPr>
        <w:t xml:space="preserve"> One relational database (contents listed in section 3.4) plus the Document File Store for uploaded files (A-04).</w:t>
      </w:r>
    </w:p>
    <w:p>
      <w:pPr>
        <w:pStyle w:val="Heading2"/>
        <w:rPr/>
      </w:pPr>
      <w:r>
        <w:rPr>
          <w:rFonts w:eastAsia="Arial" w:cs="Arial" w:ascii="Arial" w:hAnsi="Arial"/>
        </w:rPr>
        <w:t>3.7 Risks &amp; Mitigations</w:t>
      </w:r>
    </w:p>
    <w:tbl>
      <w:tblPr>
        <w:tblW w:w="9638" w:type="dxa"/>
        <w:jc w:val="start"/>
        <w:tblInd w:w="0" w:type="dxa"/>
        <w:tblLayout w:type="fixed"/>
        <w:tblCellMar>
          <w:top w:w="25" w:type="dxa"/>
          <w:start w:w="70" w:type="dxa"/>
          <w:bottom w:w="25" w:type="dxa"/>
          <w:end w:w="70" w:type="dxa"/>
        </w:tblCellMar>
      </w:tblPr>
      <w:tblGrid>
        <w:gridCol w:w="2600"/>
        <w:gridCol w:w="4999"/>
        <w:gridCol w:w="2039"/>
      </w:tblGrid>
      <w:tr>
        <w:trPr>
          <w:tblHeader w:val="true"/>
        </w:trPr>
        <w:tc>
          <w:tcPr>
            <w:tcW w:w="2600" w:type="dxa"/>
            <w:tcBorders>
              <w:top w:val="single" w:sz="4" w:space="0" w:color="A6A6A6"/>
              <w:start w:val="single" w:sz="4" w:space="0" w:color="A6A6A6"/>
              <w:bottom w:val="single" w:sz="4" w:space="0" w:color="A6A6A6"/>
              <w:end w:val="single" w:sz="4" w:space="0" w:color="A6A6A6"/>
            </w:tcBorders>
            <w:shd w:color="auto" w:fill="D9E2F3" w:val="clear"/>
          </w:tcPr>
          <w:p>
            <w:pPr>
              <w:pStyle w:val="Normal"/>
              <w:spacing w:before="0" w:after="10"/>
              <w:rPr/>
            </w:pPr>
            <w:r>
              <w:rPr>
                <w:rFonts w:eastAsia="Arial" w:cs="Arial"/>
                <w:b/>
                <w:bCs/>
                <w:sz w:val="17"/>
                <w:szCs w:val="17"/>
              </w:rPr>
              <w:t>Risk</w:t>
            </w:r>
          </w:p>
        </w:tc>
        <w:tc>
          <w:tcPr>
            <w:tcW w:w="4999" w:type="dxa"/>
            <w:tcBorders>
              <w:top w:val="single" w:sz="4" w:space="0" w:color="A6A6A6"/>
              <w:start w:val="single" w:sz="4" w:space="0" w:color="A6A6A6"/>
              <w:bottom w:val="single" w:sz="4" w:space="0" w:color="A6A6A6"/>
              <w:end w:val="single" w:sz="4" w:space="0" w:color="A6A6A6"/>
            </w:tcBorders>
            <w:shd w:color="auto" w:fill="D9E2F3" w:val="clear"/>
          </w:tcPr>
          <w:p>
            <w:pPr>
              <w:pStyle w:val="Normal"/>
              <w:spacing w:before="0" w:after="10"/>
              <w:rPr/>
            </w:pPr>
            <w:r>
              <w:rPr>
                <w:rFonts w:eastAsia="Arial" w:cs="Arial"/>
                <w:b/>
                <w:bCs/>
                <w:sz w:val="17"/>
                <w:szCs w:val="17"/>
              </w:rPr>
              <w:t>Mitigation</w:t>
            </w:r>
          </w:p>
        </w:tc>
        <w:tc>
          <w:tcPr>
            <w:tcW w:w="2039" w:type="dxa"/>
            <w:tcBorders>
              <w:top w:val="single" w:sz="4" w:space="0" w:color="A6A6A6"/>
              <w:start w:val="single" w:sz="4" w:space="0" w:color="A6A6A6"/>
              <w:bottom w:val="single" w:sz="4" w:space="0" w:color="A6A6A6"/>
              <w:end w:val="single" w:sz="4" w:space="0" w:color="A6A6A6"/>
            </w:tcBorders>
            <w:shd w:color="auto" w:fill="D9E2F3" w:val="clear"/>
          </w:tcPr>
          <w:p>
            <w:pPr>
              <w:pStyle w:val="Normal"/>
              <w:spacing w:before="0" w:after="10"/>
              <w:rPr/>
            </w:pPr>
            <w:r>
              <w:rPr>
                <w:rFonts w:eastAsia="Arial" w:cs="Arial"/>
                <w:b/>
                <w:bCs/>
                <w:sz w:val="17"/>
                <w:szCs w:val="17"/>
              </w:rPr>
              <w:t>SRS ref.</w:t>
            </w:r>
          </w:p>
        </w:tc>
      </w:tr>
      <w:tr>
        <w:trPr/>
        <w:tc>
          <w:tcPr>
            <w:tcW w:w="26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sz w:val="17"/>
                <w:szCs w:val="17"/>
              </w:rPr>
              <w:t>Allotment gives wrong results</w:t>
            </w:r>
          </w:p>
        </w:tc>
        <w:tc>
          <w:tcPr>
            <w:tcW w:w="499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sz w:val="17"/>
                <w:szCs w:val="17"/>
              </w:rPr>
              <w:t>Unit tests on a seeded dataset compared with a hand-computed result; deterministic processing order.</w:t>
            </w:r>
          </w:p>
        </w:tc>
        <w:tc>
          <w:tcPr>
            <w:tcW w:w="203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sz w:val="17"/>
                <w:szCs w:val="17"/>
              </w:rPr>
              <w:t>ADM-F-015, TC-015</w:t>
            </w:r>
          </w:p>
        </w:tc>
      </w:tr>
      <w:tr>
        <w:trPr/>
        <w:tc>
          <w:tcPr>
            <w:tcW w:w="26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sz w:val="17"/>
                <w:szCs w:val="17"/>
              </w:rPr>
              <w:t>Seat counts inconsistent, or run fails midway</w:t>
            </w:r>
          </w:p>
        </w:tc>
        <w:tc>
          <w:tcPr>
            <w:tcW w:w="499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sz w:val="17"/>
                <w:szCs w:val="17"/>
              </w:rPr>
              <w:t>Single transaction (A-07) with rollback; database constraint allotted &lt;= capacity; post-run consistency check.</w:t>
            </w:r>
          </w:p>
        </w:tc>
        <w:tc>
          <w:tcPr>
            <w:tcW w:w="203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sz w:val="17"/>
                <w:szCs w:val="17"/>
              </w:rPr>
              <w:t>ADM-NFR-003</w:t>
            </w:r>
          </w:p>
        </w:tc>
      </w:tr>
      <w:tr>
        <w:trPr/>
        <w:tc>
          <w:tcPr>
            <w:tcW w:w="26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sz w:val="17"/>
                <w:szCs w:val="17"/>
              </w:rPr>
              <w:t>Candidate reaches admin functions</w:t>
            </w:r>
          </w:p>
        </w:tc>
        <w:tc>
          <w:tcPr>
            <w:tcW w:w="499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sz w:val="17"/>
                <w:szCs w:val="17"/>
              </w:rPr>
              <w:t>RBAC enforced on the server for every admin endpoint, not only in the UI.</w:t>
            </w:r>
          </w:p>
        </w:tc>
        <w:tc>
          <w:tcPr>
            <w:tcW w:w="203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sz w:val="17"/>
                <w:szCs w:val="17"/>
              </w:rPr>
              <w:t>SEC-F-002</w:t>
            </w:r>
          </w:p>
        </w:tc>
      </w:tr>
      <w:tr>
        <w:trPr/>
        <w:tc>
          <w:tcPr>
            <w:tcW w:w="26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sz w:val="17"/>
                <w:szCs w:val="17"/>
              </w:rPr>
              <w:t>Exposure of personal data</w:t>
            </w:r>
          </w:p>
        </w:tc>
        <w:tc>
          <w:tcPr>
            <w:tcW w:w="499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sz w:val="17"/>
                <w:szCs w:val="17"/>
              </w:rPr>
              <w:t>HTTPS only; salted password hashes; candidates can read only their own records (A-14); no personal data in logs.</w:t>
            </w:r>
          </w:p>
        </w:tc>
        <w:tc>
          <w:tcPr>
            <w:tcW w:w="203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sz w:val="17"/>
                <w:szCs w:val="17"/>
              </w:rPr>
              <w:t>SEC-F-003, SEC-F-004</w:t>
            </w:r>
          </w:p>
        </w:tc>
      </w:tr>
      <w:tr>
        <w:trPr/>
        <w:tc>
          <w:tcPr>
            <w:tcW w:w="26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sz w:val="17"/>
                <w:szCs w:val="17"/>
              </w:rPr>
              <w:t>Unsafe or invalid file uploads</w:t>
            </w:r>
          </w:p>
        </w:tc>
        <w:tc>
          <w:tcPr>
            <w:tcW w:w="499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sz w:val="17"/>
                <w:szCs w:val="17"/>
              </w:rPr>
              <w:t>Type (PDF/JPEG/PNG) and size validation; files stored outside web root with generated names (A-04).</w:t>
            </w:r>
          </w:p>
        </w:tc>
        <w:tc>
          <w:tcPr>
            <w:tcW w:w="203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sz w:val="17"/>
                <w:szCs w:val="17"/>
              </w:rPr>
              <w:t>ADM-F-006</w:t>
            </w:r>
          </w:p>
        </w:tc>
      </w:tr>
      <w:tr>
        <w:trPr/>
        <w:tc>
          <w:tcPr>
            <w:tcW w:w="26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sz w:val="17"/>
                <w:szCs w:val="17"/>
              </w:rPr>
              <w:t>Audit entries altered</w:t>
            </w:r>
          </w:p>
        </w:tc>
        <w:tc>
          <w:tcPr>
            <w:tcW w:w="499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sz w:val="17"/>
                <w:szCs w:val="17"/>
              </w:rPr>
              <w:t>No edit/delete path in the application; application database account limited to inserting audit rows (A-17).</w:t>
            </w:r>
          </w:p>
        </w:tc>
        <w:tc>
          <w:tcPr>
            <w:tcW w:w="203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sz w:val="17"/>
                <w:szCs w:val="17"/>
              </w:rPr>
              <w:t>SEC-F-005</w:t>
            </w:r>
          </w:p>
        </w:tc>
      </w:tr>
      <w:tr>
        <w:trPr/>
        <w:tc>
          <w:tcPr>
            <w:tcW w:w="26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sz w:val="17"/>
                <w:szCs w:val="17"/>
              </w:rPr>
              <w:t>Slow pages or slow allotment</w:t>
            </w:r>
          </w:p>
        </w:tc>
        <w:tc>
          <w:tcPr>
            <w:tcW w:w="499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sz w:val="17"/>
                <w:szCs w:val="17"/>
              </w:rPr>
              <w:t>Indexed lookups (rank, seat matrix); process candidates in memory within the transaction; time both during demos.</w:t>
            </w:r>
          </w:p>
        </w:tc>
        <w:tc>
          <w:tcPr>
            <w:tcW w:w="203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sz w:val="17"/>
                <w:szCs w:val="17"/>
              </w:rPr>
              <w:t>ADM-NFR-001, ADM-NFR-002</w:t>
            </w:r>
          </w:p>
        </w:tc>
      </w:tr>
    </w:tbl>
    <w:p>
      <w:pPr>
        <w:pStyle w:val="Normal"/>
        <w:spacing w:before="0" w:after="40"/>
        <w:rPr/>
      </w:pPr>
      <w:r>
        <w:rPr/>
      </w:r>
    </w:p>
    <w:p>
      <w:pPr>
        <w:pStyle w:val="Heading2"/>
        <w:rPr/>
      </w:pPr>
      <w:r>
        <w:rPr>
          <w:rFonts w:eastAsia="Arial" w:cs="Arial" w:ascii="Arial" w:hAnsi="Arial"/>
        </w:rPr>
        <w:t>3.8 Traceability to Requirements</w:t>
      </w:r>
    </w:p>
    <w:p>
      <w:pPr>
        <w:pStyle w:val="Normal"/>
        <w:spacing w:before="0" w:after="70"/>
        <w:rPr/>
      </w:pPr>
      <w:r>
        <w:rPr>
          <w:rFonts w:eastAsia="Arial" w:cs="Arial"/>
          <w:sz w:val="20"/>
          <w:szCs w:val="20"/>
        </w:rPr>
        <w:t>IDs below are exactly those in the SRS. Section references point to this SAD (SD = sequence diagram in 4.2; API = 4.3).</w:t>
      </w:r>
    </w:p>
    <w:tbl>
      <w:tblPr>
        <w:tblW w:w="9638" w:type="dxa"/>
        <w:jc w:val="start"/>
        <w:tblInd w:w="0" w:type="dxa"/>
        <w:tblLayout w:type="fixed"/>
        <w:tblCellMar>
          <w:top w:w="25" w:type="dxa"/>
          <w:start w:w="70" w:type="dxa"/>
          <w:bottom w:w="25" w:type="dxa"/>
          <w:end w:w="70" w:type="dxa"/>
        </w:tblCellMar>
      </w:tblPr>
      <w:tblGrid>
        <w:gridCol w:w="1300"/>
        <w:gridCol w:w="2500"/>
        <w:gridCol w:w="2699"/>
        <w:gridCol w:w="3139"/>
      </w:tblGrid>
      <w:tr>
        <w:trPr>
          <w:tblHeader w:val="true"/>
        </w:trPr>
        <w:tc>
          <w:tcPr>
            <w:tcW w:w="1300" w:type="dxa"/>
            <w:tcBorders>
              <w:top w:val="single" w:sz="4" w:space="0" w:color="A6A6A6"/>
              <w:start w:val="single" w:sz="4" w:space="0" w:color="A6A6A6"/>
              <w:bottom w:val="single" w:sz="4" w:space="0" w:color="A6A6A6"/>
              <w:end w:val="single" w:sz="4" w:space="0" w:color="A6A6A6"/>
            </w:tcBorders>
            <w:shd w:color="auto" w:fill="D9E2F3" w:val="clear"/>
          </w:tcPr>
          <w:p>
            <w:pPr>
              <w:pStyle w:val="Normal"/>
              <w:spacing w:before="0" w:after="10"/>
              <w:rPr/>
            </w:pPr>
            <w:r>
              <w:rPr>
                <w:rFonts w:eastAsia="Arial" w:cs="Arial"/>
                <w:b/>
                <w:bCs/>
                <w:sz w:val="16"/>
                <w:szCs w:val="16"/>
              </w:rPr>
              <w:t>Req. ID</w:t>
            </w:r>
          </w:p>
        </w:tc>
        <w:tc>
          <w:tcPr>
            <w:tcW w:w="2500" w:type="dxa"/>
            <w:tcBorders>
              <w:top w:val="single" w:sz="4" w:space="0" w:color="A6A6A6"/>
              <w:start w:val="single" w:sz="4" w:space="0" w:color="A6A6A6"/>
              <w:bottom w:val="single" w:sz="4" w:space="0" w:color="A6A6A6"/>
              <w:end w:val="single" w:sz="4" w:space="0" w:color="A6A6A6"/>
            </w:tcBorders>
            <w:shd w:color="auto" w:fill="D9E2F3" w:val="clear"/>
          </w:tcPr>
          <w:p>
            <w:pPr>
              <w:pStyle w:val="Normal"/>
              <w:spacing w:before="0" w:after="10"/>
              <w:rPr/>
            </w:pPr>
            <w:r>
              <w:rPr>
                <w:rFonts w:eastAsia="Arial" w:cs="Arial"/>
                <w:b/>
                <w:bCs/>
                <w:sz w:val="16"/>
                <w:szCs w:val="16"/>
              </w:rPr>
              <w:t>Summary</w:t>
            </w:r>
          </w:p>
        </w:tc>
        <w:tc>
          <w:tcPr>
            <w:tcW w:w="2699" w:type="dxa"/>
            <w:tcBorders>
              <w:top w:val="single" w:sz="4" w:space="0" w:color="A6A6A6"/>
              <w:start w:val="single" w:sz="4" w:space="0" w:color="A6A6A6"/>
              <w:bottom w:val="single" w:sz="4" w:space="0" w:color="A6A6A6"/>
              <w:end w:val="single" w:sz="4" w:space="0" w:color="A6A6A6"/>
            </w:tcBorders>
            <w:shd w:color="auto" w:fill="D9E2F3" w:val="clear"/>
          </w:tcPr>
          <w:p>
            <w:pPr>
              <w:pStyle w:val="Normal"/>
              <w:spacing w:before="0" w:after="10"/>
              <w:rPr/>
            </w:pPr>
            <w:r>
              <w:rPr>
                <w:rFonts w:eastAsia="Arial" w:cs="Arial"/>
                <w:b/>
                <w:bCs/>
                <w:sz w:val="16"/>
                <w:szCs w:val="16"/>
              </w:rPr>
              <w:t>SAD component(s)</w:t>
            </w:r>
          </w:p>
        </w:tc>
        <w:tc>
          <w:tcPr>
            <w:tcW w:w="3139" w:type="dxa"/>
            <w:tcBorders>
              <w:top w:val="single" w:sz="4" w:space="0" w:color="A6A6A6"/>
              <w:start w:val="single" w:sz="4" w:space="0" w:color="A6A6A6"/>
              <w:bottom w:val="single" w:sz="4" w:space="0" w:color="A6A6A6"/>
              <w:end w:val="single" w:sz="4" w:space="0" w:color="A6A6A6"/>
            </w:tcBorders>
            <w:shd w:color="auto" w:fill="D9E2F3" w:val="clear"/>
          </w:tcPr>
          <w:p>
            <w:pPr>
              <w:pStyle w:val="Normal"/>
              <w:spacing w:before="0" w:after="10"/>
              <w:rPr/>
            </w:pPr>
            <w:r>
              <w:rPr>
                <w:rFonts w:eastAsia="Arial" w:cs="Arial"/>
                <w:b/>
                <w:bCs/>
                <w:sz w:val="16"/>
                <w:szCs w:val="16"/>
              </w:rPr>
              <w:t>Design element</w:t>
            </w:r>
          </w:p>
        </w:tc>
      </w:tr>
      <w:tr>
        <w:trPr/>
        <w:tc>
          <w:tcPr>
            <w:tcW w:w="13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bCs/>
                <w:sz w:val="16"/>
                <w:szCs w:val="16"/>
              </w:rPr>
              <w:t>ADM-F-001</w:t>
            </w:r>
          </w:p>
        </w:tc>
        <w:tc>
          <w:tcPr>
            <w:tcW w:w="25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Candidate registration</w:t>
            </w:r>
          </w:p>
        </w:tc>
        <w:tc>
          <w:tcPr>
            <w:tcW w:w="269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Account Module</w:t>
            </w:r>
          </w:p>
        </w:tc>
        <w:tc>
          <w:tcPr>
            <w:tcW w:w="313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SD-1; API: POST /auth/register</w:t>
            </w:r>
          </w:p>
        </w:tc>
      </w:tr>
      <w:tr>
        <w:trPr/>
        <w:tc>
          <w:tcPr>
            <w:tcW w:w="13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bCs/>
                <w:sz w:val="16"/>
                <w:szCs w:val="16"/>
              </w:rPr>
              <w:t>ADM-F-002</w:t>
            </w:r>
          </w:p>
        </w:tc>
        <w:tc>
          <w:tcPr>
            <w:tcW w:w="25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Candidate login/logout</w:t>
            </w:r>
          </w:p>
        </w:tc>
        <w:tc>
          <w:tcPr>
            <w:tcW w:w="269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Account Module, Security Layer</w:t>
            </w:r>
          </w:p>
        </w:tc>
        <w:tc>
          <w:tcPr>
            <w:tcW w:w="313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SD-1; API: POST /auth/login, /auth/logout</w:t>
            </w:r>
          </w:p>
        </w:tc>
      </w:tr>
      <w:tr>
        <w:trPr/>
        <w:tc>
          <w:tcPr>
            <w:tcW w:w="13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bCs/>
                <w:sz w:val="16"/>
                <w:szCs w:val="16"/>
              </w:rPr>
              <w:t>ADM-F-003</w:t>
            </w:r>
          </w:p>
        </w:tc>
        <w:tc>
          <w:tcPr>
            <w:tcW w:w="25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Profile and exam-detail management</w:t>
            </w:r>
          </w:p>
        </w:tc>
        <w:tc>
          <w:tcPr>
            <w:tcW w:w="269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Account Module</w:t>
            </w:r>
          </w:p>
        </w:tc>
        <w:tc>
          <w:tcPr>
            <w:tcW w:w="313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API: PUT /candidates/me/profile, /exam-details; A-09</w:t>
            </w:r>
          </w:p>
        </w:tc>
      </w:tr>
      <w:tr>
        <w:trPr/>
        <w:tc>
          <w:tcPr>
            <w:tcW w:w="13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bCs/>
                <w:sz w:val="16"/>
                <w:szCs w:val="16"/>
              </w:rPr>
              <w:t>ADM-F-004</w:t>
            </w:r>
          </w:p>
        </w:tc>
        <w:tc>
          <w:tcPr>
            <w:tcW w:w="25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Save application as draft</w:t>
            </w:r>
          </w:p>
        </w:tc>
        <w:tc>
          <w:tcPr>
            <w:tcW w:w="269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Application Module</w:t>
            </w:r>
          </w:p>
        </w:tc>
        <w:tc>
          <w:tcPr>
            <w:tcW w:w="313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API: POST /applications, PUT /applications/{id}</w:t>
            </w:r>
          </w:p>
        </w:tc>
      </w:tr>
      <w:tr>
        <w:trPr/>
        <w:tc>
          <w:tcPr>
            <w:tcW w:w="13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bCs/>
                <w:sz w:val="16"/>
                <w:szCs w:val="16"/>
              </w:rPr>
              <w:t>ADM-F-005</w:t>
            </w:r>
          </w:p>
        </w:tc>
        <w:tc>
          <w:tcPr>
            <w:tcW w:w="25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Edit, submit; reference number</w:t>
            </w:r>
          </w:p>
        </w:tc>
        <w:tc>
          <w:tcPr>
            <w:tcW w:w="269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Application Module</w:t>
            </w:r>
          </w:p>
        </w:tc>
        <w:tc>
          <w:tcPr>
            <w:tcW w:w="313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API: POST /applications/{id}/submit</w:t>
            </w:r>
          </w:p>
        </w:tc>
      </w:tr>
      <w:tr>
        <w:trPr/>
        <w:tc>
          <w:tcPr>
            <w:tcW w:w="13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bCs/>
                <w:sz w:val="16"/>
                <w:szCs w:val="16"/>
              </w:rPr>
              <w:t>ADM-F-006</w:t>
            </w:r>
          </w:p>
        </w:tc>
        <w:tc>
          <w:tcPr>
            <w:tcW w:w="25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Document upload and validation</w:t>
            </w:r>
          </w:p>
        </w:tc>
        <w:tc>
          <w:tcPr>
            <w:tcW w:w="269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Document Module, Document File Store</w:t>
            </w:r>
          </w:p>
        </w:tc>
        <w:tc>
          <w:tcPr>
            <w:tcW w:w="313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SD-2; API: POST /documents</w:t>
            </w:r>
          </w:p>
        </w:tc>
      </w:tr>
      <w:tr>
        <w:trPr/>
        <w:tc>
          <w:tcPr>
            <w:tcW w:w="13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bCs/>
                <w:sz w:val="16"/>
                <w:szCs w:val="16"/>
              </w:rPr>
              <w:t>ADM-F-007</w:t>
            </w:r>
          </w:p>
        </w:tc>
        <w:tc>
          <w:tcPr>
            <w:tcW w:w="25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Document approve/reject</w:t>
            </w:r>
          </w:p>
        </w:tc>
        <w:tc>
          <w:tcPr>
            <w:tcW w:w="269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Document Module, Administrator Web Interface</w:t>
            </w:r>
          </w:p>
        </w:tc>
        <w:tc>
          <w:tcPr>
            <w:tcW w:w="313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SD-2; API: PUT /admin/documents/{id}/review</w:t>
            </w:r>
          </w:p>
        </w:tc>
      </w:tr>
      <w:tr>
        <w:trPr/>
        <w:tc>
          <w:tcPr>
            <w:tcW w:w="13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bCs/>
                <w:sz w:val="16"/>
                <w:szCs w:val="16"/>
              </w:rPr>
              <w:t>ADM-F-008</w:t>
            </w:r>
          </w:p>
        </w:tc>
        <w:tc>
          <w:tcPr>
            <w:tcW w:w="25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Document status and resubmission</w:t>
            </w:r>
          </w:p>
        </w:tc>
        <w:tc>
          <w:tcPr>
            <w:tcW w:w="269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Document Module</w:t>
            </w:r>
          </w:p>
        </w:tc>
        <w:tc>
          <w:tcPr>
            <w:tcW w:w="313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SD-2; API: GET /documents, PUT /documents/{id}</w:t>
            </w:r>
          </w:p>
        </w:tc>
      </w:tr>
      <w:tr>
        <w:trPr/>
        <w:tc>
          <w:tcPr>
            <w:tcW w:w="13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bCs/>
                <w:sz w:val="16"/>
                <w:szCs w:val="16"/>
              </w:rPr>
              <w:t>ADM-F-009</w:t>
            </w:r>
          </w:p>
        </w:tc>
        <w:tc>
          <w:tcPr>
            <w:tcW w:w="25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Eligibility and reason display</w:t>
            </w:r>
          </w:p>
        </w:tc>
        <w:tc>
          <w:tcPr>
            <w:tcW w:w="269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Eligibility Module</w:t>
            </w:r>
          </w:p>
        </w:tc>
        <w:tc>
          <w:tcPr>
            <w:tcW w:w="313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SD-2; API: GET /candidates/me/eligibility; A-08</w:t>
            </w:r>
          </w:p>
        </w:tc>
      </w:tr>
      <w:tr>
        <w:trPr/>
        <w:tc>
          <w:tcPr>
            <w:tcW w:w="13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bCs/>
                <w:sz w:val="16"/>
                <w:szCs w:val="16"/>
              </w:rPr>
              <w:t>ADM-F-010</w:t>
            </w:r>
          </w:p>
        </w:tc>
        <w:tc>
          <w:tcPr>
            <w:tcW w:w="25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College/branch catalogue view</w:t>
            </w:r>
          </w:p>
        </w:tc>
        <w:tc>
          <w:tcPr>
            <w:tcW w:w="269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Catalogue Module</w:t>
            </w:r>
          </w:p>
        </w:tc>
        <w:tc>
          <w:tcPr>
            <w:tcW w:w="313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API: GET /colleges</w:t>
            </w:r>
          </w:p>
        </w:tc>
      </w:tr>
      <w:tr>
        <w:trPr/>
        <w:tc>
          <w:tcPr>
            <w:tcW w:w="13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bCs/>
                <w:sz w:val="16"/>
                <w:szCs w:val="16"/>
              </w:rPr>
              <w:t>ADM-F-011</w:t>
            </w:r>
          </w:p>
        </w:tc>
        <w:tc>
          <w:tcPr>
            <w:tcW w:w="25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Admin college/branch/seat management</w:t>
            </w:r>
          </w:p>
        </w:tc>
        <w:tc>
          <w:tcPr>
            <w:tcW w:w="269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Catalogue Module</w:t>
            </w:r>
          </w:p>
        </w:tc>
        <w:tc>
          <w:tcPr>
            <w:tcW w:w="313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API: /admin/colleges, /admin/seat-matrix</w:t>
            </w:r>
          </w:p>
        </w:tc>
      </w:tr>
      <w:tr>
        <w:trPr/>
        <w:tc>
          <w:tcPr>
            <w:tcW w:w="13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bCs/>
                <w:sz w:val="16"/>
                <w:szCs w:val="16"/>
              </w:rPr>
              <w:t>ADM-F-012</w:t>
            </w:r>
          </w:p>
        </w:tc>
        <w:tc>
          <w:tcPr>
            <w:tcW w:w="25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Choice add/remove/preview</w:t>
            </w:r>
          </w:p>
        </w:tc>
        <w:tc>
          <w:tcPr>
            <w:tcW w:w="269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Choice Module</w:t>
            </w:r>
          </w:p>
        </w:tc>
        <w:tc>
          <w:tcPr>
            <w:tcW w:w="313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API: GET/POST /choices, DELETE /choices/{id}</w:t>
            </w:r>
          </w:p>
        </w:tc>
      </w:tr>
      <w:tr>
        <w:trPr/>
        <w:tc>
          <w:tcPr>
            <w:tcW w:w="13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bCs/>
                <w:sz w:val="16"/>
                <w:szCs w:val="16"/>
              </w:rPr>
              <w:t>ADM-F-013</w:t>
            </w:r>
          </w:p>
        </w:tc>
        <w:tc>
          <w:tcPr>
            <w:tcW w:w="25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Choice reordering</w:t>
            </w:r>
          </w:p>
        </w:tc>
        <w:tc>
          <w:tcPr>
            <w:tcW w:w="269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Choice Module</w:t>
            </w:r>
          </w:p>
        </w:tc>
        <w:tc>
          <w:tcPr>
            <w:tcW w:w="313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API: PUT /choices/order</w:t>
            </w:r>
          </w:p>
        </w:tc>
      </w:tr>
      <w:tr>
        <w:trPr/>
        <w:tc>
          <w:tcPr>
            <w:tcW w:w="13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bCs/>
                <w:sz w:val="16"/>
                <w:szCs w:val="16"/>
              </w:rPr>
              <w:t>ADM-F-014</w:t>
            </w:r>
          </w:p>
        </w:tc>
        <w:tc>
          <w:tcPr>
            <w:tcW w:w="25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Choice locking</w:t>
            </w:r>
          </w:p>
        </w:tc>
        <w:tc>
          <w:tcPr>
            <w:tcW w:w="269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Choice Module</w:t>
            </w:r>
          </w:p>
        </w:tc>
        <w:tc>
          <w:tcPr>
            <w:tcW w:w="313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API: POST /choices/lock</w:t>
            </w:r>
          </w:p>
        </w:tc>
      </w:tr>
      <w:tr>
        <w:trPr/>
        <w:tc>
          <w:tcPr>
            <w:tcW w:w="13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bCs/>
                <w:sz w:val="16"/>
                <w:szCs w:val="16"/>
              </w:rPr>
              <w:t>ADM-F-015</w:t>
            </w:r>
          </w:p>
        </w:tc>
        <w:tc>
          <w:tcPr>
            <w:tcW w:w="25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Allotment engine</w:t>
            </w:r>
          </w:p>
        </w:tc>
        <w:tc>
          <w:tcPr>
            <w:tcW w:w="269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Allotment Module</w:t>
            </w:r>
          </w:p>
        </w:tc>
        <w:tc>
          <w:tcPr>
            <w:tcW w:w="313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SD-3; 4.1 algorithm; API: POST /admin/allotment/run</w:t>
            </w:r>
          </w:p>
        </w:tc>
      </w:tr>
      <w:tr>
        <w:trPr/>
        <w:tc>
          <w:tcPr>
            <w:tcW w:w="13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bCs/>
                <w:sz w:val="16"/>
                <w:szCs w:val="16"/>
              </w:rPr>
              <w:t>ADM-F-016</w:t>
            </w:r>
          </w:p>
        </w:tc>
        <w:tc>
          <w:tcPr>
            <w:tcW w:w="25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Not Allocated determination</w:t>
            </w:r>
          </w:p>
        </w:tc>
        <w:tc>
          <w:tcPr>
            <w:tcW w:w="269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Allotment Module</w:t>
            </w:r>
          </w:p>
        </w:tc>
        <w:tc>
          <w:tcPr>
            <w:tcW w:w="313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SD-3 (alt branch); 4.1 algorithm</w:t>
            </w:r>
          </w:p>
        </w:tc>
      </w:tr>
      <w:tr>
        <w:trPr/>
        <w:tc>
          <w:tcPr>
            <w:tcW w:w="13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bCs/>
                <w:sz w:val="16"/>
                <w:szCs w:val="16"/>
              </w:rPr>
              <w:t>ADM-F-017</w:t>
            </w:r>
          </w:p>
        </w:tc>
        <w:tc>
          <w:tcPr>
            <w:tcW w:w="25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Result publication</w:t>
            </w:r>
          </w:p>
        </w:tc>
        <w:tc>
          <w:tcPr>
            <w:tcW w:w="269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Result Module</w:t>
            </w:r>
          </w:p>
        </w:tc>
        <w:tc>
          <w:tcPr>
            <w:tcW w:w="313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SD-3; API: POST /admin/allotment/runs/{runId}/publish</w:t>
            </w:r>
          </w:p>
        </w:tc>
      </w:tr>
      <w:tr>
        <w:trPr/>
        <w:tc>
          <w:tcPr>
            <w:tcW w:w="13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bCs/>
                <w:sz w:val="16"/>
                <w:szCs w:val="16"/>
              </w:rPr>
              <w:t>ADM-F-018</w:t>
            </w:r>
          </w:p>
        </w:tc>
        <w:tc>
          <w:tcPr>
            <w:tcW w:w="25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Result viewing</w:t>
            </w:r>
          </w:p>
        </w:tc>
        <w:tc>
          <w:tcPr>
            <w:tcW w:w="269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Result Module</w:t>
            </w:r>
          </w:p>
        </w:tc>
        <w:tc>
          <w:tcPr>
            <w:tcW w:w="313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SD-3; API: GET /allotment/result</w:t>
            </w:r>
          </w:p>
        </w:tc>
      </w:tr>
      <w:tr>
        <w:trPr/>
        <w:tc>
          <w:tcPr>
            <w:tcW w:w="13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bCs/>
                <w:sz w:val="16"/>
                <w:szCs w:val="16"/>
              </w:rPr>
              <w:t>ADM-F-019</w:t>
            </w:r>
          </w:p>
        </w:tc>
        <w:tc>
          <w:tcPr>
            <w:tcW w:w="25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Seat accept/reject (once)</w:t>
            </w:r>
          </w:p>
        </w:tc>
        <w:tc>
          <w:tcPr>
            <w:tcW w:w="269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Result Module</w:t>
            </w:r>
          </w:p>
        </w:tc>
        <w:tc>
          <w:tcPr>
            <w:tcW w:w="313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SD-3; API: POST /allotment/decision</w:t>
            </w:r>
          </w:p>
        </w:tc>
      </w:tr>
      <w:tr>
        <w:trPr/>
        <w:tc>
          <w:tcPr>
            <w:tcW w:w="13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bCs/>
                <w:sz w:val="16"/>
                <w:szCs w:val="16"/>
              </w:rPr>
              <w:t>ADM-F-020</w:t>
            </w:r>
          </w:p>
        </w:tc>
        <w:tc>
          <w:tcPr>
            <w:tcW w:w="25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Admin dashboard</w:t>
            </w:r>
          </w:p>
        </w:tc>
        <w:tc>
          <w:tcPr>
            <w:tcW w:w="269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Admin Module</w:t>
            </w:r>
          </w:p>
        </w:tc>
        <w:tc>
          <w:tcPr>
            <w:tcW w:w="313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API: GET /admin/dashboard, /admin/candidates</w:t>
            </w:r>
          </w:p>
        </w:tc>
      </w:tr>
      <w:tr>
        <w:trPr/>
        <w:tc>
          <w:tcPr>
            <w:tcW w:w="13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bCs/>
                <w:sz w:val="16"/>
                <w:szCs w:val="16"/>
              </w:rPr>
              <w:t>ADM-NFR-001</w:t>
            </w:r>
          </w:p>
        </w:tc>
        <w:tc>
          <w:tcPr>
            <w:tcW w:w="25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Response time &lt;= 2 s</w:t>
            </w:r>
          </w:p>
        </w:tc>
        <w:tc>
          <w:tcPr>
            <w:tcW w:w="269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All modules; Data Access Layer</w:t>
            </w:r>
          </w:p>
        </w:tc>
        <w:tc>
          <w:tcPr>
            <w:tcW w:w="313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Indexed queries; response-time logging (4.4)</w:t>
            </w:r>
          </w:p>
        </w:tc>
      </w:tr>
      <w:tr>
        <w:trPr/>
        <w:tc>
          <w:tcPr>
            <w:tcW w:w="13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bCs/>
                <w:sz w:val="16"/>
                <w:szCs w:val="16"/>
              </w:rPr>
              <w:t>ADM-NFR-002</w:t>
            </w:r>
          </w:p>
        </w:tc>
        <w:tc>
          <w:tcPr>
            <w:tcW w:w="25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Allotment run scalability</w:t>
            </w:r>
          </w:p>
        </w:tc>
        <w:tc>
          <w:tcPr>
            <w:tcW w:w="269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Allotment Module</w:t>
            </w:r>
          </w:p>
        </w:tc>
        <w:tc>
          <w:tcPr>
            <w:tcW w:w="313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In-memory processing in one transaction; run duration logged</w:t>
            </w:r>
          </w:p>
        </w:tc>
      </w:tr>
      <w:tr>
        <w:trPr/>
        <w:tc>
          <w:tcPr>
            <w:tcW w:w="13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bCs/>
                <w:sz w:val="16"/>
                <w:szCs w:val="16"/>
              </w:rPr>
              <w:t>ADM-NFR-003</w:t>
            </w:r>
          </w:p>
        </w:tc>
        <w:tc>
          <w:tcPr>
            <w:tcW w:w="25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Seat-count consistency</w:t>
            </w:r>
          </w:p>
        </w:tc>
        <w:tc>
          <w:tcPr>
            <w:tcW w:w="269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Allotment Module, Relational Database</w:t>
            </w:r>
          </w:p>
        </w:tc>
        <w:tc>
          <w:tcPr>
            <w:tcW w:w="313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A-07; capacity constraint; consistency check (4.4)</w:t>
            </w:r>
          </w:p>
        </w:tc>
      </w:tr>
      <w:tr>
        <w:trPr/>
        <w:tc>
          <w:tcPr>
            <w:tcW w:w="13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bCs/>
                <w:sz w:val="16"/>
                <w:szCs w:val="16"/>
              </w:rPr>
              <w:t>ADM-NFR-004</w:t>
            </w:r>
          </w:p>
        </w:tc>
        <w:tc>
          <w:tcPr>
            <w:tcW w:w="25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Candidate usability</w:t>
            </w:r>
          </w:p>
        </w:tc>
        <w:tc>
          <w:tcPr>
            <w:tcW w:w="269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Web Interfaces</w:t>
            </w:r>
          </w:p>
        </w:tc>
        <w:tc>
          <w:tcPr>
            <w:tcW w:w="313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Section 4.5</w:t>
            </w:r>
          </w:p>
        </w:tc>
      </w:tr>
      <w:tr>
        <w:trPr/>
        <w:tc>
          <w:tcPr>
            <w:tcW w:w="13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bCs/>
                <w:sz w:val="16"/>
                <w:szCs w:val="16"/>
              </w:rPr>
              <w:t>ADM-NFR-005</w:t>
            </w:r>
          </w:p>
        </w:tc>
        <w:tc>
          <w:tcPr>
            <w:tcW w:w="25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Configurable data-driven design</w:t>
            </w:r>
          </w:p>
        </w:tc>
        <w:tc>
          <w:tcPr>
            <w:tcW w:w="269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Catalogue Module, Eligibility Module</w:t>
            </w:r>
          </w:p>
        </w:tc>
        <w:tc>
          <w:tcPr>
            <w:tcW w:w="313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A-06; admin screens for catalogue, seats, rules</w:t>
            </w:r>
          </w:p>
        </w:tc>
      </w:tr>
      <w:tr>
        <w:trPr/>
        <w:tc>
          <w:tcPr>
            <w:tcW w:w="13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bCs/>
                <w:sz w:val="16"/>
                <w:szCs w:val="16"/>
              </w:rPr>
              <w:t>SEC-F-001</w:t>
            </w:r>
          </w:p>
        </w:tc>
        <w:tc>
          <w:tcPr>
            <w:tcW w:w="25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Mandatory authentication</w:t>
            </w:r>
          </w:p>
        </w:tc>
        <w:tc>
          <w:tcPr>
            <w:tcW w:w="269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Security Layer, Account Module</w:t>
            </w:r>
          </w:p>
        </w:tc>
        <w:tc>
          <w:tcPr>
            <w:tcW w:w="313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Section 3.9</w:t>
            </w:r>
          </w:p>
        </w:tc>
      </w:tr>
      <w:tr>
        <w:trPr/>
        <w:tc>
          <w:tcPr>
            <w:tcW w:w="13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bCs/>
                <w:sz w:val="16"/>
                <w:szCs w:val="16"/>
              </w:rPr>
              <w:t>SEC-F-002</w:t>
            </w:r>
          </w:p>
        </w:tc>
        <w:tc>
          <w:tcPr>
            <w:tcW w:w="25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Role-based access control</w:t>
            </w:r>
          </w:p>
        </w:tc>
        <w:tc>
          <w:tcPr>
            <w:tcW w:w="269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Security Layer</w:t>
            </w:r>
          </w:p>
        </w:tc>
        <w:tc>
          <w:tcPr>
            <w:tcW w:w="313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Section 3.9 (access matrix)</w:t>
            </w:r>
          </w:p>
        </w:tc>
      </w:tr>
      <w:tr>
        <w:trPr/>
        <w:tc>
          <w:tcPr>
            <w:tcW w:w="13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bCs/>
                <w:sz w:val="16"/>
                <w:szCs w:val="16"/>
              </w:rPr>
              <w:t>SEC-F-003</w:t>
            </w:r>
          </w:p>
        </w:tc>
        <w:tc>
          <w:tcPr>
            <w:tcW w:w="25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Salted password hashing</w:t>
            </w:r>
          </w:p>
        </w:tc>
        <w:tc>
          <w:tcPr>
            <w:tcW w:w="269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Account Module</w:t>
            </w:r>
          </w:p>
        </w:tc>
        <w:tc>
          <w:tcPr>
            <w:tcW w:w="313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BCrypt; Section 3.9</w:t>
            </w:r>
          </w:p>
        </w:tc>
      </w:tr>
      <w:tr>
        <w:trPr/>
        <w:tc>
          <w:tcPr>
            <w:tcW w:w="13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bCs/>
                <w:sz w:val="16"/>
                <w:szCs w:val="16"/>
              </w:rPr>
              <w:t>SEC-F-004</w:t>
            </w:r>
          </w:p>
        </w:tc>
        <w:tc>
          <w:tcPr>
            <w:tcW w:w="25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Encrypted data in transit</w:t>
            </w:r>
          </w:p>
        </w:tc>
        <w:tc>
          <w:tcPr>
            <w:tcW w:w="269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Security Layer / server configuration</w:t>
            </w:r>
          </w:p>
        </w:tc>
        <w:tc>
          <w:tcPr>
            <w:tcW w:w="313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HTTPS only; Section 3.9</w:t>
            </w:r>
          </w:p>
        </w:tc>
      </w:tr>
      <w:tr>
        <w:trPr/>
        <w:tc>
          <w:tcPr>
            <w:tcW w:w="13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bCs/>
                <w:sz w:val="16"/>
                <w:szCs w:val="16"/>
              </w:rPr>
              <w:t>SEC-F-005</w:t>
            </w:r>
          </w:p>
        </w:tc>
        <w:tc>
          <w:tcPr>
            <w:tcW w:w="25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Audit logging of privileged actions</w:t>
            </w:r>
          </w:p>
        </w:tc>
        <w:tc>
          <w:tcPr>
            <w:tcW w:w="269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Audit Module</w:t>
            </w:r>
          </w:p>
        </w:tc>
        <w:tc>
          <w:tcPr>
            <w:tcW w:w="313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6"/>
                <w:szCs w:val="16"/>
              </w:rPr>
              <w:t>Section 3.9; 4.4</w:t>
            </w:r>
          </w:p>
        </w:tc>
      </w:tr>
    </w:tbl>
    <w:p>
      <w:pPr>
        <w:pStyle w:val="Normal"/>
        <w:spacing w:before="0" w:after="40"/>
        <w:rPr/>
      </w:pPr>
      <w:r>
        <w:rPr/>
      </w:r>
    </w:p>
    <w:p>
      <w:pPr>
        <w:pStyle w:val="Heading2"/>
        <w:rPr/>
      </w:pPr>
      <w:r>
        <w:rPr>
          <w:rFonts w:eastAsia="Arial" w:cs="Arial" w:ascii="Arial" w:hAnsi="Arial"/>
        </w:rPr>
        <w:t>3.9 Security Architecture</w:t>
      </w:r>
    </w:p>
    <w:p>
      <w:pPr>
        <w:pStyle w:val="Normal"/>
        <w:spacing w:before="0" w:after="70"/>
        <w:rPr/>
      </w:pPr>
      <w:r>
        <w:rPr>
          <w:rFonts w:eastAsia="Arial" w:cs="Arial"/>
          <w:sz w:val="20"/>
          <w:szCs w:val="20"/>
        </w:rPr>
        <w:t>The design covers only the security requirements stated in the SRS (objectives: protect candidate data, restrict privileged operations to authorised administrators, preserve integrity and traceability of admission actions).</w:t>
      </w:r>
    </w:p>
    <w:tbl>
      <w:tblPr>
        <w:tblW w:w="9638" w:type="dxa"/>
        <w:jc w:val="start"/>
        <w:tblInd w:w="0" w:type="dxa"/>
        <w:tblLayout w:type="fixed"/>
        <w:tblCellMar>
          <w:top w:w="25" w:type="dxa"/>
          <w:start w:w="70" w:type="dxa"/>
          <w:bottom w:w="25" w:type="dxa"/>
          <w:end w:w="70" w:type="dxa"/>
        </w:tblCellMar>
      </w:tblPr>
      <w:tblGrid>
        <w:gridCol w:w="1499"/>
        <w:gridCol w:w="8139"/>
      </w:tblGrid>
      <w:tr>
        <w:trPr>
          <w:tblHeader w:val="true"/>
        </w:trPr>
        <w:tc>
          <w:tcPr>
            <w:tcW w:w="1499" w:type="dxa"/>
            <w:tcBorders>
              <w:top w:val="single" w:sz="4" w:space="0" w:color="A6A6A6"/>
              <w:start w:val="single" w:sz="4" w:space="0" w:color="A6A6A6"/>
              <w:bottom w:val="single" w:sz="4" w:space="0" w:color="A6A6A6"/>
              <w:end w:val="single" w:sz="4" w:space="0" w:color="A6A6A6"/>
            </w:tcBorders>
            <w:shd w:color="auto" w:fill="D9E2F3" w:val="clear"/>
          </w:tcPr>
          <w:p>
            <w:pPr>
              <w:pStyle w:val="Normal"/>
              <w:spacing w:before="0" w:after="10"/>
              <w:rPr/>
            </w:pPr>
            <w:r>
              <w:rPr>
                <w:rFonts w:eastAsia="Arial" w:cs="Arial"/>
                <w:b/>
                <w:bCs/>
                <w:sz w:val="17"/>
                <w:szCs w:val="17"/>
              </w:rPr>
              <w:t>SRS req.</w:t>
            </w:r>
          </w:p>
        </w:tc>
        <w:tc>
          <w:tcPr>
            <w:tcW w:w="8139" w:type="dxa"/>
            <w:tcBorders>
              <w:top w:val="single" w:sz="4" w:space="0" w:color="A6A6A6"/>
              <w:start w:val="single" w:sz="4" w:space="0" w:color="A6A6A6"/>
              <w:bottom w:val="single" w:sz="4" w:space="0" w:color="A6A6A6"/>
              <w:end w:val="single" w:sz="4" w:space="0" w:color="A6A6A6"/>
            </w:tcBorders>
            <w:shd w:color="auto" w:fill="D9E2F3" w:val="clear"/>
          </w:tcPr>
          <w:p>
            <w:pPr>
              <w:pStyle w:val="Normal"/>
              <w:spacing w:before="0" w:after="10"/>
              <w:rPr/>
            </w:pPr>
            <w:r>
              <w:rPr>
                <w:rFonts w:eastAsia="Arial" w:cs="Arial"/>
                <w:b/>
                <w:bCs/>
                <w:sz w:val="17"/>
                <w:szCs w:val="17"/>
              </w:rPr>
              <w:t>Design mechanism</w:t>
            </w:r>
          </w:p>
        </w:tc>
      </w:tr>
      <w:tr>
        <w:trPr/>
        <w:tc>
          <w:tcPr>
            <w:tcW w:w="149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bCs/>
                <w:sz w:val="17"/>
                <w:szCs w:val="17"/>
              </w:rPr>
              <w:t>SEC-F-001</w:t>
            </w:r>
          </w:p>
        </w:tc>
        <w:tc>
          <w:tcPr>
            <w:tcW w:w="813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7"/>
                <w:szCs w:val="17"/>
              </w:rPr>
              <w:t>Security Layer rejects any request without a valid session (redirect to login / 401). Only register and login are public.</w:t>
            </w:r>
          </w:p>
        </w:tc>
      </w:tr>
      <w:tr>
        <w:trPr/>
        <w:tc>
          <w:tcPr>
            <w:tcW w:w="149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bCs/>
                <w:sz w:val="17"/>
                <w:szCs w:val="17"/>
              </w:rPr>
              <w:t>SEC-F-002</w:t>
            </w:r>
          </w:p>
        </w:tc>
        <w:tc>
          <w:tcPr>
            <w:tcW w:w="813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7"/>
                <w:szCs w:val="17"/>
              </w:rPr>
              <w:t>Server-side role check on every endpoint (see access matrix). Candidate accounts get 403 on admin functions.</w:t>
            </w:r>
          </w:p>
        </w:tc>
      </w:tr>
      <w:tr>
        <w:trPr/>
        <w:tc>
          <w:tcPr>
            <w:tcW w:w="149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bCs/>
                <w:sz w:val="17"/>
                <w:szCs w:val="17"/>
              </w:rPr>
              <w:t>SEC-F-003</w:t>
            </w:r>
          </w:p>
        </w:tc>
        <w:tc>
          <w:tcPr>
            <w:tcW w:w="813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7"/>
                <w:szCs w:val="17"/>
              </w:rPr>
              <w:t>Account Module stores only BCrypt (salted) hashes; passwords are never stored or logged.</w:t>
            </w:r>
          </w:p>
        </w:tc>
      </w:tr>
      <w:tr>
        <w:trPr/>
        <w:tc>
          <w:tcPr>
            <w:tcW w:w="149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bCs/>
                <w:sz w:val="17"/>
                <w:szCs w:val="17"/>
              </w:rPr>
              <w:t>SEC-F-004</w:t>
            </w:r>
          </w:p>
        </w:tc>
        <w:tc>
          <w:tcPr>
            <w:tcW w:w="813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7"/>
                <w:szCs w:val="17"/>
              </w:rPr>
              <w:t>All traffic over HTTPS/TLS, including credentials and personal data.</w:t>
            </w:r>
          </w:p>
        </w:tc>
      </w:tr>
      <w:tr>
        <w:trPr/>
        <w:tc>
          <w:tcPr>
            <w:tcW w:w="149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bCs/>
                <w:sz w:val="17"/>
                <w:szCs w:val="17"/>
              </w:rPr>
              <w:t>SEC-F-005</w:t>
            </w:r>
          </w:p>
        </w:tc>
        <w:tc>
          <w:tcPr>
            <w:tcW w:w="813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7"/>
                <w:szCs w:val="17"/>
              </w:rPr>
              <w:t>Audit Module writes actor, timestamp and action type for every privileged admin action; append-only, with no edit path in the UI.</w:t>
            </w:r>
          </w:p>
        </w:tc>
      </w:tr>
    </w:tbl>
    <w:p>
      <w:pPr>
        <w:pStyle w:val="Normal"/>
        <w:spacing w:before="0" w:after="40"/>
        <w:rPr/>
      </w:pPr>
      <w:r>
        <w:rPr/>
      </w:r>
    </w:p>
    <w:p>
      <w:pPr>
        <w:pStyle w:val="Normal"/>
        <w:keepNext w:val="true"/>
        <w:spacing w:before="0" w:after="70"/>
        <w:rPr/>
      </w:pPr>
      <w:r>
        <w:rPr>
          <w:rFonts w:eastAsia="Arial" w:cs="Arial"/>
          <w:b/>
          <w:bCs/>
          <w:sz w:val="20"/>
          <w:szCs w:val="20"/>
        </w:rPr>
        <w:t>Access matrix.</w:t>
      </w:r>
    </w:p>
    <w:tbl>
      <w:tblPr>
        <w:tblW w:w="9638" w:type="dxa"/>
        <w:jc w:val="start"/>
        <w:tblInd w:w="0" w:type="dxa"/>
        <w:tblLayout w:type="fixed"/>
        <w:tblCellMar>
          <w:top w:w="25" w:type="dxa"/>
          <w:start w:w="70" w:type="dxa"/>
          <w:bottom w:w="25" w:type="dxa"/>
          <w:end w:w="70" w:type="dxa"/>
        </w:tblCellMar>
      </w:tblPr>
      <w:tblGrid>
        <w:gridCol w:w="4600"/>
        <w:gridCol w:w="1099"/>
        <w:gridCol w:w="2101"/>
        <w:gridCol w:w="1838"/>
      </w:tblGrid>
      <w:tr>
        <w:trPr>
          <w:tblHeader w:val="true"/>
        </w:trPr>
        <w:tc>
          <w:tcPr>
            <w:tcW w:w="4600" w:type="dxa"/>
            <w:tcBorders>
              <w:top w:val="single" w:sz="4" w:space="0" w:color="A6A6A6"/>
              <w:start w:val="single" w:sz="4" w:space="0" w:color="A6A6A6"/>
              <w:bottom w:val="single" w:sz="4" w:space="0" w:color="A6A6A6"/>
              <w:end w:val="single" w:sz="4" w:space="0" w:color="A6A6A6"/>
            </w:tcBorders>
            <w:shd w:color="auto" w:fill="D9E2F3" w:val="clear"/>
          </w:tcPr>
          <w:p>
            <w:pPr>
              <w:pStyle w:val="Normal"/>
              <w:spacing w:before="0" w:after="10"/>
              <w:rPr/>
            </w:pPr>
            <w:r>
              <w:rPr>
                <w:rFonts w:eastAsia="Arial" w:cs="Arial"/>
                <w:b/>
                <w:bCs/>
                <w:sz w:val="17"/>
                <w:szCs w:val="17"/>
              </w:rPr>
              <w:t>Function area</w:t>
            </w:r>
          </w:p>
        </w:tc>
        <w:tc>
          <w:tcPr>
            <w:tcW w:w="1099" w:type="dxa"/>
            <w:tcBorders>
              <w:top w:val="single" w:sz="4" w:space="0" w:color="A6A6A6"/>
              <w:start w:val="single" w:sz="4" w:space="0" w:color="A6A6A6"/>
              <w:bottom w:val="single" w:sz="4" w:space="0" w:color="A6A6A6"/>
              <w:end w:val="single" w:sz="4" w:space="0" w:color="A6A6A6"/>
            </w:tcBorders>
            <w:shd w:color="auto" w:fill="D9E2F3" w:val="clear"/>
          </w:tcPr>
          <w:p>
            <w:pPr>
              <w:pStyle w:val="Normal"/>
              <w:spacing w:before="0" w:after="10"/>
              <w:rPr/>
            </w:pPr>
            <w:r>
              <w:rPr>
                <w:rFonts w:eastAsia="Arial" w:cs="Arial"/>
                <w:b/>
                <w:bCs/>
                <w:sz w:val="17"/>
                <w:szCs w:val="17"/>
              </w:rPr>
              <w:t>Public</w:t>
            </w:r>
          </w:p>
        </w:tc>
        <w:tc>
          <w:tcPr>
            <w:tcW w:w="2101" w:type="dxa"/>
            <w:tcBorders>
              <w:top w:val="single" w:sz="4" w:space="0" w:color="A6A6A6"/>
              <w:start w:val="single" w:sz="4" w:space="0" w:color="A6A6A6"/>
              <w:bottom w:val="single" w:sz="4" w:space="0" w:color="A6A6A6"/>
              <w:end w:val="single" w:sz="4" w:space="0" w:color="A6A6A6"/>
            </w:tcBorders>
            <w:shd w:color="auto" w:fill="D9E2F3" w:val="clear"/>
          </w:tcPr>
          <w:p>
            <w:pPr>
              <w:pStyle w:val="Normal"/>
              <w:spacing w:before="0" w:after="10"/>
              <w:rPr/>
            </w:pPr>
            <w:r>
              <w:rPr>
                <w:rFonts w:eastAsia="Arial" w:cs="Arial"/>
                <w:b/>
                <w:bCs/>
                <w:sz w:val="17"/>
                <w:szCs w:val="17"/>
              </w:rPr>
              <w:t>Candidate</w:t>
            </w:r>
          </w:p>
        </w:tc>
        <w:tc>
          <w:tcPr>
            <w:tcW w:w="1838" w:type="dxa"/>
            <w:tcBorders>
              <w:top w:val="single" w:sz="4" w:space="0" w:color="A6A6A6"/>
              <w:start w:val="single" w:sz="4" w:space="0" w:color="A6A6A6"/>
              <w:bottom w:val="single" w:sz="4" w:space="0" w:color="A6A6A6"/>
              <w:end w:val="single" w:sz="4" w:space="0" w:color="A6A6A6"/>
            </w:tcBorders>
            <w:shd w:color="auto" w:fill="D9E2F3" w:val="clear"/>
          </w:tcPr>
          <w:p>
            <w:pPr>
              <w:pStyle w:val="Normal"/>
              <w:spacing w:before="0" w:after="10"/>
              <w:rPr/>
            </w:pPr>
            <w:r>
              <w:rPr>
                <w:rFonts w:eastAsia="Arial" w:cs="Arial"/>
                <w:b/>
                <w:bCs/>
                <w:sz w:val="17"/>
                <w:szCs w:val="17"/>
              </w:rPr>
              <w:t>Administrator</w:t>
            </w:r>
          </w:p>
        </w:tc>
      </w:tr>
      <w:tr>
        <w:trPr/>
        <w:tc>
          <w:tcPr>
            <w:tcW w:w="46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sz w:val="17"/>
                <w:szCs w:val="17"/>
              </w:rPr>
              <w:t>Register, login</w:t>
            </w:r>
          </w:p>
        </w:tc>
        <w:tc>
          <w:tcPr>
            <w:tcW w:w="109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sz w:val="17"/>
                <w:szCs w:val="17"/>
              </w:rPr>
              <w:t>Yes</w:t>
            </w:r>
          </w:p>
        </w:tc>
        <w:tc>
          <w:tcPr>
            <w:tcW w:w="2101"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sz w:val="17"/>
                <w:szCs w:val="17"/>
              </w:rPr>
              <w:t>-</w:t>
            </w:r>
          </w:p>
        </w:tc>
        <w:tc>
          <w:tcPr>
            <w:tcW w:w="1838"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sz w:val="17"/>
                <w:szCs w:val="17"/>
              </w:rPr>
              <w:t>-</w:t>
            </w:r>
          </w:p>
        </w:tc>
      </w:tr>
      <w:tr>
        <w:trPr/>
        <w:tc>
          <w:tcPr>
            <w:tcW w:w="46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sz w:val="17"/>
                <w:szCs w:val="17"/>
              </w:rPr>
              <w:t>Own profile, application, documents, eligibility, choices, result, seat decision</w:t>
            </w:r>
          </w:p>
        </w:tc>
        <w:tc>
          <w:tcPr>
            <w:tcW w:w="109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sz w:val="17"/>
                <w:szCs w:val="17"/>
              </w:rPr>
              <w:t>-</w:t>
            </w:r>
          </w:p>
        </w:tc>
        <w:tc>
          <w:tcPr>
            <w:tcW w:w="2101"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sz w:val="17"/>
                <w:szCs w:val="17"/>
              </w:rPr>
              <w:t>Yes (own records only, A-14)</w:t>
            </w:r>
          </w:p>
        </w:tc>
        <w:tc>
          <w:tcPr>
            <w:tcW w:w="1838"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sz w:val="17"/>
                <w:szCs w:val="17"/>
              </w:rPr>
              <w:t>-</w:t>
            </w:r>
          </w:p>
        </w:tc>
      </w:tr>
      <w:tr>
        <w:trPr/>
        <w:tc>
          <w:tcPr>
            <w:tcW w:w="46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sz w:val="17"/>
                <w:szCs w:val="17"/>
              </w:rPr>
              <w:t>Catalogue view</w:t>
            </w:r>
          </w:p>
        </w:tc>
        <w:tc>
          <w:tcPr>
            <w:tcW w:w="109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sz w:val="17"/>
                <w:szCs w:val="17"/>
              </w:rPr>
              <w:t>-</w:t>
            </w:r>
          </w:p>
        </w:tc>
        <w:tc>
          <w:tcPr>
            <w:tcW w:w="2101"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sz w:val="17"/>
                <w:szCs w:val="17"/>
              </w:rPr>
              <w:t>Yes</w:t>
            </w:r>
          </w:p>
        </w:tc>
        <w:tc>
          <w:tcPr>
            <w:tcW w:w="1838"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sz w:val="17"/>
                <w:szCs w:val="17"/>
              </w:rPr>
              <w:t>Yes</w:t>
            </w:r>
          </w:p>
        </w:tc>
      </w:tr>
      <w:tr>
        <w:trPr/>
        <w:tc>
          <w:tcPr>
            <w:tcW w:w="46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sz w:val="17"/>
                <w:szCs w:val="17"/>
              </w:rPr>
              <w:t>Document verification, catalogue/seat-matrix/rule management, allotment run, result publication, dashboard, audit log</w:t>
            </w:r>
          </w:p>
        </w:tc>
        <w:tc>
          <w:tcPr>
            <w:tcW w:w="109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sz w:val="17"/>
                <w:szCs w:val="17"/>
              </w:rPr>
              <w:t>-</w:t>
            </w:r>
          </w:p>
        </w:tc>
        <w:tc>
          <w:tcPr>
            <w:tcW w:w="2101"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sz w:val="17"/>
                <w:szCs w:val="17"/>
              </w:rPr>
              <w:t>Denied (403)</w:t>
            </w:r>
          </w:p>
        </w:tc>
        <w:tc>
          <w:tcPr>
            <w:tcW w:w="1838"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sz w:val="17"/>
                <w:szCs w:val="17"/>
              </w:rPr>
              <w:t>Yes</w:t>
            </w:r>
          </w:p>
        </w:tc>
      </w:tr>
    </w:tbl>
    <w:p>
      <w:pPr>
        <w:pStyle w:val="Normal"/>
        <w:spacing w:before="0" w:after="40"/>
        <w:rPr/>
      </w:pPr>
      <w:r>
        <w:rPr/>
      </w:r>
    </w:p>
    <w:p>
      <w:pPr>
        <w:pStyle w:val="Normal"/>
        <w:spacing w:before="0" w:after="70"/>
        <w:rPr/>
      </w:pPr>
      <w:r>
        <w:rPr>
          <w:rFonts w:eastAsia="Arial" w:cs="Arial"/>
          <w:b/>
          <w:bCs/>
          <w:sz w:val="20"/>
          <w:szCs w:val="20"/>
        </w:rPr>
        <w:t>Integrity of admission data.</w:t>
      </w:r>
      <w:r>
        <w:rPr>
          <w:rFonts w:eastAsia="Arial" w:cs="Arial"/>
          <w:sz w:val="20"/>
          <w:szCs w:val="20"/>
        </w:rPr>
        <w:t xml:space="preserve"> Candidates cannot set their own rank or category (A-09). Seat availability, allotment results and publication can be changed only through Administrator-only functions, all audited. The allotment run is transactional, so results always match seat counts (ADM-NFR-003).</w:t>
      </w:r>
    </w:p>
    <w:p>
      <w:pPr>
        <w:pStyle w:val="Normal"/>
        <w:spacing w:before="0" w:after="70"/>
        <w:rPr/>
      </w:pPr>
      <w:r>
        <w:rPr>
          <w:rFonts w:eastAsia="Arial" w:cs="Arial"/>
          <w:b/>
          <w:bCs/>
          <w:sz w:val="20"/>
          <w:szCs w:val="20"/>
        </w:rPr>
        <w:t>STRIDE summary (lightweight).</w:t>
      </w:r>
      <w:r>
        <w:rPr>
          <w:rFonts w:eastAsia="Arial" w:cs="Arial"/>
          <w:sz w:val="20"/>
          <w:szCs w:val="20"/>
        </w:rPr>
        <w:t xml:space="preserve"> Spoofing - authentication and salted hashes (SEC-F-001, SEC-F-003). Tampering - HTTPS (SEC-F-004), admin-only seat/allotment changes (SEC-F-002), transactional allotment. Repudiation - audit log (SEC-F-005). Information disclosure - HTTPS, RBAC, own-records-only access (A-14), no passwords or personal data in logs. Denial of service - not required by the SRS; no dedicated mitigation in this prototype. Elevation of privilege - server-side RBAC on every admin endpoint (SEC-F-002).</w:t>
      </w:r>
    </w:p>
    <w:p>
      <w:pPr>
        <w:pStyle w:val="Normal"/>
        <w:spacing w:before="0" w:after="70"/>
        <w:rPr/>
      </w:pPr>
      <w:r>
        <w:rPr>
          <w:rFonts w:eastAsia="Arial" w:cs="Arial"/>
          <w:b/>
          <w:bCs/>
          <w:sz w:val="20"/>
          <w:szCs w:val="20"/>
        </w:rPr>
        <w:t>Not part of this design.</w:t>
      </w:r>
      <w:r>
        <w:rPr>
          <w:rFonts w:eastAsia="Arial" w:cs="Arial"/>
          <w:sz w:val="20"/>
          <w:szCs w:val="20"/>
        </w:rPr>
        <w:t xml:space="preserve"> The SRS does not require MFA, encryption at rest or OTP verification, so they are not designed here; MFA for the Administrator and encryption at rest are listed as possible enhancements in section 4.6.</w:t>
      </w:r>
    </w:p>
    <w:p>
      <w:pPr>
        <w:pStyle w:val="Heading2"/>
        <w:rPr/>
      </w:pPr>
      <w:r>
        <w:rPr>
          <w:rFonts w:eastAsia="Arial" w:cs="Arial" w:ascii="Arial" w:hAnsi="Arial"/>
        </w:rPr>
        <w:t>3.10 Assumptions</w:t>
      </w:r>
    </w:p>
    <w:p>
      <w:pPr>
        <w:pStyle w:val="Normal"/>
        <w:spacing w:before="0" w:after="70"/>
        <w:rPr/>
      </w:pPr>
      <w:r>
        <w:rPr>
          <w:rFonts w:eastAsia="Arial" w:cs="Arial"/>
          <w:sz w:val="20"/>
          <w:szCs w:val="20"/>
        </w:rPr>
        <w:t xml:space="preserve">Assumptions are design choices made by the team where the SRS is silent. They are </w:t>
      </w:r>
      <w:r>
        <w:rPr>
          <w:rFonts w:eastAsia="Arial" w:cs="Arial"/>
          <w:b/>
          <w:bCs/>
          <w:sz w:val="20"/>
          <w:szCs w:val="20"/>
        </w:rPr>
        <w:t>not SRS requirements</w:t>
      </w:r>
      <w:r>
        <w:rPr>
          <w:rFonts w:eastAsia="Arial" w:cs="Arial"/>
          <w:sz w:val="20"/>
          <w:szCs w:val="20"/>
        </w:rPr>
        <w:t>. All assumptions used anywhere in this document are listed here.</w:t>
      </w:r>
    </w:p>
    <w:tbl>
      <w:tblPr>
        <w:tblW w:w="9638" w:type="dxa"/>
        <w:jc w:val="start"/>
        <w:tblInd w:w="0" w:type="dxa"/>
        <w:tblLayout w:type="fixed"/>
        <w:tblCellMar>
          <w:top w:w="25" w:type="dxa"/>
          <w:start w:w="70" w:type="dxa"/>
          <w:bottom w:w="25" w:type="dxa"/>
          <w:end w:w="70" w:type="dxa"/>
        </w:tblCellMar>
      </w:tblPr>
      <w:tblGrid>
        <w:gridCol w:w="1300"/>
        <w:gridCol w:w="3099"/>
        <w:gridCol w:w="2701"/>
        <w:gridCol w:w="2538"/>
      </w:tblGrid>
      <w:tr>
        <w:trPr>
          <w:tblHeader w:val="true"/>
        </w:trPr>
        <w:tc>
          <w:tcPr>
            <w:tcW w:w="1300" w:type="dxa"/>
            <w:tcBorders>
              <w:top w:val="single" w:sz="4" w:space="0" w:color="A6A6A6"/>
              <w:start w:val="single" w:sz="4" w:space="0" w:color="A6A6A6"/>
              <w:bottom w:val="single" w:sz="4" w:space="0" w:color="A6A6A6"/>
              <w:end w:val="single" w:sz="4" w:space="0" w:color="A6A6A6"/>
            </w:tcBorders>
            <w:shd w:color="auto" w:fill="D9E2F3" w:val="clear"/>
          </w:tcPr>
          <w:p>
            <w:pPr>
              <w:pStyle w:val="Normal"/>
              <w:spacing w:before="0" w:after="10"/>
              <w:rPr/>
            </w:pPr>
            <w:r>
              <w:rPr>
                <w:rFonts w:eastAsia="Arial" w:cs="Arial"/>
                <w:b/>
                <w:bCs/>
                <w:sz w:val="15"/>
                <w:szCs w:val="15"/>
              </w:rPr>
              <w:t>Assumption ID</w:t>
            </w:r>
          </w:p>
        </w:tc>
        <w:tc>
          <w:tcPr>
            <w:tcW w:w="3099" w:type="dxa"/>
            <w:tcBorders>
              <w:top w:val="single" w:sz="4" w:space="0" w:color="A6A6A6"/>
              <w:start w:val="single" w:sz="4" w:space="0" w:color="A6A6A6"/>
              <w:bottom w:val="single" w:sz="4" w:space="0" w:color="A6A6A6"/>
              <w:end w:val="single" w:sz="4" w:space="0" w:color="A6A6A6"/>
            </w:tcBorders>
            <w:shd w:color="auto" w:fill="D9E2F3" w:val="clear"/>
          </w:tcPr>
          <w:p>
            <w:pPr>
              <w:pStyle w:val="Normal"/>
              <w:spacing w:before="0" w:after="10"/>
              <w:rPr/>
            </w:pPr>
            <w:r>
              <w:rPr>
                <w:rFonts w:eastAsia="Arial" w:cs="Arial"/>
                <w:b/>
                <w:bCs/>
                <w:sz w:val="15"/>
                <w:szCs w:val="15"/>
              </w:rPr>
              <w:t>Assumption</w:t>
            </w:r>
          </w:p>
        </w:tc>
        <w:tc>
          <w:tcPr>
            <w:tcW w:w="2701" w:type="dxa"/>
            <w:tcBorders>
              <w:top w:val="single" w:sz="4" w:space="0" w:color="A6A6A6"/>
              <w:start w:val="single" w:sz="4" w:space="0" w:color="A6A6A6"/>
              <w:bottom w:val="single" w:sz="4" w:space="0" w:color="A6A6A6"/>
              <w:end w:val="single" w:sz="4" w:space="0" w:color="A6A6A6"/>
            </w:tcBorders>
            <w:shd w:color="auto" w:fill="D9E2F3" w:val="clear"/>
          </w:tcPr>
          <w:p>
            <w:pPr>
              <w:pStyle w:val="Normal"/>
              <w:spacing w:before="0" w:after="10"/>
              <w:rPr/>
            </w:pPr>
            <w:r>
              <w:rPr>
                <w:rFonts w:eastAsia="Arial" w:cs="Arial"/>
                <w:b/>
                <w:bCs/>
                <w:sz w:val="15"/>
                <w:szCs w:val="15"/>
              </w:rPr>
              <w:t>Why It Is Needed</w:t>
            </w:r>
          </w:p>
        </w:tc>
        <w:tc>
          <w:tcPr>
            <w:tcW w:w="2538" w:type="dxa"/>
            <w:tcBorders>
              <w:top w:val="single" w:sz="4" w:space="0" w:color="A6A6A6"/>
              <w:start w:val="single" w:sz="4" w:space="0" w:color="A6A6A6"/>
              <w:bottom w:val="single" w:sz="4" w:space="0" w:color="A6A6A6"/>
              <w:end w:val="single" w:sz="4" w:space="0" w:color="A6A6A6"/>
            </w:tcBorders>
            <w:shd w:color="auto" w:fill="D9E2F3" w:val="clear"/>
          </w:tcPr>
          <w:p>
            <w:pPr>
              <w:pStyle w:val="Normal"/>
              <w:spacing w:before="0" w:after="10"/>
              <w:rPr/>
            </w:pPr>
            <w:r>
              <w:rPr>
                <w:rFonts w:eastAsia="Arial" w:cs="Arial"/>
                <w:b/>
                <w:bCs/>
                <w:sz w:val="15"/>
                <w:szCs w:val="15"/>
              </w:rPr>
              <w:t>Impact on Design</w:t>
            </w:r>
          </w:p>
        </w:tc>
      </w:tr>
      <w:tr>
        <w:trPr/>
        <w:tc>
          <w:tcPr>
            <w:tcW w:w="13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bCs/>
                <w:sz w:val="15"/>
                <w:szCs w:val="15"/>
              </w:rPr>
              <w:t>A-01</w:t>
            </w:r>
          </w:p>
        </w:tc>
        <w:tc>
          <w:tcPr>
            <w:tcW w:w="309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5"/>
                <w:szCs w:val="15"/>
              </w:rPr>
              <w:t>The system is a layered modular monolith deployed as one web application.</w:t>
            </w:r>
          </w:p>
        </w:tc>
        <w:tc>
          <w:tcPr>
            <w:tcW w:w="2701"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5"/>
                <w:szCs w:val="15"/>
              </w:rPr>
              <w:t>The SRS names no architecture; the team has four members and one semester (SRS 2.5).</w:t>
            </w:r>
          </w:p>
        </w:tc>
        <w:tc>
          <w:tcPr>
            <w:tcW w:w="2538"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5"/>
                <w:szCs w:val="15"/>
              </w:rPr>
              <w:t>Section 3.5, Figure 1; no distributed components.</w:t>
            </w:r>
          </w:p>
        </w:tc>
      </w:tr>
      <w:tr>
        <w:trPr/>
        <w:tc>
          <w:tcPr>
            <w:tcW w:w="13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bCs/>
                <w:sz w:val="15"/>
                <w:szCs w:val="15"/>
              </w:rPr>
              <w:t>A-02</w:t>
            </w:r>
          </w:p>
        </w:tc>
        <w:tc>
          <w:tcPr>
            <w:tcW w:w="309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5"/>
                <w:szCs w:val="15"/>
              </w:rPr>
              <w:t>Spring Boot (Java 17, Spring Data JPA), Spring Security, BCrypt, HTML5/CSS/Bootstrap/JavaScript client, JUnit, Postman, JMeter, Python/Matplotlib and draw.io/PlantUML are used.</w:t>
            </w:r>
          </w:p>
        </w:tc>
        <w:tc>
          <w:tcPr>
            <w:tcW w:w="2701"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5"/>
                <w:szCs w:val="15"/>
              </w:rPr>
              <w:t>The SRS leaves framework and tooling to the team (3.3, Assumptions).</w:t>
            </w:r>
          </w:p>
        </w:tc>
        <w:tc>
          <w:tcPr>
            <w:tcW w:w="2538"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5"/>
                <w:szCs w:val="15"/>
              </w:rPr>
              <w:t>Section 3.6; component implementation and testing approach.</w:t>
            </w:r>
          </w:p>
        </w:tc>
      </w:tr>
      <w:tr>
        <w:trPr/>
        <w:tc>
          <w:tcPr>
            <w:tcW w:w="13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bCs/>
                <w:sz w:val="15"/>
                <w:szCs w:val="15"/>
              </w:rPr>
              <w:t>A-03</w:t>
            </w:r>
          </w:p>
        </w:tc>
        <w:tc>
          <w:tcPr>
            <w:tcW w:w="309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5"/>
                <w:szCs w:val="15"/>
              </w:rPr>
              <w:t>MySQL is the database.</w:t>
            </w:r>
          </w:p>
        </w:tc>
        <w:tc>
          <w:tcPr>
            <w:tcW w:w="2701"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5"/>
                <w:szCs w:val="15"/>
              </w:rPr>
              <w:t>The SRS allows a relational or document database without choosing one.</w:t>
            </w:r>
          </w:p>
        </w:tc>
        <w:tc>
          <w:tcPr>
            <w:tcW w:w="2538"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5"/>
                <w:szCs w:val="15"/>
              </w:rPr>
              <w:t>Relational Database component; transactions and constraints used for ADM-NFR-003.</w:t>
            </w:r>
          </w:p>
        </w:tc>
      </w:tr>
      <w:tr>
        <w:trPr/>
        <w:tc>
          <w:tcPr>
            <w:tcW w:w="13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bCs/>
                <w:sz w:val="15"/>
                <w:szCs w:val="15"/>
              </w:rPr>
              <w:t>A-04</w:t>
            </w:r>
          </w:p>
        </w:tc>
        <w:tc>
          <w:tcPr>
            <w:tcW w:w="309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5"/>
                <w:szCs w:val="15"/>
              </w:rPr>
              <w:t>Uploaded files are stored on the server file system outside the public web root with generated names; metadata is stored in the database.</w:t>
            </w:r>
          </w:p>
        </w:tc>
        <w:tc>
          <w:tcPr>
            <w:tcW w:w="2701"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5"/>
                <w:szCs w:val="15"/>
              </w:rPr>
              <w:t>ADM-F-006 requires upload but not where files are kept.</w:t>
            </w:r>
          </w:p>
        </w:tc>
        <w:tc>
          <w:tcPr>
            <w:tcW w:w="2538"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5"/>
                <w:szCs w:val="15"/>
              </w:rPr>
              <w:t>Document File Store component; Document Module.</w:t>
            </w:r>
          </w:p>
        </w:tc>
      </w:tr>
      <w:tr>
        <w:trPr/>
        <w:tc>
          <w:tcPr>
            <w:tcW w:w="13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bCs/>
                <w:sz w:val="15"/>
                <w:szCs w:val="15"/>
              </w:rPr>
              <w:t>A-05</w:t>
            </w:r>
          </w:p>
        </w:tc>
        <w:tc>
          <w:tcPr>
            <w:tcW w:w="309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5"/>
                <w:szCs w:val="15"/>
              </w:rPr>
              <w:t>Login uses a server-side session; the single Administrator account is created by a seed script (no public admin registration).</w:t>
            </w:r>
          </w:p>
        </w:tc>
        <w:tc>
          <w:tcPr>
            <w:tcW w:w="2701"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5"/>
                <w:szCs w:val="15"/>
              </w:rPr>
              <w:t>The SRS requires authentication but not the session mechanism or how the Administrator account is created.</w:t>
            </w:r>
          </w:p>
        </w:tc>
        <w:tc>
          <w:tcPr>
            <w:tcW w:w="2538"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5"/>
                <w:szCs w:val="15"/>
              </w:rPr>
              <w:t>Security Layer; Account Module; seed data.</w:t>
            </w:r>
          </w:p>
        </w:tc>
      </w:tr>
      <w:tr>
        <w:trPr/>
        <w:tc>
          <w:tcPr>
            <w:tcW w:w="13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bCs/>
                <w:sz w:val="15"/>
                <w:szCs w:val="15"/>
              </w:rPr>
              <w:t>A-06</w:t>
            </w:r>
          </w:p>
        </w:tc>
        <w:tc>
          <w:tcPr>
            <w:tcW w:w="309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5"/>
                <w:szCs w:val="15"/>
              </w:rPr>
              <w:t>Eligibility rules, the required-document list, colleges, branches and seat capacities are database rows editable through admin screens.</w:t>
            </w:r>
          </w:p>
        </w:tc>
        <w:tc>
          <w:tcPr>
            <w:tcW w:w="2701"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5"/>
                <w:szCs w:val="15"/>
              </w:rPr>
              <w:t>ADM-NFR-005 requires configurable data; the SRS does not define the rule content or which documents are required.</w:t>
            </w:r>
          </w:p>
        </w:tc>
        <w:tc>
          <w:tcPr>
            <w:tcW w:w="2538"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5"/>
                <w:szCs w:val="15"/>
              </w:rPr>
              <w:t>Eligibility and Catalogue modules; admin endpoints in 4.3.4.</w:t>
            </w:r>
          </w:p>
        </w:tc>
      </w:tr>
      <w:tr>
        <w:trPr/>
        <w:tc>
          <w:tcPr>
            <w:tcW w:w="13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bCs/>
                <w:sz w:val="15"/>
                <w:szCs w:val="15"/>
              </w:rPr>
              <w:t>A-07</w:t>
            </w:r>
          </w:p>
        </w:tc>
        <w:tc>
          <w:tcPr>
            <w:tcW w:w="309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5"/>
                <w:szCs w:val="15"/>
              </w:rPr>
              <w:t>The allotment run executes inside one database transaction.</w:t>
            </w:r>
          </w:p>
        </w:tc>
        <w:tc>
          <w:tcPr>
            <w:tcW w:w="2701"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5"/>
                <w:szCs w:val="15"/>
              </w:rPr>
              <w:t>ADM-NFR-003 requires seat counts always consistent with allotment records.</w:t>
            </w:r>
          </w:p>
        </w:tc>
        <w:tc>
          <w:tcPr>
            <w:tcW w:w="2538"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5"/>
                <w:szCs w:val="15"/>
              </w:rPr>
              <w:t>Allotment Module; a failed run leaves no partial allocations (SD-3).</w:t>
            </w:r>
          </w:p>
        </w:tc>
      </w:tr>
      <w:tr>
        <w:trPr/>
        <w:tc>
          <w:tcPr>
            <w:tcW w:w="13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bCs/>
                <w:sz w:val="15"/>
                <w:szCs w:val="15"/>
              </w:rPr>
              <w:t>A-08</w:t>
            </w:r>
          </w:p>
        </w:tc>
        <w:tc>
          <w:tcPr>
            <w:tcW w:w="309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5"/>
                <w:szCs w:val="15"/>
              </w:rPr>
              <w:t>Eligibility is Pending Verification while required documents are not all Approved, Not Eligible if a rule fails, otherwise Eligible.</w:t>
            </w:r>
          </w:p>
        </w:tc>
        <w:tc>
          <w:tcPr>
            <w:tcW w:w="2701"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5"/>
                <w:szCs w:val="15"/>
              </w:rPr>
              <w:t>ADM-F-009 says document verification may affect final status but does not say how.</w:t>
            </w:r>
          </w:p>
        </w:tc>
        <w:tc>
          <w:tcPr>
            <w:tcW w:w="2538"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5"/>
                <w:szCs w:val="15"/>
              </w:rPr>
              <w:t>Eligibility Module logic; SD-2.</w:t>
            </w:r>
          </w:p>
        </w:tc>
      </w:tr>
      <w:tr>
        <w:trPr/>
        <w:tc>
          <w:tcPr>
            <w:tcW w:w="13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bCs/>
                <w:sz w:val="15"/>
                <w:szCs w:val="15"/>
              </w:rPr>
              <w:t>A-09</w:t>
            </w:r>
          </w:p>
        </w:tc>
        <w:tc>
          <w:tcPr>
            <w:tcW w:w="309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5"/>
                <w:szCs w:val="15"/>
              </w:rPr>
              <w:t>A candidate's rank and category are taken from the seeded exam record matching the details entered; entries with no matching record are rejected.</w:t>
            </w:r>
          </w:p>
        </w:tc>
        <w:tc>
          <w:tcPr>
            <w:tcW w:w="2701"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5"/>
                <w:szCs w:val="15"/>
              </w:rPr>
              <w:t>ADM-F-003 and TC-003 do not say whether candidate-entered values are trusted (see C-10).</w:t>
            </w:r>
          </w:p>
        </w:tc>
        <w:tc>
          <w:tcPr>
            <w:tcW w:w="2538"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5"/>
                <w:szCs w:val="15"/>
              </w:rPr>
              <w:t>Account Module; PUT /candidates/me/exam-details (422 error).</w:t>
            </w:r>
          </w:p>
        </w:tc>
      </w:tr>
      <w:tr>
        <w:trPr/>
        <w:tc>
          <w:tcPr>
            <w:tcW w:w="13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bCs/>
                <w:sz w:val="15"/>
                <w:szCs w:val="15"/>
              </w:rPr>
              <w:t>A-10</w:t>
            </w:r>
          </w:p>
        </w:tc>
        <w:tc>
          <w:tcPr>
            <w:tcW w:w="309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5"/>
                <w:szCs w:val="15"/>
              </w:rPr>
              <w:t>Ranks are compared as stored (KCET and COMEDK in one ordered run); ties are broken by application reference number.</w:t>
            </w:r>
          </w:p>
        </w:tc>
        <w:tc>
          <w:tcPr>
            <w:tcW w:w="2701"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5"/>
                <w:szCs w:val="15"/>
              </w:rPr>
              <w:t>ADM-F-015 says "ascending order of rank" but not how ties or two exam types are handled.</w:t>
            </w:r>
          </w:p>
        </w:tc>
        <w:tc>
          <w:tcPr>
            <w:tcW w:w="2538"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5"/>
                <w:szCs w:val="15"/>
              </w:rPr>
              <w:t>Allotment algorithm step 2 (4.1).</w:t>
            </w:r>
          </w:p>
        </w:tc>
      </w:tr>
      <w:tr>
        <w:trPr/>
        <w:tc>
          <w:tcPr>
            <w:tcW w:w="13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bCs/>
                <w:sz w:val="15"/>
                <w:szCs w:val="15"/>
              </w:rPr>
              <w:t>A-11</w:t>
            </w:r>
          </w:p>
        </w:tc>
        <w:tc>
          <w:tcPr>
            <w:tcW w:w="309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5"/>
                <w:szCs w:val="15"/>
              </w:rPr>
              <w:t>Only the seat-matrix row for the candidate's own category is used; there is no cross-category fallback.</w:t>
            </w:r>
          </w:p>
        </w:tc>
        <w:tc>
          <w:tcPr>
            <w:tcW w:w="2701"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5"/>
                <w:szCs w:val="15"/>
              </w:rPr>
              <w:t>ADM-F-015 mentions category rules but defines none (see C-11).</w:t>
            </w:r>
          </w:p>
        </w:tc>
        <w:tc>
          <w:tcPr>
            <w:tcW w:w="2538"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5"/>
                <w:szCs w:val="15"/>
              </w:rPr>
              <w:t>Allotment algorithm step 3 (4.1).</w:t>
            </w:r>
          </w:p>
        </w:tc>
      </w:tr>
      <w:tr>
        <w:trPr/>
        <w:tc>
          <w:tcPr>
            <w:tcW w:w="13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bCs/>
                <w:sz w:val="15"/>
                <w:szCs w:val="15"/>
              </w:rPr>
              <w:t>A-12</w:t>
            </w:r>
          </w:p>
        </w:tc>
        <w:tc>
          <w:tcPr>
            <w:tcW w:w="309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5"/>
                <w:szCs w:val="15"/>
              </w:rPr>
              <w:t>A rejected or withdrawn seat is not released and there is no re-allotment.</w:t>
            </w:r>
          </w:p>
        </w:tc>
        <w:tc>
          <w:tcPr>
            <w:tcW w:w="2701"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5"/>
                <w:szCs w:val="15"/>
              </w:rPr>
              <w:t>ADM-F-019 records the decision only; the SRS implements a single cycle.</w:t>
            </w:r>
          </w:p>
        </w:tc>
        <w:tc>
          <w:tcPr>
            <w:tcW w:w="2538"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5"/>
                <w:szCs w:val="15"/>
              </w:rPr>
              <w:t>Result Module; no seat-release logic.</w:t>
            </w:r>
          </w:p>
        </w:tc>
      </w:tr>
      <w:tr>
        <w:trPr/>
        <w:tc>
          <w:tcPr>
            <w:tcW w:w="13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bCs/>
                <w:sz w:val="15"/>
                <w:szCs w:val="15"/>
              </w:rPr>
              <w:t>A-13</w:t>
            </w:r>
          </w:p>
        </w:tc>
        <w:tc>
          <w:tcPr>
            <w:tcW w:w="309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5"/>
                <w:szCs w:val="15"/>
              </w:rPr>
              <w:t>Only one completed allotment run exists per cycle; a failed (rolled-back) run may be repeated.</w:t>
            </w:r>
          </w:p>
        </w:tc>
        <w:tc>
          <w:tcPr>
            <w:tcW w:w="2701"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5"/>
                <w:szCs w:val="15"/>
              </w:rPr>
              <w:t>The SRS says "single allotment cycle" but not whether Run Allotment may repeat (see C-12).</w:t>
            </w:r>
          </w:p>
        </w:tc>
        <w:tc>
          <w:tcPr>
            <w:tcW w:w="2538"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5"/>
                <w:szCs w:val="15"/>
              </w:rPr>
              <w:t>POST /admin/allotment/run returns 409 after a completed run.</w:t>
            </w:r>
          </w:p>
        </w:tc>
      </w:tr>
      <w:tr>
        <w:trPr/>
        <w:tc>
          <w:tcPr>
            <w:tcW w:w="13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bCs/>
                <w:sz w:val="15"/>
                <w:szCs w:val="15"/>
              </w:rPr>
              <w:t>A-14</w:t>
            </w:r>
          </w:p>
        </w:tc>
        <w:tc>
          <w:tcPr>
            <w:tcW w:w="309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5"/>
                <w:szCs w:val="15"/>
              </w:rPr>
              <w:t>Candidates can access only their own records.</w:t>
            </w:r>
          </w:p>
        </w:tc>
        <w:tc>
          <w:tcPr>
            <w:tcW w:w="2701"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5"/>
                <w:szCs w:val="15"/>
              </w:rPr>
              <w:t>SEC-F-002 only requires restricting admin functions; protecting personal data is objective 1 (SRS 5.1.1).</w:t>
            </w:r>
          </w:p>
        </w:tc>
        <w:tc>
          <w:tcPr>
            <w:tcW w:w="2538"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5"/>
                <w:szCs w:val="15"/>
              </w:rPr>
              <w:t>Security Layer ownership check (403); access matrix in 3.9.</w:t>
            </w:r>
          </w:p>
        </w:tc>
      </w:tr>
      <w:tr>
        <w:trPr/>
        <w:tc>
          <w:tcPr>
            <w:tcW w:w="13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bCs/>
                <w:sz w:val="15"/>
                <w:szCs w:val="15"/>
              </w:rPr>
              <w:t>A-15</w:t>
            </w:r>
          </w:p>
        </w:tc>
        <w:tc>
          <w:tcPr>
            <w:tcW w:w="309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5"/>
                <w:szCs w:val="15"/>
              </w:rPr>
              <w:t>The Security Layer is a cross-cutting component that enforces SEC-F-001, SEC-F-002 and SEC-F-004.</w:t>
            </w:r>
          </w:p>
        </w:tc>
        <w:tc>
          <w:tcPr>
            <w:tcW w:w="2701"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5"/>
                <w:szCs w:val="15"/>
              </w:rPr>
              <w:t>The SRS RTM lists these under the Account Module and "Cross-cutting".</w:t>
            </w:r>
          </w:p>
        </w:tc>
        <w:tc>
          <w:tcPr>
            <w:tcW w:w="2538"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5"/>
                <w:szCs w:val="15"/>
              </w:rPr>
              <w:t>Security Layer in Figure 1 and 3.4.</w:t>
            </w:r>
          </w:p>
        </w:tc>
      </w:tr>
      <w:tr>
        <w:trPr/>
        <w:tc>
          <w:tcPr>
            <w:tcW w:w="13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bCs/>
                <w:sz w:val="15"/>
                <w:szCs w:val="15"/>
              </w:rPr>
              <w:t>A-16</w:t>
            </w:r>
          </w:p>
        </w:tc>
        <w:tc>
          <w:tcPr>
            <w:tcW w:w="309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5"/>
                <w:szCs w:val="15"/>
              </w:rPr>
              <w:t>HTTPS uses a TLS version and certificate supported by the chosen server; a locally generated certificate is acceptable for the lab demonstration.</w:t>
            </w:r>
          </w:p>
        </w:tc>
        <w:tc>
          <w:tcPr>
            <w:tcW w:w="2701"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5"/>
                <w:szCs w:val="15"/>
              </w:rPr>
              <w:t>SEC-F-004 requires HTTPS/TLS but names no TLS version.</w:t>
            </w:r>
          </w:p>
        </w:tc>
        <w:tc>
          <w:tcPr>
            <w:tcW w:w="2538"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5"/>
                <w:szCs w:val="15"/>
              </w:rPr>
              <w:t>Server configuration only; no impact on modules.</w:t>
            </w:r>
          </w:p>
        </w:tc>
      </w:tr>
      <w:tr>
        <w:trPr/>
        <w:tc>
          <w:tcPr>
            <w:tcW w:w="13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bCs/>
                <w:sz w:val="15"/>
                <w:szCs w:val="15"/>
              </w:rPr>
              <w:t>A-17</w:t>
            </w:r>
          </w:p>
        </w:tc>
        <w:tc>
          <w:tcPr>
            <w:tcW w:w="309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5"/>
                <w:szCs w:val="15"/>
              </w:rPr>
              <w:t>The audit log is append-only: no edit/delete path in the application and an insert-only database permission for the application account. Entries hold actor, timestamp, action type, target record id and outcome. Audited actions: document review, candidate record changes, catalogue/seat-matrix/rule changes, allotment run, result publication.</w:t>
            </w:r>
          </w:p>
        </w:tc>
        <w:tc>
          <w:tcPr>
            <w:tcW w:w="2701"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5"/>
                <w:szCs w:val="15"/>
              </w:rPr>
              <w:t>SEC-F-005 requires actor, timestamp and action type and that entries are not editable in the standard UI, but does not list every audited action.</w:t>
            </w:r>
          </w:p>
        </w:tc>
        <w:tc>
          <w:tcPr>
            <w:tcW w:w="2538"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5"/>
                <w:szCs w:val="15"/>
              </w:rPr>
              <w:t>Audit Module; audit_log table.</w:t>
            </w:r>
          </w:p>
        </w:tc>
      </w:tr>
      <w:tr>
        <w:trPr/>
        <w:tc>
          <w:tcPr>
            <w:tcW w:w="13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bCs/>
                <w:sz w:val="15"/>
                <w:szCs w:val="15"/>
              </w:rPr>
              <w:t>A-18</w:t>
            </w:r>
          </w:p>
        </w:tc>
        <w:tc>
          <w:tcPr>
            <w:tcW w:w="309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5"/>
                <w:szCs w:val="15"/>
              </w:rPr>
              <w:t>Administrator "manage candidate records" (ADM-F-020) means view and correct record fields, with each change audited.</w:t>
            </w:r>
          </w:p>
        </w:tc>
        <w:tc>
          <w:tcPr>
            <w:tcW w:w="2701"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5"/>
                <w:szCs w:val="15"/>
              </w:rPr>
              <w:t>ADM-F-020 does not define "manage".</w:t>
            </w:r>
          </w:p>
        </w:tc>
        <w:tc>
          <w:tcPr>
            <w:tcW w:w="2538"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5"/>
                <w:szCs w:val="15"/>
              </w:rPr>
              <w:t>PUT /admin/candidates/{id}; Admin Module.</w:t>
            </w:r>
          </w:p>
        </w:tc>
      </w:tr>
      <w:tr>
        <w:trPr/>
        <w:tc>
          <w:tcPr>
            <w:tcW w:w="13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bCs/>
                <w:sz w:val="15"/>
                <w:szCs w:val="15"/>
              </w:rPr>
              <w:t>A-19</w:t>
            </w:r>
          </w:p>
        </w:tc>
        <w:tc>
          <w:tcPr>
            <w:tcW w:w="309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5"/>
                <w:szCs w:val="15"/>
              </w:rPr>
              <w:t>The maximum upload size is a configuration value to be agreed by the team.</w:t>
            </w:r>
          </w:p>
        </w:tc>
        <w:tc>
          <w:tcPr>
            <w:tcW w:w="2701"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5"/>
                <w:szCs w:val="15"/>
              </w:rPr>
              <w:t>ADM-F-006 requires a size limit but gives no value.</w:t>
            </w:r>
          </w:p>
        </w:tc>
        <w:tc>
          <w:tcPr>
            <w:tcW w:w="2538"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5"/>
                <w:szCs w:val="15"/>
              </w:rPr>
              <w:t>Document Module validation reads the configured limit.</w:t>
            </w:r>
          </w:p>
        </w:tc>
      </w:tr>
      <w:tr>
        <w:trPr/>
        <w:tc>
          <w:tcPr>
            <w:tcW w:w="13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bCs/>
                <w:sz w:val="15"/>
                <w:szCs w:val="15"/>
              </w:rPr>
              <w:t>A-20</w:t>
            </w:r>
          </w:p>
        </w:tc>
        <w:tc>
          <w:tcPr>
            <w:tcW w:w="309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5"/>
                <w:szCs w:val="15"/>
              </w:rPr>
              <w:t>The REST API uses base path /api/v1, JSON bodies, session cookie and the error body {status, error, message}.</w:t>
            </w:r>
          </w:p>
        </w:tc>
        <w:tc>
          <w:tcPr>
            <w:tcW w:w="2701"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5"/>
                <w:szCs w:val="15"/>
              </w:rPr>
              <w:t>The SRS gives no API conventions.</w:t>
            </w:r>
          </w:p>
        </w:tc>
        <w:tc>
          <w:tcPr>
            <w:tcW w:w="2538"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5"/>
                <w:szCs w:val="15"/>
              </w:rPr>
              <w:t>Section 4.3.</w:t>
            </w:r>
          </w:p>
        </w:tc>
      </w:tr>
      <w:tr>
        <w:trPr/>
        <w:tc>
          <w:tcPr>
            <w:tcW w:w="13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bCs/>
                <w:sz w:val="15"/>
                <w:szCs w:val="15"/>
              </w:rPr>
              <w:t>A-21</w:t>
            </w:r>
          </w:p>
        </w:tc>
        <w:tc>
          <w:tcPr>
            <w:tcW w:w="309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5"/>
                <w:szCs w:val="15"/>
              </w:rPr>
              <w:t>Monitoring is lightweight: logged response times and run duration, a post-run consistency check and a health-check endpoint; the application log excludes passwords and personal details.</w:t>
            </w:r>
          </w:p>
        </w:tc>
        <w:tc>
          <w:tcPr>
            <w:tcW w:w="2701"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5"/>
                <w:szCs w:val="15"/>
              </w:rPr>
              <w:t>The SRS gives no logging or monitoring requirements beyond audit logging and measurable NFRs.</w:t>
            </w:r>
          </w:p>
        </w:tc>
        <w:tc>
          <w:tcPr>
            <w:tcW w:w="2538"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5"/>
                <w:szCs w:val="15"/>
              </w:rPr>
              <w:t>Section 4.4.</w:t>
            </w:r>
          </w:p>
        </w:tc>
      </w:tr>
      <w:tr>
        <w:trPr/>
        <w:tc>
          <w:tcPr>
            <w:tcW w:w="1300"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bCs/>
                <w:sz w:val="15"/>
                <w:szCs w:val="15"/>
              </w:rPr>
              <w:t>A-22</w:t>
            </w:r>
          </w:p>
        </w:tc>
        <w:tc>
          <w:tcPr>
            <w:tcW w:w="309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5"/>
                <w:szCs w:val="15"/>
              </w:rPr>
              <w:t>The candidate UI uses a guided step tracker, confirmation prompts for irreversible actions and basic accessibility practices.</w:t>
            </w:r>
          </w:p>
        </w:tc>
        <w:tc>
          <w:tcPr>
            <w:tcW w:w="2701"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5"/>
                <w:szCs w:val="15"/>
              </w:rPr>
              <w:t>ADM-NFR-004 requires first-time usability without defining UI patterns; the SRS has no accessibility requirement.</w:t>
            </w:r>
          </w:p>
        </w:tc>
        <w:tc>
          <w:tcPr>
            <w:tcW w:w="2538"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5"/>
                <w:szCs w:val="15"/>
              </w:rPr>
              <w:t>Section 4.5; no extra modules.</w:t>
            </w:r>
          </w:p>
        </w:tc>
      </w:tr>
    </w:tbl>
    <w:p>
      <w:pPr>
        <w:pStyle w:val="Normal"/>
        <w:spacing w:before="0" w:after="40"/>
        <w:rPr/>
      </w:pPr>
      <w:r>
        <w:rPr/>
      </w:r>
    </w:p>
    <w:p>
      <w:pPr>
        <w:pStyle w:val="Heading2"/>
        <w:rPr/>
      </w:pPr>
      <w:r>
        <w:rPr>
          <w:rFonts w:eastAsia="Arial" w:cs="Arial" w:ascii="Arial" w:hAnsi="Arial"/>
        </w:rPr>
        <w:t>3.11 Conflicts / Inconsistencies</w:t>
      </w:r>
    </w:p>
    <w:p>
      <w:pPr>
        <w:pStyle w:val="Normal"/>
        <w:spacing w:before="0" w:after="70"/>
        <w:rPr/>
      </w:pPr>
      <w:r>
        <w:rPr>
          <w:rFonts w:eastAsia="Arial" w:cs="Arial"/>
          <w:sz w:val="20"/>
          <w:szCs w:val="20"/>
        </w:rPr>
        <w:t>"Brief" means the instructions given to the team for producing this SAD. Rows C-01 to C-08 are conflicts between the brief and the SRS; the SRS prevails (section 2.3). Rows C-09 to C-13 are ambiguities inside the SRS itself.</w:t>
      </w:r>
    </w:p>
    <w:tbl>
      <w:tblPr>
        <w:tblW w:w="9638" w:type="dxa"/>
        <w:jc w:val="start"/>
        <w:tblInd w:w="0" w:type="dxa"/>
        <w:tblLayout w:type="fixed"/>
        <w:tblCellMar>
          <w:top w:w="25" w:type="dxa"/>
          <w:start w:w="70" w:type="dxa"/>
          <w:bottom w:w="25" w:type="dxa"/>
          <w:end w:w="70" w:type="dxa"/>
        </w:tblCellMar>
      </w:tblPr>
      <w:tblGrid>
        <w:gridCol w:w="799"/>
        <w:gridCol w:w="2601"/>
        <w:gridCol w:w="1499"/>
        <w:gridCol w:w="1701"/>
        <w:gridCol w:w="3038"/>
      </w:tblGrid>
      <w:tr>
        <w:trPr>
          <w:tblHeader w:val="true"/>
        </w:trPr>
        <w:tc>
          <w:tcPr>
            <w:tcW w:w="799" w:type="dxa"/>
            <w:tcBorders>
              <w:top w:val="single" w:sz="4" w:space="0" w:color="A6A6A6"/>
              <w:start w:val="single" w:sz="4" w:space="0" w:color="A6A6A6"/>
              <w:bottom w:val="single" w:sz="4" w:space="0" w:color="A6A6A6"/>
              <w:end w:val="single" w:sz="4" w:space="0" w:color="A6A6A6"/>
            </w:tcBorders>
            <w:shd w:color="auto" w:fill="D9E2F3" w:val="clear"/>
          </w:tcPr>
          <w:p>
            <w:pPr>
              <w:pStyle w:val="Normal"/>
              <w:spacing w:before="0" w:after="10"/>
              <w:rPr/>
            </w:pPr>
            <w:r>
              <w:rPr>
                <w:rFonts w:eastAsia="Arial" w:cs="Arial"/>
                <w:b/>
                <w:bCs/>
                <w:sz w:val="15"/>
                <w:szCs w:val="15"/>
              </w:rPr>
              <w:t>Conflict ID</w:t>
            </w:r>
          </w:p>
        </w:tc>
        <w:tc>
          <w:tcPr>
            <w:tcW w:w="2601" w:type="dxa"/>
            <w:tcBorders>
              <w:top w:val="single" w:sz="4" w:space="0" w:color="A6A6A6"/>
              <w:start w:val="single" w:sz="4" w:space="0" w:color="A6A6A6"/>
              <w:bottom w:val="single" w:sz="4" w:space="0" w:color="A6A6A6"/>
              <w:end w:val="single" w:sz="4" w:space="0" w:color="A6A6A6"/>
            </w:tcBorders>
            <w:shd w:color="auto" w:fill="D9E2F3" w:val="clear"/>
          </w:tcPr>
          <w:p>
            <w:pPr>
              <w:pStyle w:val="Normal"/>
              <w:spacing w:before="0" w:after="10"/>
              <w:rPr/>
            </w:pPr>
            <w:r>
              <w:rPr>
                <w:rFonts w:eastAsia="Arial" w:cs="Arial"/>
                <w:b/>
                <w:bCs/>
                <w:sz w:val="15"/>
                <w:szCs w:val="15"/>
              </w:rPr>
              <w:t>Conflict / Inconsistency</w:t>
            </w:r>
          </w:p>
        </w:tc>
        <w:tc>
          <w:tcPr>
            <w:tcW w:w="1499" w:type="dxa"/>
            <w:tcBorders>
              <w:top w:val="single" w:sz="4" w:space="0" w:color="A6A6A6"/>
              <w:start w:val="single" w:sz="4" w:space="0" w:color="A6A6A6"/>
              <w:bottom w:val="single" w:sz="4" w:space="0" w:color="A6A6A6"/>
              <w:end w:val="single" w:sz="4" w:space="0" w:color="A6A6A6"/>
            </w:tcBorders>
            <w:shd w:color="auto" w:fill="D9E2F3" w:val="clear"/>
          </w:tcPr>
          <w:p>
            <w:pPr>
              <w:pStyle w:val="Normal"/>
              <w:spacing w:before="0" w:after="10"/>
              <w:rPr/>
            </w:pPr>
            <w:r>
              <w:rPr>
                <w:rFonts w:eastAsia="Arial" w:cs="Arial"/>
                <w:b/>
                <w:bCs/>
                <w:sz w:val="15"/>
                <w:szCs w:val="15"/>
              </w:rPr>
              <w:t>Source 1</w:t>
            </w:r>
          </w:p>
        </w:tc>
        <w:tc>
          <w:tcPr>
            <w:tcW w:w="1701" w:type="dxa"/>
            <w:tcBorders>
              <w:top w:val="single" w:sz="4" w:space="0" w:color="A6A6A6"/>
              <w:start w:val="single" w:sz="4" w:space="0" w:color="A6A6A6"/>
              <w:bottom w:val="single" w:sz="4" w:space="0" w:color="A6A6A6"/>
              <w:end w:val="single" w:sz="4" w:space="0" w:color="A6A6A6"/>
            </w:tcBorders>
            <w:shd w:color="auto" w:fill="D9E2F3" w:val="clear"/>
          </w:tcPr>
          <w:p>
            <w:pPr>
              <w:pStyle w:val="Normal"/>
              <w:spacing w:before="0" w:after="10"/>
              <w:rPr/>
            </w:pPr>
            <w:r>
              <w:rPr>
                <w:rFonts w:eastAsia="Arial" w:cs="Arial"/>
                <w:b/>
                <w:bCs/>
                <w:sz w:val="15"/>
                <w:szCs w:val="15"/>
              </w:rPr>
              <w:t>Source 2</w:t>
            </w:r>
          </w:p>
        </w:tc>
        <w:tc>
          <w:tcPr>
            <w:tcW w:w="3038" w:type="dxa"/>
            <w:tcBorders>
              <w:top w:val="single" w:sz="4" w:space="0" w:color="A6A6A6"/>
              <w:start w:val="single" w:sz="4" w:space="0" w:color="A6A6A6"/>
              <w:bottom w:val="single" w:sz="4" w:space="0" w:color="A6A6A6"/>
              <w:end w:val="single" w:sz="4" w:space="0" w:color="A6A6A6"/>
            </w:tcBorders>
            <w:shd w:color="auto" w:fill="D9E2F3" w:val="clear"/>
          </w:tcPr>
          <w:p>
            <w:pPr>
              <w:pStyle w:val="Normal"/>
              <w:spacing w:before="0" w:after="10"/>
              <w:rPr/>
            </w:pPr>
            <w:r>
              <w:rPr>
                <w:rFonts w:eastAsia="Arial" w:cs="Arial"/>
                <w:b/>
                <w:bCs/>
                <w:sz w:val="15"/>
                <w:szCs w:val="15"/>
              </w:rPr>
              <w:t>Design Handling</w:t>
            </w:r>
          </w:p>
        </w:tc>
      </w:tr>
      <w:tr>
        <w:trPr/>
        <w:tc>
          <w:tcPr>
            <w:tcW w:w="79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bCs/>
                <w:sz w:val="15"/>
                <w:szCs w:val="15"/>
              </w:rPr>
              <w:t>C-01</w:t>
            </w:r>
          </w:p>
        </w:tc>
        <w:tc>
          <w:tcPr>
            <w:tcW w:w="2601"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5"/>
                <w:szCs w:val="15"/>
              </w:rPr>
              <w:t>KEA/COMEDK score and rank import / API expected, but the SRS excludes real integration and uses mock/seeded data.</w:t>
            </w:r>
          </w:p>
        </w:tc>
        <w:tc>
          <w:tcPr>
            <w:tcW w:w="149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5"/>
                <w:szCs w:val="15"/>
              </w:rPr>
              <w:t>Brief (external systems, score import)</w:t>
            </w:r>
          </w:p>
        </w:tc>
        <w:tc>
          <w:tcPr>
            <w:tcW w:w="1701"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5"/>
                <w:szCs w:val="15"/>
              </w:rPr>
              <w:t>SRS 1.2, 2.1, 2.5, 3.3</w:t>
            </w:r>
          </w:p>
        </w:tc>
        <w:tc>
          <w:tcPr>
            <w:tcW w:w="3038"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5"/>
                <w:szCs w:val="15"/>
              </w:rPr>
              <w:t>SRS prevails. No external API designed; seeded exam data is held in the Relational Database; Figure 1 shows no external systems.</w:t>
            </w:r>
          </w:p>
        </w:tc>
      </w:tr>
      <w:tr>
        <w:trPr/>
        <w:tc>
          <w:tcPr>
            <w:tcW w:w="79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bCs/>
                <w:sz w:val="15"/>
                <w:szCs w:val="15"/>
              </w:rPr>
              <w:t>C-02</w:t>
            </w:r>
          </w:p>
        </w:tc>
        <w:tc>
          <w:tcPr>
            <w:tcW w:w="2601"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5"/>
                <w:szCs w:val="15"/>
              </w:rPr>
              <w:t>Fee payment, receipts and a payment gateway expected, but the SRS excludes payment functionality, real or simulated.</w:t>
            </w:r>
          </w:p>
        </w:tc>
        <w:tc>
          <w:tcPr>
            <w:tcW w:w="149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5"/>
                <w:szCs w:val="15"/>
              </w:rPr>
              <w:t>Brief (payment, receipts)</w:t>
            </w:r>
          </w:p>
        </w:tc>
        <w:tc>
          <w:tcPr>
            <w:tcW w:w="1701"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5"/>
                <w:szCs w:val="15"/>
              </w:rPr>
              <w:t>SRS 1.2, 2.5, Assumptions</w:t>
            </w:r>
          </w:p>
        </w:tc>
        <w:tc>
          <w:tcPr>
            <w:tcW w:w="3038"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5"/>
                <w:szCs w:val="15"/>
              </w:rPr>
              <w:t>SRS prevails. No payment module, API or sequence step; the flow ends at the seat decision (ADM-F-019).</w:t>
            </w:r>
          </w:p>
        </w:tc>
      </w:tr>
      <w:tr>
        <w:trPr/>
        <w:tc>
          <w:tcPr>
            <w:tcW w:w="79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bCs/>
                <w:sz w:val="15"/>
                <w:szCs w:val="15"/>
              </w:rPr>
              <w:t>C-03</w:t>
            </w:r>
          </w:p>
        </w:tc>
        <w:tc>
          <w:tcPr>
            <w:tcW w:w="2601"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5"/>
                <w:szCs w:val="15"/>
              </w:rPr>
              <w:t>OCR-assisted document checking expected, but the SRS requires manual administrator verification only.</w:t>
            </w:r>
          </w:p>
        </w:tc>
        <w:tc>
          <w:tcPr>
            <w:tcW w:w="149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5"/>
                <w:szCs w:val="15"/>
              </w:rPr>
              <w:t>Brief (OCR)</w:t>
            </w:r>
          </w:p>
        </w:tc>
        <w:tc>
          <w:tcPr>
            <w:tcW w:w="1701"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5"/>
                <w:szCs w:val="15"/>
              </w:rPr>
              <w:t>SRS 1.2, ADM-F-007, Assumptions</w:t>
            </w:r>
          </w:p>
        </w:tc>
        <w:tc>
          <w:tcPr>
            <w:tcW w:w="3038"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5"/>
                <w:szCs w:val="15"/>
              </w:rPr>
              <w:t>SRS prevails. Manual approve/reject only (SD-2); no OCR component.</w:t>
            </w:r>
          </w:p>
        </w:tc>
      </w:tr>
      <w:tr>
        <w:trPr/>
        <w:tc>
          <w:tcPr>
            <w:tcW w:w="79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bCs/>
                <w:sz w:val="15"/>
                <w:szCs w:val="15"/>
              </w:rPr>
              <w:t>C-04</w:t>
            </w:r>
          </w:p>
        </w:tc>
        <w:tc>
          <w:tcPr>
            <w:tcW w:w="2601"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5"/>
                <w:szCs w:val="15"/>
              </w:rPr>
              <w:t>OTP verification and SMS/e-mail notifications expected, but SRS login is e-mail/mobile plus password and no external or in-app notification channel exists.</w:t>
            </w:r>
          </w:p>
        </w:tc>
        <w:tc>
          <w:tcPr>
            <w:tcW w:w="149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5"/>
                <w:szCs w:val="15"/>
              </w:rPr>
              <w:t>Brief (OTP, SMS/e-mail)</w:t>
            </w:r>
          </w:p>
        </w:tc>
        <w:tc>
          <w:tcPr>
            <w:tcW w:w="1701"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5"/>
                <w:szCs w:val="15"/>
              </w:rPr>
              <w:t>SRS ADM-F-001, ADM-F-002, 1.2, 3.3, 3.4</w:t>
            </w:r>
          </w:p>
        </w:tc>
        <w:tc>
          <w:tcPr>
            <w:tcW w:w="3038"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5"/>
                <w:szCs w:val="15"/>
              </w:rPr>
              <w:t>SRS prevails. No OTP step (SD-1) and no notification component; candidates see status after logging in.</w:t>
            </w:r>
          </w:p>
        </w:tc>
      </w:tr>
      <w:tr>
        <w:trPr/>
        <w:tc>
          <w:tcPr>
            <w:tcW w:w="79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bCs/>
                <w:sz w:val="15"/>
                <w:szCs w:val="15"/>
              </w:rPr>
              <w:t>C-05</w:t>
            </w:r>
          </w:p>
        </w:tc>
        <w:tc>
          <w:tcPr>
            <w:tcW w:w="2601"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5"/>
                <w:szCs w:val="15"/>
              </w:rPr>
              <w:t>Multiple counselling rounds, mock and final allotment, seat freeze/float, college reporting, grievance/helpdesk and MIS/analytics export expected, but the SRS defines a single allotment cycle with accept/reject only.</w:t>
            </w:r>
          </w:p>
        </w:tc>
        <w:tc>
          <w:tcPr>
            <w:tcW w:w="149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5"/>
                <w:szCs w:val="15"/>
              </w:rPr>
              <w:t>Brief (functions list)</w:t>
            </w:r>
          </w:p>
        </w:tc>
        <w:tc>
          <w:tcPr>
            <w:tcW w:w="1701"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5"/>
                <w:szCs w:val="15"/>
              </w:rPr>
              <w:t>SRS 1.2, 2.2, ADM-F-015 to ADM-F-019</w:t>
            </w:r>
          </w:p>
        </w:tc>
        <w:tc>
          <w:tcPr>
            <w:tcW w:w="3038"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5"/>
                <w:szCs w:val="15"/>
              </w:rPr>
              <w:t>SRS prevails. None designed. Multiple rounds appear only as a possible future enhancement (4.6), as in the SRS.</w:t>
            </w:r>
          </w:p>
        </w:tc>
      </w:tr>
      <w:tr>
        <w:trPr/>
        <w:tc>
          <w:tcPr>
            <w:tcW w:w="79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bCs/>
                <w:sz w:val="15"/>
                <w:szCs w:val="15"/>
              </w:rPr>
              <w:t>C-06</w:t>
            </w:r>
          </w:p>
        </w:tc>
        <w:tc>
          <w:tcPr>
            <w:tcW w:w="2601"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5"/>
                <w:szCs w:val="15"/>
              </w:rPr>
              <w:t>MFA, AES-256 at rest, TLS 1.2+ and immutable audit logs expected, but the SRS requires password authentication, HTTPS/TLS (no version), salted hashes and an audit log not editable through the standard UI.</w:t>
            </w:r>
          </w:p>
        </w:tc>
        <w:tc>
          <w:tcPr>
            <w:tcW w:w="149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5"/>
                <w:szCs w:val="15"/>
              </w:rPr>
              <w:t>Brief (security list)</w:t>
            </w:r>
          </w:p>
        </w:tc>
        <w:tc>
          <w:tcPr>
            <w:tcW w:w="1701"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5"/>
                <w:szCs w:val="15"/>
              </w:rPr>
              <w:t>SRS SEC-F-001 to SEC-F-005</w:t>
            </w:r>
          </w:p>
        </w:tc>
        <w:tc>
          <w:tcPr>
            <w:tcW w:w="3038"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5"/>
                <w:szCs w:val="15"/>
              </w:rPr>
              <w:t>SRS prevails. Only SEC-F-001 to SEC-F-005 are designed. TLS details are A-16; audit log design is A-17. MFA and encryption at rest are not designed.</w:t>
            </w:r>
          </w:p>
        </w:tc>
      </w:tr>
      <w:tr>
        <w:trPr/>
        <w:tc>
          <w:tcPr>
            <w:tcW w:w="79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bCs/>
                <w:sz w:val="15"/>
                <w:szCs w:val="15"/>
              </w:rPr>
              <w:t>C-07</w:t>
            </w:r>
          </w:p>
        </w:tc>
        <w:tc>
          <w:tcPr>
            <w:tcW w:w="2601"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5"/>
                <w:szCs w:val="15"/>
              </w:rPr>
              <w:t>Availability, data retention, accessibility (Kannada, screen reader, high contrast) and large-scale performance expected, but the SRS defines five NFRs for a small dataset and none of these.</w:t>
            </w:r>
          </w:p>
        </w:tc>
        <w:tc>
          <w:tcPr>
            <w:tcW w:w="149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5"/>
                <w:szCs w:val="15"/>
              </w:rPr>
              <w:t>Brief (NFR list)</w:t>
            </w:r>
          </w:p>
        </w:tc>
        <w:tc>
          <w:tcPr>
            <w:tcW w:w="1701"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5"/>
                <w:szCs w:val="15"/>
              </w:rPr>
              <w:t>SRS 2.5, 5</w:t>
            </w:r>
          </w:p>
        </w:tc>
        <w:tc>
          <w:tcPr>
            <w:tcW w:w="3038"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5"/>
                <w:szCs w:val="15"/>
              </w:rPr>
              <w:t>SRS prevails. Only ADM-NFR-001 to ADM-NFR-005 are designed. Basic accessibility practice is A-22 and is not a requirement.</w:t>
            </w:r>
          </w:p>
        </w:tc>
      </w:tr>
      <w:tr>
        <w:trPr/>
        <w:tc>
          <w:tcPr>
            <w:tcW w:w="79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bCs/>
                <w:sz w:val="15"/>
                <w:szCs w:val="15"/>
              </w:rPr>
              <w:t>C-08</w:t>
            </w:r>
          </w:p>
        </w:tc>
        <w:tc>
          <w:tcPr>
            <w:tcW w:w="2601"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5"/>
                <w:szCs w:val="15"/>
              </w:rPr>
              <w:t>Requirement IDs named in the brief (ADM-NF-001, PRJ-SR-001) do not exist in the SRS.</w:t>
            </w:r>
          </w:p>
        </w:tc>
        <w:tc>
          <w:tcPr>
            <w:tcW w:w="149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5"/>
                <w:szCs w:val="15"/>
              </w:rPr>
              <w:t>Brief (traceability IDs)</w:t>
            </w:r>
          </w:p>
        </w:tc>
        <w:tc>
          <w:tcPr>
            <w:tcW w:w="1701"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5"/>
                <w:szCs w:val="15"/>
              </w:rPr>
              <w:t>SRS 5, 5.1.2, 8</w:t>
            </w:r>
          </w:p>
        </w:tc>
        <w:tc>
          <w:tcPr>
            <w:tcW w:w="3038"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5"/>
                <w:szCs w:val="15"/>
              </w:rPr>
              <w:t>SRS IDs (ADM-NFR-xxx, SEC-F-xxx) are used unchanged in section 3.8.</w:t>
            </w:r>
          </w:p>
        </w:tc>
      </w:tr>
      <w:tr>
        <w:trPr/>
        <w:tc>
          <w:tcPr>
            <w:tcW w:w="79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bCs/>
                <w:sz w:val="15"/>
                <w:szCs w:val="15"/>
              </w:rPr>
              <w:t>C-09</w:t>
            </w:r>
          </w:p>
        </w:tc>
        <w:tc>
          <w:tcPr>
            <w:tcW w:w="2601"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5"/>
                <w:szCs w:val="15"/>
              </w:rPr>
              <w:t>The administrator use-case diagram shows "Verify Eligibility", but no functional requirement describes manual eligibility verification; ADM-F-009 is automatic.</w:t>
            </w:r>
          </w:p>
        </w:tc>
        <w:tc>
          <w:tcPr>
            <w:tcW w:w="149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5"/>
                <w:szCs w:val="15"/>
              </w:rPr>
              <w:t>SRS 7.2</w:t>
            </w:r>
          </w:p>
        </w:tc>
        <w:tc>
          <w:tcPr>
            <w:tcW w:w="1701"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5"/>
                <w:szCs w:val="15"/>
              </w:rPr>
              <w:t>SRS ADM-F-009</w:t>
            </w:r>
          </w:p>
        </w:tc>
        <w:tc>
          <w:tcPr>
            <w:tcW w:w="3038"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5"/>
                <w:szCs w:val="15"/>
              </w:rPr>
              <w:t>Eligibility is automatic; the Administrator sees status and can edit rules and documents. No manual override designed. Requires clarification from project stakeholders.</w:t>
            </w:r>
          </w:p>
        </w:tc>
      </w:tr>
      <w:tr>
        <w:trPr/>
        <w:tc>
          <w:tcPr>
            <w:tcW w:w="79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bCs/>
                <w:sz w:val="15"/>
                <w:szCs w:val="15"/>
              </w:rPr>
              <w:t>C-10</w:t>
            </w:r>
          </w:p>
        </w:tc>
        <w:tc>
          <w:tcPr>
            <w:tcW w:w="2601"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5"/>
                <w:szCs w:val="15"/>
              </w:rPr>
              <w:t>ADM-F-003 says the candidate enters rank, category and score, but exam data is seeded and TC-003 stores values for a matching seeded record; it is unclear whether entered values are trusted.</w:t>
            </w:r>
          </w:p>
        </w:tc>
        <w:tc>
          <w:tcPr>
            <w:tcW w:w="149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5"/>
                <w:szCs w:val="15"/>
              </w:rPr>
              <w:t>SRS ADM-F-003</w:t>
            </w:r>
          </w:p>
        </w:tc>
        <w:tc>
          <w:tcPr>
            <w:tcW w:w="1701"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5"/>
                <w:szCs w:val="15"/>
              </w:rPr>
              <w:t>SRS 1.2, TC-003</w:t>
            </w:r>
          </w:p>
        </w:tc>
        <w:tc>
          <w:tcPr>
            <w:tcW w:w="3038"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5"/>
                <w:szCs w:val="15"/>
              </w:rPr>
              <w:t>Handled by A-09 (values come from the matching seeded record). Requires clarification from project stakeholders.</w:t>
            </w:r>
          </w:p>
        </w:tc>
      </w:tr>
      <w:tr>
        <w:trPr/>
        <w:tc>
          <w:tcPr>
            <w:tcW w:w="79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bCs/>
                <w:sz w:val="15"/>
                <w:szCs w:val="15"/>
              </w:rPr>
              <w:t>C-11</w:t>
            </w:r>
          </w:p>
        </w:tc>
        <w:tc>
          <w:tcPr>
            <w:tcW w:w="2601"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5"/>
                <w:szCs w:val="15"/>
              </w:rPr>
              <w:t>ADM-F-015 allocates the first preference "that is eligible", but eligibility (ADM-F-009) is a candidate-level status; per-preference eligibility is undefined.</w:t>
            </w:r>
          </w:p>
        </w:tc>
        <w:tc>
          <w:tcPr>
            <w:tcW w:w="149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5"/>
                <w:szCs w:val="15"/>
              </w:rPr>
              <w:t>SRS ADM-F-015</w:t>
            </w:r>
          </w:p>
        </w:tc>
        <w:tc>
          <w:tcPr>
            <w:tcW w:w="1701"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5"/>
                <w:szCs w:val="15"/>
              </w:rPr>
              <w:t>SRS ADM-F-009</w:t>
            </w:r>
          </w:p>
        </w:tc>
        <w:tc>
          <w:tcPr>
            <w:tcW w:w="3038"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5"/>
                <w:szCs w:val="15"/>
              </w:rPr>
              <w:t>Candidate must be Eligible and the seat row matches the candidate's category (A-11). Requires clarification from project stakeholders.</w:t>
            </w:r>
          </w:p>
        </w:tc>
      </w:tr>
      <w:tr>
        <w:trPr/>
        <w:tc>
          <w:tcPr>
            <w:tcW w:w="79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bCs/>
                <w:sz w:val="15"/>
                <w:szCs w:val="15"/>
              </w:rPr>
              <w:t>C-12</w:t>
            </w:r>
          </w:p>
        </w:tc>
        <w:tc>
          <w:tcPr>
            <w:tcW w:w="2601"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5"/>
                <w:szCs w:val="15"/>
              </w:rPr>
              <w:t>"Single allotment cycle" versus an Administrator "Run Allotment" action: whether a run can be repeated is not stated.</w:t>
            </w:r>
          </w:p>
        </w:tc>
        <w:tc>
          <w:tcPr>
            <w:tcW w:w="149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5"/>
                <w:szCs w:val="15"/>
              </w:rPr>
              <w:t>SRS 1.2, glossary</w:t>
            </w:r>
          </w:p>
        </w:tc>
        <w:tc>
          <w:tcPr>
            <w:tcW w:w="1701"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5"/>
                <w:szCs w:val="15"/>
              </w:rPr>
              <w:t>SRS ADM-F-015, ADM-F-017</w:t>
            </w:r>
          </w:p>
        </w:tc>
        <w:tc>
          <w:tcPr>
            <w:tcW w:w="3038"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5"/>
                <w:szCs w:val="15"/>
              </w:rPr>
              <w:t>Handled by A-13. Requires clarification from project stakeholders.</w:t>
            </w:r>
          </w:p>
        </w:tc>
      </w:tr>
      <w:tr>
        <w:trPr/>
        <w:tc>
          <w:tcPr>
            <w:tcW w:w="79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bCs/>
                <w:sz w:val="15"/>
                <w:szCs w:val="15"/>
              </w:rPr>
              <w:t>C-13</w:t>
            </w:r>
          </w:p>
        </w:tc>
        <w:tc>
          <w:tcPr>
            <w:tcW w:w="2601"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5"/>
                <w:szCs w:val="15"/>
              </w:rPr>
              <w:t>Seat availability updates "after each allotment run" (ADM-F-011) but "immediately after each allocation" (ADM-F-015).</w:t>
            </w:r>
          </w:p>
        </w:tc>
        <w:tc>
          <w:tcPr>
            <w:tcW w:w="1499"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5"/>
                <w:szCs w:val="15"/>
              </w:rPr>
              <w:t>SRS ADM-F-011</w:t>
            </w:r>
          </w:p>
        </w:tc>
        <w:tc>
          <w:tcPr>
            <w:tcW w:w="1701"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5"/>
                <w:szCs w:val="15"/>
              </w:rPr>
              <w:t>SRS ADM-F-015</w:t>
            </w:r>
          </w:p>
        </w:tc>
        <w:tc>
          <w:tcPr>
            <w:tcW w:w="3038" w:type="dxa"/>
            <w:tcBorders>
              <w:top w:val="single" w:sz="4" w:space="0" w:color="A6A6A6"/>
              <w:start w:val="single" w:sz="4" w:space="0" w:color="A6A6A6"/>
              <w:bottom w:val="single" w:sz="4" w:space="0" w:color="A6A6A6"/>
              <w:end w:val="single" w:sz="4" w:space="0" w:color="A6A6A6"/>
            </w:tcBorders>
          </w:tcPr>
          <w:p>
            <w:pPr>
              <w:pStyle w:val="Normal"/>
              <w:spacing w:before="0" w:after="10"/>
              <w:rPr/>
            </w:pPr>
            <w:r>
              <w:rPr>
                <w:rFonts w:eastAsia="Arial" w:cs="Arial"/>
                <w:b w:val="false"/>
                <w:bCs w:val="false"/>
                <w:sz w:val="15"/>
                <w:szCs w:val="15"/>
              </w:rPr>
              <w:t>Both satisfied: counts are reduced immediately inside the run transaction and become visible when it commits. No further action needed.</w:t>
            </w:r>
          </w:p>
        </w:tc>
      </w:tr>
    </w:tbl>
    <w:p>
      <w:pPr>
        <w:pStyle w:val="Normal"/>
        <w:spacing w:before="0" w:after="40"/>
        <w:rPr/>
      </w:pPr>
      <w:r>
        <w:rPr/>
      </w:r>
    </w:p>
    <w:p>
      <w:pPr>
        <w:pStyle w:val="Heading1"/>
        <w:rPr>
          <w:rFonts w:ascii="Arial" w:hAnsi="Arial" w:eastAsia="Arial" w:cs="Arial"/>
          <w:sz w:val="20"/>
          <w:szCs w:val="20"/>
        </w:rPr>
      </w:pPr>
      <w:r>
        <w:rPr/>
      </w:r>
    </w:p>
    <w:p>
      <w:pPr>
        <w:pStyle w:val="ListParagraph"/>
        <w:numPr>
          <w:ilvl w:val="0"/>
          <w:numId w:val="0"/>
        </w:numPr>
        <w:spacing w:before="0" w:after="30"/>
        <w:ind w:hanging="0" w:start="540"/>
        <w:rPr>
          <w:rFonts w:ascii="Arial" w:hAnsi="Arial" w:eastAsia="Arial" w:cs="Arial"/>
          <w:i/>
          <w:iCs/>
          <w:sz w:val="20"/>
          <w:szCs w:val="20"/>
        </w:rPr>
      </w:pPr>
      <w:r>
        <w:rPr/>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134" w:right="1134" w:gutter="0" w:header="708" w:top="1300" w:footer="708" w:bottom="120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roman"/>
    <w:pitch w:val="variable"/>
  </w:font>
  <w:font w:name="Arial">
    <w:charset w:val="01" w:characterSet="utf-8"/>
    <w:family w:val="swiss"/>
    <w:pitch w:val="variable"/>
  </w:font>
  <w:font w:name="Liberation Sans">
    <w:altName w:val="Arial"/>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Arial" w:cs="Arial"/>
        <w:color w:val="7F7F7F"/>
        <w:sz w:val="16"/>
        <w:szCs w:val="16"/>
      </w:rPr>
      <w:t xml:space="preserve">Version 1.1 | Draft | Page </w:t>
    </w:r>
    <w:r>
      <w:rPr>
        <w:rFonts w:eastAsia="Arial" w:cs="Arial"/>
        <w:sz w:val="20"/>
        <w:szCs w:val="20"/>
      </w:rPr>
      <w:fldChar w:fldCharType="begin"/>
    </w:r>
    <w:r>
      <w:rPr>
        <w:rFonts w:eastAsia="Arial" w:cs="Arial"/>
        <w:sz w:val="20"/>
        <w:szCs w:val="20"/>
      </w:rPr>
      <w:instrText xml:space="preserve"> PAGE </w:instrText>
    </w:r>
    <w:r>
      <w:rPr>
        <w:rFonts w:eastAsia="Arial" w:cs="Arial"/>
        <w:sz w:val="20"/>
        <w:szCs w:val="20"/>
      </w:rPr>
      <w:fldChar w:fldCharType="separate"/>
    </w:r>
    <w:r>
      <w:rPr>
        <w:rFonts w:eastAsia="Arial" w:cs="Arial"/>
        <w:sz w:val="20"/>
        <w:szCs w:val="20"/>
      </w:rPr>
      <w:t>9</w:t>
    </w:r>
    <w:r>
      <w:rPr>
        <w:rFonts w:eastAsia="Arial" w:cs="Arial"/>
        <w:sz w:val="20"/>
        <w:szCs w:val="20"/>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Arial" w:cs="Arial"/>
        <w:color w:val="7F7F7F"/>
        <w:sz w:val="16"/>
        <w:szCs w:val="16"/>
      </w:rPr>
      <w:t xml:space="preserve">Version 1.1 | Draft | Page </w:t>
    </w:r>
    <w:r>
      <w:rPr>
        <w:rFonts w:eastAsia="Arial" w:cs="Arial"/>
        <w:sz w:val="20"/>
        <w:szCs w:val="20"/>
      </w:rPr>
      <w:fldChar w:fldCharType="begin"/>
    </w:r>
    <w:r>
      <w:rPr>
        <w:rFonts w:eastAsia="Arial" w:cs="Arial"/>
        <w:sz w:val="20"/>
        <w:szCs w:val="20"/>
      </w:rPr>
      <w:instrText xml:space="preserve"> PAGE </w:instrText>
    </w:r>
    <w:r>
      <w:rPr>
        <w:rFonts w:eastAsia="Arial" w:cs="Arial"/>
        <w:sz w:val="20"/>
        <w:szCs w:val="20"/>
      </w:rPr>
      <w:fldChar w:fldCharType="separate"/>
    </w:r>
    <w:r>
      <w:rPr>
        <w:rFonts w:eastAsia="Arial" w:cs="Arial"/>
        <w:sz w:val="20"/>
        <w:szCs w:val="20"/>
      </w:rPr>
      <w:t>9</w:t>
    </w:r>
    <w:r>
      <w:rPr>
        <w:rFonts w:eastAsia="Arial" w:cs="Arial"/>
        <w:sz w:val="20"/>
        <w:szCs w:val="20"/>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Fonts w:eastAsia="Arial" w:cs="Arial"/>
        <w:color w:val="7F7F7F"/>
        <w:sz w:val="16"/>
        <w:szCs w:val="16"/>
      </w:rPr>
      <w:t>SAD - Admission Management Platform</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Fonts w:eastAsia="Arial" w:cs="Arial"/>
        <w:color w:val="7F7F7F"/>
        <w:sz w:val="16"/>
        <w:szCs w:val="16"/>
      </w:rPr>
      <w:t>SAD - Admission Management Platform</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540" w:hanging="27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7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lang w:val="en-IN" w:eastAsia="zh-CN" w:bidi="hi-IN"/>
      </w:rPr>
    </w:rPrDefault>
    <w:pPrDefault>
      <w:pPr>
        <w:suppressAutoHyphens w:val="true"/>
      </w:pPr>
    </w:pPrDefault>
  </w:docDefaults>
  <w:style w:type="paragraph" w:styleId="Normal">
    <w:name w:val="Normal"/>
    <w:qFormat/>
    <w:pPr>
      <w:widowControl/>
      <w:bidi w:val="0"/>
      <w:spacing w:before="0" w:after="0"/>
      <w:jc w:val="start"/>
    </w:pPr>
    <w:rPr>
      <w:rFonts w:ascii="Arial" w:hAnsi="Arial" w:eastAsia="Arial" w:cs="Arial"/>
      <w:color w:val="auto"/>
      <w:kern w:val="0"/>
      <w:sz w:val="20"/>
      <w:szCs w:val="20"/>
      <w:lang w:val="en-IN" w:eastAsia="zh-CN" w:bidi="hi-IN"/>
    </w:rPr>
  </w:style>
  <w:style w:type="paragraph" w:styleId="Heading1">
    <w:name w:val="heading 1"/>
    <w:basedOn w:val="Heading"/>
    <w:qFormat/>
    <w:pPr>
      <w:spacing w:before="200" w:after="100"/>
      <w:outlineLvl w:val="0"/>
    </w:pPr>
    <w:rPr>
      <w:rFonts w:ascii="Arial" w:hAnsi="Arial" w:eastAsia="Arial" w:cs="Arial"/>
      <w:b/>
      <w:bCs/>
      <w:color w:val="1F3864"/>
      <w:sz w:val="32"/>
      <w:szCs w:val="32"/>
    </w:rPr>
  </w:style>
  <w:style w:type="paragraph" w:styleId="Heading2">
    <w:name w:val="heading 2"/>
    <w:basedOn w:val="Heading"/>
    <w:qFormat/>
    <w:pPr>
      <w:keepNext w:val="true"/>
      <w:spacing w:before="150" w:after="80"/>
      <w:outlineLvl w:val="1"/>
    </w:pPr>
    <w:rPr>
      <w:rFonts w:ascii="Arial" w:hAnsi="Arial" w:eastAsia="Arial" w:cs="Arial"/>
      <w:b/>
      <w:bCs/>
      <w:color w:val="2F5597"/>
      <w:sz w:val="26"/>
      <w:szCs w:val="26"/>
    </w:rPr>
  </w:style>
  <w:style w:type="paragraph" w:styleId="Heading3">
    <w:name w:val="heading 3"/>
    <w:basedOn w:val="Heading"/>
    <w:qFormat/>
    <w:pPr>
      <w:keepNext w:val="true"/>
      <w:spacing w:before="110" w:after="60"/>
      <w:outlineLvl w:val="2"/>
    </w:pPr>
    <w:rPr>
      <w:rFonts w:ascii="Arial" w:hAnsi="Arial" w:eastAsia="Arial" w:cs="Arial"/>
      <w:b/>
      <w:bCs/>
      <w:color w:val="404040"/>
      <w:sz w:val="22"/>
      <w:szCs w:val="22"/>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Arial" w:hAnsi="Arial" w:eastAsia="Arial" w:cs="Arial"/>
      <w:b/>
      <w:bCs/>
      <w:color w:val="auto"/>
      <w:kern w:val="0"/>
      <w:sz w:val="20"/>
      <w:szCs w:val="20"/>
      <w:lang w:val="en-IN" w:eastAsia="zh-CN" w:bidi="hi-IN"/>
    </w:rPr>
  </w:style>
  <w:style w:type="paragraph" w:styleId="ListParagraph">
    <w:name w:val="List Paragraph"/>
    <w:qFormat/>
    <w:pPr>
      <w:widowControl/>
      <w:bidi w:val="0"/>
      <w:spacing w:before="0" w:after="0"/>
      <w:jc w:val="start"/>
    </w:pPr>
    <w:rPr>
      <w:rFonts w:ascii="Arial" w:hAnsi="Arial" w:eastAsia="Arial" w:cs="Arial"/>
      <w:color w:val="auto"/>
      <w:kern w:val="0"/>
      <w:sz w:val="20"/>
      <w:szCs w:val="20"/>
      <w:lang w:val="en-IN"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28</TotalTime>
  <Application>LibreOffice/26.2.5.2$Linux_X86_64 LibreOffice_project/620$Build-2</Application>
  <AppVersion>15.0000</AppVersion>
  <Pages>9</Pages>
  <Words>4376</Words>
  <Characters>27468</Characters>
  <CharactersWithSpaces>31242</CharactersWithSpaces>
  <Paragraphs>588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2026-10-03T14:05:00Z</dcterms:created>
  <dc:creator>Team 5</dc:creator>
  <dc:description/>
  <dc:language>en-IN</dc:language>
  <cp:lastModifiedBy/>
  <dcterms:modified xsi:type="dcterms:W3CDTF">2026-10-03T21:51:44Z</dcterms:modified>
  <cp:revision>4</cp:revision>
  <dc:subject/>
  <dc:title>Software Architecture and Design Specification - Admission Management Platform</dc:title>
</cp:coreProperties>
</file>