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FF6600"/>
          <w:sz w:val="72"/>
          <w:szCs w:val="72"/>
        </w:rPr>
        <w:t xml:space="preserve">SWADHIKAR</w:t>
      </w:r>
    </w:p>
    <w:p>
      <w:pPr>
        <w:spacing w:before="0" w:after="60"/>
        <w:jc w:val="center"/>
      </w:pPr>
      <w:r>
        <w:rPr>
          <w:rFonts w:ascii="Arial" w:cs="Arial" w:eastAsia="Arial" w:hAnsi="Arial"/>
          <w:b/>
          <w:bCs/>
          <w:color w:val="2C2C54"/>
          <w:sz w:val="48"/>
          <w:szCs w:val="48"/>
        </w:rPr>
        <w:t xml:space="preserve">स्वाधिकार</w:t>
      </w:r>
    </w:p>
    <w:p>
      <w:pPr>
        <w:spacing w:before="0" w:after="200"/>
        <w:jc w:val="center"/>
      </w:pPr>
      <w:r>
        <w:rPr>
          <w:rFonts w:ascii="Arial" w:cs="Arial" w:eastAsia="Arial" w:hAnsi="Arial"/>
          <w:i/>
          <w:iCs/>
          <w:color w:val="666666"/>
          <w:sz w:val="26"/>
          <w:szCs w:val="26"/>
        </w:rPr>
        <w:t xml:space="preserve">Your Rights. Your Voice. Your Country.</w:t>
      </w:r>
    </w:p>
    <w:p>
      <w:pPr>
        <w:pBdr>
          <w:bottom w:val="single" w:color="FF6600" w:sz="6" w:space="1"/>
        </w:pBdr>
        <w:spacing w:before="0" w:after="400"/>
        <w:jc w:val="center"/>
      </w:pPr>
      <w:r>
        <w:rPr>
          <w:rFonts w:ascii="Arial" w:cs="Arial" w:eastAsia="Arial" w:hAnsi="Arial"/>
          <w:b/>
          <w:bCs/>
          <w:color w:val="1A1A2E"/>
          <w:sz w:val="28"/>
          <w:szCs w:val="28"/>
        </w:rPr>
        <w:t xml:space="preserve">Problem Statement &amp; Solution Description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8F0" w:val="clear"/>
            <w:tcMar>
              <w:top w:type="dxa" w:w="140"/>
              <w:left w:type="dxa" w:w="180"/>
              <w:bottom w:type="dxa" w:w="140"/>
              <w:right w:type="dxa" w:w="180"/>
            </w:tcMar>
          </w:tcPr>
          <w:p>
            <w:pPr>
              <w:jc w:val="center"/>
            </w:pPr>
            <w:r>
              <w:rPr>
                <w:rFonts w:ascii="Arial" w:cs="Arial" w:eastAsia="Arial" w:hAnsi="Arial"/>
                <w:b/>
                <w:bCs/>
                <w:color w:val="FF6600"/>
                <w:sz w:val="22"/>
                <w:szCs w:val="22"/>
              </w:rPr>
              <w:t xml:space="preserve">Legal Advisor</w:t>
            </w:r>
          </w:p>
          <w:p>
            <w:pPr>
              <w:jc w:val="center"/>
            </w:pPr>
            <w:r>
              <w:rPr>
                <w:rFonts w:ascii="Arial" w:cs="Arial" w:eastAsia="Arial" w:hAnsi="Arial"/>
                <w:color w:val="666666"/>
                <w:sz w:val="20"/>
                <w:szCs w:val="20"/>
              </w:rPr>
              <w:t xml:space="preserve">Know your rights</w:t>
            </w:r>
          </w:p>
        </w:tc>
        <w:tc>
          <w:tcPr>
            <w:tcW w:type="dxa" w:w="3120"/>
            <w:tcBorders>
              <w:top w:val="none" w:color="FFFFFF" w:sz="0"/>
              <w:left w:val="none" w:color="FFFFFF" w:sz="0"/>
              <w:bottom w:val="none" w:color="FFFFFF" w:sz="0"/>
              <w:right w:val="none" w:color="FFFFFF" w:sz="0"/>
            </w:tcBorders>
            <w:shd w:fill="FFF8F0" w:val="clear"/>
            <w:tcMar>
              <w:top w:type="dxa" w:w="140"/>
              <w:left w:type="dxa" w:w="180"/>
              <w:bottom w:type="dxa" w:w="140"/>
              <w:right w:type="dxa" w:w="180"/>
            </w:tcMar>
          </w:tcPr>
          <w:p>
            <w:pPr>
              <w:jc w:val="center"/>
            </w:pPr>
            <w:r>
              <w:rPr>
                <w:rFonts w:ascii="Arial" w:cs="Arial" w:eastAsia="Arial" w:hAnsi="Arial"/>
                <w:b/>
                <w:bCs/>
                <w:color w:val="FF6600"/>
                <w:sz w:val="22"/>
                <w:szCs w:val="22"/>
              </w:rPr>
              <w:t xml:space="preserve">Kisan Navigator</w:t>
            </w:r>
          </w:p>
          <w:p>
            <w:pPr>
              <w:jc w:val="center"/>
            </w:pPr>
            <w:r>
              <w:rPr>
                <w:rFonts w:ascii="Arial" w:cs="Arial" w:eastAsia="Arial" w:hAnsi="Arial"/>
                <w:color w:val="666666"/>
                <w:sz w:val="20"/>
                <w:szCs w:val="20"/>
              </w:rPr>
              <w:t xml:space="preserve">Claim what is yours</w:t>
            </w:r>
          </w:p>
        </w:tc>
        <w:tc>
          <w:tcPr>
            <w:tcW w:type="dxa" w:w="3120"/>
            <w:tcBorders>
              <w:top w:val="none" w:color="FFFFFF" w:sz="0"/>
              <w:left w:val="none" w:color="FFFFFF" w:sz="0"/>
              <w:bottom w:val="none" w:color="FFFFFF" w:sz="0"/>
              <w:right w:val="none" w:color="FFFFFF" w:sz="0"/>
            </w:tcBorders>
            <w:shd w:fill="FFF8F0" w:val="clear"/>
            <w:tcMar>
              <w:top w:type="dxa" w:w="140"/>
              <w:left w:type="dxa" w:w="180"/>
              <w:bottom w:type="dxa" w:w="140"/>
              <w:right w:type="dxa" w:w="180"/>
            </w:tcMar>
          </w:tcPr>
          <w:p>
            <w:pPr>
              <w:jc w:val="center"/>
            </w:pPr>
            <w:r>
              <w:rPr>
                <w:rFonts w:ascii="Arial" w:cs="Arial" w:eastAsia="Arial" w:hAnsi="Arial"/>
                <w:b/>
                <w:bCs/>
                <w:color w:val="FF6600"/>
                <w:sz w:val="22"/>
                <w:szCs w:val="22"/>
              </w:rPr>
              <w:t xml:space="preserve">Yojana Finder</w:t>
            </w:r>
          </w:p>
          <w:p>
            <w:pPr>
              <w:jc w:val="center"/>
            </w:pPr>
            <w:r>
              <w:rPr>
                <w:rFonts w:ascii="Arial" w:cs="Arial" w:eastAsia="Arial" w:hAnsi="Arial"/>
                <w:color w:val="666666"/>
                <w:sz w:val="20"/>
                <w:szCs w:val="20"/>
              </w:rPr>
              <w:t xml:space="preserve">Find every scheme</w:t>
            </w:r>
          </w:p>
        </w:tc>
      </w:tr>
    </w:tbl>
    <w:p>
      <w:pPr>
        <w:spacing w:before="480" w:after="0"/>
      </w:pPr>
      <w:r>
        <w:t xml:space="preserve"/>
      </w:r>
    </w:p>
    <w:p>
      <w:r>
        <w:br w:type="page"/>
      </w:r>
    </w:p>
    <w:p>
      <w:pPr>
        <w:pStyle w:val="Heading1"/>
        <w:spacing w:before="360" w:after="160"/>
      </w:pPr>
      <w:r>
        <w:rPr>
          <w:rFonts w:ascii="Arial" w:cs="Arial" w:eastAsia="Arial" w:hAnsi="Arial"/>
          <w:b/>
          <w:bCs/>
          <w:color w:val="1A1A2E"/>
          <w:sz w:val="32"/>
          <w:szCs w:val="32"/>
        </w:rPr>
        <w:t xml:space="preserve">Part 1 — Problem Statement</w:t>
      </w:r>
    </w:p>
    <w:p>
      <w:pPr>
        <w:pBdr>
          <w:bottom w:val="single" w:color="FF6600" w:sz="4" w:space="1"/>
        </w:pBdr>
        <w:spacing w:before="240" w:after="240"/>
      </w:pPr>
      <w:r>
        <w:t xml:space="preserve"/>
      </w:r>
    </w:p>
    <w:p>
      <w:pPr>
        <w:pStyle w:val="Heading2"/>
        <w:spacing w:before="280" w:after="120"/>
      </w:pPr>
      <w:r>
        <w:rPr>
          <w:rFonts w:ascii="Arial" w:cs="Arial" w:eastAsia="Arial" w:hAnsi="Arial"/>
          <w:b/>
          <w:bCs/>
          <w:color w:val="2C2C54"/>
          <w:sz w:val="26"/>
          <w:szCs w:val="26"/>
        </w:rPr>
        <w:t xml:space="preserve">1.1  What Problem Exists?</w:t>
      </w:r>
    </w:p>
    <w:p>
      <w:pPr>
        <w:spacing w:before="80" w:after="0"/>
      </w:pPr>
      <w:r>
        <w:t xml:space="preserve"/>
      </w:r>
    </w:p>
    <w:p>
      <w:pPr>
        <w:spacing w:before="80" w:after="100"/>
      </w:pPr>
      <w:r>
        <w:rPr>
          <w:rFonts w:ascii="Arial" w:cs="Arial" w:eastAsia="Arial" w:hAnsi="Arial"/>
          <w:color w:val="1A1A2E"/>
          <w:sz w:val="22"/>
          <w:szCs w:val="22"/>
        </w:rPr>
        <w:t xml:space="preserve">India is a country where rights exist on paper but remain invisible in practice. Across three critical domains — legal justice, agricultural welfare, and government schemes — the same crisis repeats itself: the information needed to claim what is rightfully yours is locked behind bureaucratic complexity, language barriers, and officials who profit from your ignorance.</w:t>
      </w:r>
    </w:p>
    <w:p>
      <w:pPr>
        <w:spacing w:before="80" w:after="0"/>
      </w:pPr>
      <w:r>
        <w:t xml:space="preserve"/>
      </w:r>
    </w:p>
    <w:p>
      <w:pPr>
        <w:spacing w:before="80" w:after="100"/>
      </w:pPr>
      <w:r>
        <w:rPr>
          <w:rFonts w:ascii="Arial" w:cs="Arial" w:eastAsia="Arial" w:hAnsi="Arial"/>
          <w:color w:val="1A1A2E"/>
          <w:sz w:val="22"/>
          <w:szCs w:val="22"/>
        </w:rPr>
        <w:t xml:space="preserve">The root cause is identical in all three cases: information asymmetry that protects the powerful and punishes the poor. The information exists. The legal rights exist. The money exists. The schemes exist. What does not exist is a trusted, accessible, multilingual guide that meets people where they are and walks them through it, step by step.</w:t>
      </w:r>
    </w:p>
    <w:p>
      <w:pPr>
        <w:spacing w:before="160" w:after="0"/>
      </w:pPr>
      <w:r>
        <w:t xml:space="preserve"/>
      </w:r>
    </w:p>
    <w:p>
      <w:pPr>
        <w:spacing w:before="200" w:after="80"/>
      </w:pPr>
      <w:r>
        <w:rPr>
          <w:rFonts w:ascii="Arial" w:cs="Arial" w:eastAsia="Arial" w:hAnsi="Arial"/>
          <w:b/>
          <w:bCs/>
          <w:color w:val="FF6600"/>
          <w:sz w:val="22"/>
          <w:szCs w:val="22"/>
        </w:rPr>
        <w:t xml:space="preserve">Crisis 1 — Legal Helplessness</w:t>
      </w:r>
    </w:p>
    <w:p>
      <w:pPr>
        <w:spacing w:before="80" w:after="100"/>
      </w:pPr>
      <w:r>
        <w:rPr>
          <w:rFonts w:ascii="Arial" w:cs="Arial" w:eastAsia="Arial" w:hAnsi="Arial"/>
          <w:color w:val="1A1A2E"/>
          <w:sz w:val="22"/>
          <w:szCs w:val="22"/>
        </w:rPr>
        <w:t xml:space="preserve">Over 1.4 billion Indians live under a legal system designed in English, administered through lawyers most cannot afford, and navigated through processes nobody explains. When a tenant is illegally evicted, when wages are withheld, when a consumer is defrauded — the average person has no idea which court to approach, which form to file, what documents to carry, or what rights they even hold.</w:t>
      </w:r>
    </w:p>
    <w:p>
      <w:pPr>
        <w:spacing w:before="80" w:after="0"/>
      </w:pPr>
      <w:r>
        <w:t xml:space="preserve"/>
      </w:r>
    </w:p>
    <w:p>
      <w:pPr>
        <w:spacing w:before="80" w:after="100"/>
      </w:pPr>
      <w:r>
        <w:rPr>
          <w:rFonts w:ascii="Arial" w:cs="Arial" w:eastAsia="Arial" w:hAnsi="Arial"/>
          <w:color w:val="1A1A2E"/>
          <w:sz w:val="22"/>
          <w:szCs w:val="22"/>
        </w:rPr>
        <w:t xml:space="preserve">Legal aid offices exist in every district on paper. In practice they are chronically understaffed, geographically inaccessible, and largely unknown to the people they are meant to serve. Justice goes unchallenged not because people lack rights, but because they do not know they have them.</w:t>
      </w:r>
    </w:p>
    <w:p>
      <w:pPr>
        <w:spacing w:before="120" w:after="0"/>
      </w:pPr>
      <w:r>
        <w:t xml:space="preserve"/>
      </w:r>
    </w:p>
    <w:p>
      <w:pPr>
        <w:spacing w:before="200" w:after="80"/>
      </w:pPr>
      <w:r>
        <w:rPr>
          <w:rFonts w:ascii="Arial" w:cs="Arial" w:eastAsia="Arial" w:hAnsi="Arial"/>
          <w:b/>
          <w:bCs/>
          <w:color w:val="FF6600"/>
          <w:sz w:val="22"/>
          <w:szCs w:val="22"/>
        </w:rPr>
        <w:t xml:space="preserve">Crisis 2 — Agricultural Welfare Black Holes</w:t>
      </w:r>
    </w:p>
    <w:p>
      <w:pPr>
        <w:spacing w:before="80" w:after="100"/>
      </w:pPr>
      <w:r>
        <w:rPr>
          <w:rFonts w:ascii="Arial" w:cs="Arial" w:eastAsia="Arial" w:hAnsi="Arial"/>
          <w:color w:val="1A1A2E"/>
          <w:sz w:val="22"/>
          <w:szCs w:val="22"/>
        </w:rPr>
        <w:t xml:space="preserve">India has over 140 million farmer families. For their protection the government runs PM Fasal Bima Yojana, Kisan Credit Cards, NABARD credit lines, PM-KISAN cash transfers, and dozens of state-level schemes. Yet enrollment and claim rates remain catastrophically low.</w:t>
      </w:r>
    </w:p>
    <w:p>
      <w:pPr>
        <w:spacing w:before="80" w:after="0"/>
      </w:pPr>
      <w:r>
        <w:t xml:space="preserve"/>
      </w:r>
    </w:p>
    <w:p>
      <w:pPr>
        <w:spacing w:before="80" w:after="100"/>
      </w:pPr>
      <w:r>
        <w:rPr>
          <w:rFonts w:ascii="Arial" w:cs="Arial" w:eastAsia="Arial" w:hAnsi="Arial"/>
          <w:color w:val="1A1A2E"/>
          <w:sz w:val="22"/>
          <w:szCs w:val="22"/>
        </w:rPr>
        <w:t xml:space="preserve">Farmers miss the 72-hour crop loss notification window because nobody told them it existed. They arrive at bank branches without the right documents because nobody gave them a checklist. Insurance claims are rejected on technicalities that could have been avoided with basic guidance. When crops fail and debt mounts, the human cost is catastrophic. Thousands of farmers die by suicide each year — not because the safety net does not exist, but because they could not find the door.</w:t>
      </w:r>
    </w:p>
    <w:p>
      <w:pPr>
        <w:spacing w:before="120" w:after="0"/>
      </w:pPr>
      <w:r>
        <w:t xml:space="preserve"/>
      </w:r>
    </w:p>
    <w:p>
      <w:pPr>
        <w:spacing w:before="200" w:after="80"/>
      </w:pPr>
      <w:r>
        <w:rPr>
          <w:rFonts w:ascii="Arial" w:cs="Arial" w:eastAsia="Arial" w:hAnsi="Arial"/>
          <w:b/>
          <w:bCs/>
          <w:color w:val="FF6600"/>
          <w:sz w:val="22"/>
          <w:szCs w:val="22"/>
        </w:rPr>
        <w:t xml:space="preserve">Crisis 3 — The Unclaimed Welfare Crisis</w:t>
      </w:r>
    </w:p>
    <w:p>
      <w:pPr>
        <w:spacing w:before="80" w:after="100"/>
      </w:pPr>
      <w:r>
        <w:rPr>
          <w:rFonts w:ascii="Arial" w:cs="Arial" w:eastAsia="Arial" w:hAnsi="Arial"/>
          <w:color w:val="1A1A2E"/>
          <w:sz w:val="22"/>
          <w:szCs w:val="22"/>
        </w:rPr>
        <w:t xml:space="preserve">The Central Government alone runs over 300 welfare schemes — housing under PM Awas Yojana, free cooking gas under Ujjwala, health cover under Ayushman Bharat, scholarships, disability pensions, MSME loans, SC/ST grants, widow benefits, and dozens more. Collectively, thousands of crores of rupees go unclaimed every year.</w:t>
      </w:r>
    </w:p>
    <w:p>
      <w:pPr>
        <w:spacing w:before="80" w:after="0"/>
      </w:pPr>
      <w:r>
        <w:t xml:space="preserve"/>
      </w:r>
    </w:p>
    <w:p>
      <w:pPr>
        <w:spacing w:before="80" w:after="100"/>
      </w:pPr>
      <w:r>
        <w:rPr>
          <w:rFonts w:ascii="Arial" w:cs="Arial" w:eastAsia="Arial" w:hAnsi="Arial"/>
          <w:color w:val="1A1A2E"/>
          <w:sz w:val="22"/>
          <w:szCs w:val="22"/>
        </w:rPr>
        <w:t xml:space="preserve">The people these schemes are designed to help have no reliable way to discover them. Government portals are fragmented, written in English, and require knowing what to search for before you can search. Local officials who do know act as gatekeepers, trading access to information for bribes. The system rewards those who already understand the system — and leaves everyone else behind.</w:t>
      </w:r>
    </w:p>
    <w:p>
      <w:pPr>
        <w:spacing w:before="160" w:after="0"/>
      </w:pPr>
      <w:r>
        <w:t xml:space="preserve"/>
      </w:r>
    </w:p>
    <w:p>
      <w:pPr>
        <w:pStyle w:val="Heading2"/>
        <w:spacing w:before="280" w:after="120"/>
      </w:pPr>
      <w:r>
        <w:rPr>
          <w:rFonts w:ascii="Arial" w:cs="Arial" w:eastAsia="Arial" w:hAnsi="Arial"/>
          <w:b/>
          <w:bCs/>
          <w:color w:val="2C2C54"/>
          <w:sz w:val="26"/>
          <w:szCs w:val="26"/>
        </w:rPr>
        <w:t xml:space="preserve">1.2  Who is Affected?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1.4B+</w:t>
            </w:r>
          </w:p>
        </w:tc>
        <w:tc>
          <w:tcPr>
            <w:tcW w:type="dxa" w:w="7920"/>
            <w:tcBorders>
              <w:top w:val="single" w:color="DDCCBB" w:sz="1"/>
              <w:left w:val="single" w:color="DDCCBB" w:sz="1"/>
              <w:bottom w:val="single" w:color="DDCCBB" w:sz="1"/>
              <w:right w:val="single" w:color="DDCCBB"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Citizens with legal disputes who cannot navigate the system alone — tenants, daily wage workers, consumers, small business owners, women seeking protection orders, and anyone dealing with property transactions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140M+</w:t>
            </w:r>
          </w:p>
        </w:tc>
        <w:tc>
          <w:tcPr>
            <w:tcW w:type="dxa" w:w="7920"/>
            <w:tcBorders>
              <w:top w:val="single" w:color="DDCCBB" w:sz="1"/>
              <w:left w:val="single" w:color="DDCCBB" w:sz="1"/>
              <w:bottom w:val="single" w:color="DDCCBB" w:sz="1"/>
              <w:right w:val="single" w:color="DDCCBB"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Farming families across India who lose money every season to unclaimed crop insurance, missed loan opportunities, and schemes they qualified for but never knew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300M+</w:t>
            </w:r>
          </w:p>
        </w:tc>
        <w:tc>
          <w:tcPr>
            <w:tcW w:type="dxa" w:w="7920"/>
            <w:tcBorders>
              <w:top w:val="single" w:color="DDCCBB" w:sz="1"/>
              <w:left w:val="single" w:color="DDCCBB" w:sz="1"/>
              <w:bottom w:val="single" w:color="DDCCBB" w:sz="1"/>
              <w:right w:val="single" w:color="DDCCBB"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Low and middle-income households who qualify for one or more of 300+ Central schemes — housing, health, education, disability, pension — but have never been told they qualify</w:t>
            </w:r>
          </w:p>
        </w:tc>
      </w:tr>
    </w:tbl>
    <w:p>
      <w:pPr>
        <w:spacing w:before="80" w:after="0"/>
      </w:pPr>
      <w:r>
        <w:t xml:space="preserve"/>
      </w:r>
    </w:p>
    <w:p>
      <w:pPr>
        <w:spacing w:before="80" w:after="100"/>
      </w:pPr>
      <w:r>
        <w:rPr>
          <w:rFonts w:ascii="Arial" w:cs="Arial" w:eastAsia="Arial" w:hAnsi="Arial"/>
          <w:color w:val="1A1A2E"/>
          <w:sz w:val="22"/>
          <w:szCs w:val="22"/>
        </w:rPr>
        <w:t xml:space="preserve">These groups overlap. A farmer is also a legal person who may face a land dispute. A widow in a rural district may qualify for three welfare schemes while simultaneously needing help responding to an illegal eviction. Swadhikar is built for the intersection — one platform for all three crises.</w:t>
      </w:r>
    </w:p>
    <w:p>
      <w:pPr>
        <w:spacing w:before="200" w:after="0"/>
      </w:pPr>
      <w:r>
        <w:t xml:space="preserve"/>
      </w:r>
    </w:p>
    <w:p>
      <w:r>
        <w:br w:type="page"/>
      </w:r>
    </w:p>
    <w:p>
      <w:pPr>
        <w:pStyle w:val="Heading1"/>
        <w:spacing w:before="360" w:after="160"/>
      </w:pPr>
      <w:r>
        <w:rPr>
          <w:rFonts w:ascii="Arial" w:cs="Arial" w:eastAsia="Arial" w:hAnsi="Arial"/>
          <w:b/>
          <w:bCs/>
          <w:color w:val="1A1A2E"/>
          <w:sz w:val="32"/>
          <w:szCs w:val="32"/>
        </w:rPr>
        <w:t xml:space="preserve">Part 2 — Solution Description</w:t>
      </w:r>
    </w:p>
    <w:p>
      <w:pPr>
        <w:pBdr>
          <w:bottom w:val="single" w:color="FF6600" w:sz="4" w:space="1"/>
        </w:pBdr>
        <w:spacing w:before="240" w:after="240"/>
      </w:pPr>
      <w:r>
        <w:t xml:space="preserve"/>
      </w:r>
    </w:p>
    <w:p>
      <w:pPr>
        <w:pStyle w:val="Heading2"/>
        <w:spacing w:before="280" w:after="120"/>
      </w:pPr>
      <w:r>
        <w:rPr>
          <w:rFonts w:ascii="Arial" w:cs="Arial" w:eastAsia="Arial" w:hAnsi="Arial"/>
          <w:b/>
          <w:bCs/>
          <w:color w:val="2C2C54"/>
          <w:sz w:val="26"/>
          <w:szCs w:val="26"/>
        </w:rPr>
        <w:t xml:space="preserve">2.1  Overview</w:t>
      </w:r>
    </w:p>
    <w:p>
      <w:pPr>
        <w:spacing w:before="80" w:after="100"/>
      </w:pPr>
      <w:r>
        <w:rPr>
          <w:rFonts w:ascii="Arial" w:cs="Arial" w:eastAsia="Arial" w:hAnsi="Arial"/>
          <w:color w:val="1A1A2E"/>
          <w:sz w:val="22"/>
          <w:szCs w:val="22"/>
        </w:rPr>
        <w:t xml:space="preserve">Swadhikar (स्वाधिकार) — meaning "one's own rights" — is a unified AI-powered navigation platform that combines a Legal Advisor, a Kisan Credit &amp; Insurance Navigator, and a Government Scheme Finder into a single mobile and web application.</w:t>
      </w:r>
    </w:p>
    <w:p>
      <w:pPr>
        <w:spacing w:before="80" w:after="0"/>
      </w:pPr>
      <w:r>
        <w:t xml:space="preserve"/>
      </w:r>
    </w:p>
    <w:p>
      <w:pPr>
        <w:spacing w:before="80" w:after="100"/>
      </w:pPr>
      <w:r>
        <w:rPr>
          <w:rFonts w:ascii="Arial" w:cs="Arial" w:eastAsia="Arial" w:hAnsi="Arial"/>
          <w:color w:val="1A1A2E"/>
          <w:sz w:val="22"/>
          <w:szCs w:val="22"/>
        </w:rPr>
        <w:t xml:space="preserve">The platform does not make decisions for users. It does not generate legal documents users will not understand. It educates, guides, and walks people through processes step by step — so that by the time someone walks into a court, bank, or government office, they know exactly what to do, what to say, and what to demand.</w:t>
      </w:r>
    </w:p>
    <w:p>
      <w:pPr>
        <w:spacing w:before="80" w:after="0"/>
      </w:pPr>
      <w:r>
        <w:t xml:space="preserve"/>
      </w:r>
    </w:p>
    <w:p>
      <w:pPr>
        <w:spacing w:before="80" w:after="100"/>
      </w:pPr>
      <w:r>
        <w:rPr>
          <w:rFonts w:ascii="Arial" w:cs="Arial" w:eastAsia="Arial" w:hAnsi="Arial"/>
          <w:color w:val="1A1A2E"/>
          <w:sz w:val="22"/>
          <w:szCs w:val="22"/>
        </w:rPr>
        <w:t xml:space="preserve">The name was chosen deliberately. Swaraj, Swadeshi, Swadhikar — the language of self-determination that defined India's independence movement. This platform is built in that spirit: not charity, not assistance, but people claiming what was already theirs.</w:t>
      </w:r>
    </w:p>
    <w:p>
      <w:pPr>
        <w:spacing w:before="160" w:after="0"/>
      </w:pPr>
      <w:r>
        <w:t xml:space="preserve"/>
      </w:r>
    </w:p>
    <w:p>
      <w:pPr>
        <w:pStyle w:val="Heading2"/>
        <w:spacing w:before="280" w:after="120"/>
      </w:pPr>
      <w:r>
        <w:rPr>
          <w:rFonts w:ascii="Arial" w:cs="Arial" w:eastAsia="Arial" w:hAnsi="Arial"/>
          <w:b/>
          <w:bCs/>
          <w:color w:val="2C2C54"/>
          <w:sz w:val="26"/>
          <w:szCs w:val="26"/>
        </w:rPr>
        <w:t xml:space="preserve">2.2  How It Works — The Three Modules</w:t>
      </w:r>
    </w:p>
    <w:p>
      <w:pPr>
        <w:spacing w:before="80" w:after="0"/>
      </w:pPr>
      <w:r>
        <w:t xml:space="preserve"/>
      </w:r>
    </w:p>
    <w:p>
      <w:pPr>
        <w:spacing w:before="200" w:after="80"/>
      </w:pPr>
      <w:r>
        <w:rPr>
          <w:rFonts w:ascii="Arial" w:cs="Arial" w:eastAsia="Arial" w:hAnsi="Arial"/>
          <w:b/>
          <w:bCs/>
          <w:color w:val="FF6600"/>
          <w:sz w:val="22"/>
          <w:szCs w:val="22"/>
        </w:rPr>
        <w:t xml:space="preserve">Module 1 — Legal Advisor</w:t>
      </w:r>
    </w:p>
    <w:p>
      <w:pPr>
        <w:spacing w:before="80" w:after="100"/>
      </w:pPr>
      <w:r>
        <w:rPr>
          <w:rFonts w:ascii="Arial" w:cs="Arial" w:eastAsia="Arial" w:hAnsi="Arial"/>
          <w:color w:val="1A1A2E"/>
          <w:sz w:val="22"/>
          <w:szCs w:val="22"/>
        </w:rPr>
        <w:t xml:space="preserve">A user describes their situation in plain spoken language — in Hindi, Telugu, Tamil, Bengali, or any of the 22 supported Indian languages. They can type or speak. The AI listens, asks only the questions that are legally relevant, and builds a clear picture of the situation without requiring the user to know any legal terminology.</w:t>
      </w:r>
    </w:p>
    <w:p>
      <w:pPr>
        <w:spacing w:before="80" w:after="0"/>
      </w:pPr>
      <w:r>
        <w:t xml:space="preserve"/>
      </w:r>
    </w:p>
    <w:p>
      <w:pPr>
        <w:spacing w:before="80" w:after="100"/>
      </w:pPr>
      <w:r>
        <w:rPr>
          <w:rFonts w:ascii="Arial" w:cs="Arial" w:eastAsia="Arial" w:hAnsi="Arial"/>
          <w:color w:val="1A1A2E"/>
          <w:sz w:val="22"/>
          <w:szCs w:val="22"/>
        </w:rPr>
        <w:t xml:space="preserve">From that conversation, it identifies the state jurisdiction, the correct area of law, and the appropriate legal remedy available. It then produces a step-by-step action plan covering exactly which court or forum has jurisdiction, what documents to gather, what each document looks like, what fees are involved, what to expect at each stage, and a realistic timeline.</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Tenant disputes, wage theft, consumer fraud, domestic violence protection orders</w:t>
      </w:r>
    </w:p>
    <w:p>
      <w:pPr>
        <w:pStyle w:val="ListParagraph"/>
        <w:numPr>
          <w:ilvl w:val="0"/>
          <w:numId w:val="2"/>
        </w:numPr>
        <w:spacing w:before="60" w:after="60"/>
      </w:pPr>
      <w:r>
        <w:rPr>
          <w:rFonts w:ascii="Arial" w:cs="Arial" w:eastAsia="Arial" w:hAnsi="Arial"/>
          <w:color w:val="1A1A2E"/>
          <w:sz w:val="22"/>
          <w:szCs w:val="22"/>
        </w:rPr>
        <w:t xml:space="preserve">Property matters: buying, selling, registering a house, building permits, ownership transfer</w:t>
      </w:r>
    </w:p>
    <w:p>
      <w:pPr>
        <w:pStyle w:val="ListParagraph"/>
        <w:numPr>
          <w:ilvl w:val="0"/>
          <w:numId w:val="2"/>
        </w:numPr>
        <w:spacing w:before="60" w:after="60"/>
      </w:pPr>
      <w:r>
        <w:rPr>
          <w:rFonts w:ascii="Arial" w:cs="Arial" w:eastAsia="Arial" w:hAnsi="Arial"/>
          <w:color w:val="1A1A2E"/>
          <w:sz w:val="22"/>
          <w:szCs w:val="22"/>
        </w:rPr>
        <w:t xml:space="preserve">Consumer forum complaints and RTI applications — guided drafting assistance, line by line</w:t>
      </w:r>
    </w:p>
    <w:p>
      <w:pPr>
        <w:pStyle w:val="ListParagraph"/>
        <w:numPr>
          <w:ilvl w:val="0"/>
          <w:numId w:val="2"/>
        </w:numPr>
        <w:spacing w:before="60" w:after="60"/>
      </w:pPr>
      <w:r>
        <w:rPr>
          <w:rFonts w:ascii="Arial" w:cs="Arial" w:eastAsia="Arial" w:hAnsi="Arial"/>
          <w:color w:val="1A1A2E"/>
          <w:sz w:val="22"/>
          <w:szCs w:val="22"/>
        </w:rPr>
        <w:t xml:space="preserve">Connects users to the nearest District Legal Services Authority (DLSA) and pro-bono legal aid clinics via map</w:t>
      </w:r>
    </w:p>
    <w:p>
      <w:pPr>
        <w:spacing w:before="80" w:after="0"/>
      </w:pPr>
      <w:r>
        <w:t xml:space="preserve"/>
      </w:r>
    </w:p>
    <w:p>
      <w:pPr>
        <w:spacing w:before="80" w:after="100"/>
      </w:pPr>
      <w:r>
        <w:rPr>
          <w:rFonts w:ascii="Arial" w:cs="Arial" w:eastAsia="Arial" w:hAnsi="Arial"/>
          <w:color w:val="1A1A2E"/>
          <w:sz w:val="22"/>
          <w:szCs w:val="22"/>
        </w:rPr>
        <w:t xml:space="preserve">For standard legal communications, the platform provides guided drafting assistance — the user is walked through what needs to be written in plain language, understands every word, and is directed to take it to a DLSA or legal aid clinic for review. No pre-filled documents are handed over. This is a deliberate design decision: documents a person does not understand create liability and are vulnerable to misuse. The output is understanding and a clear action plan.</w:t>
      </w:r>
    </w:p>
    <w:p>
      <w:pPr>
        <w:spacing w:before="160" w:after="0"/>
      </w:pPr>
      <w:r>
        <w:t xml:space="preserve"/>
      </w:r>
    </w:p>
    <w:p>
      <w:pPr>
        <w:spacing w:before="200" w:after="80"/>
      </w:pPr>
      <w:r>
        <w:rPr>
          <w:rFonts w:ascii="Arial" w:cs="Arial" w:eastAsia="Arial" w:hAnsi="Arial"/>
          <w:b/>
          <w:bCs/>
          <w:color w:val="FF6600"/>
          <w:sz w:val="22"/>
          <w:szCs w:val="22"/>
        </w:rPr>
        <w:t xml:space="preserve">Module 2 — Kisan Credit &amp; Insurance Navigator</w:t>
      </w:r>
    </w:p>
    <w:p>
      <w:pPr>
        <w:spacing w:before="80" w:after="100"/>
      </w:pPr>
      <w:r>
        <w:rPr>
          <w:rFonts w:ascii="Arial" w:cs="Arial" w:eastAsia="Arial" w:hAnsi="Arial"/>
          <w:color w:val="1A1A2E"/>
          <w:sz w:val="22"/>
          <w:szCs w:val="22"/>
        </w:rPr>
        <w:t xml:space="preserve">A farmer provides four inputs: their state, crop type, land size, and whether they hold a bank account or Kisan Credit Card. The platform immediately maps them to every scheme they are eligible for — Central and state-level — with eligibility, documents needed, nearest enrollment point, and deadline for each.</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PM Fasal Bima Yojana enrollment and claim walkthrough</w:t>
      </w:r>
    </w:p>
    <w:p>
      <w:pPr>
        <w:pStyle w:val="ListParagraph"/>
        <w:numPr>
          <w:ilvl w:val="0"/>
          <w:numId w:val="2"/>
        </w:numPr>
        <w:spacing w:before="60" w:after="60"/>
      </w:pPr>
      <w:r>
        <w:rPr>
          <w:rFonts w:ascii="Arial" w:cs="Arial" w:eastAsia="Arial" w:hAnsi="Arial"/>
          <w:color w:val="1A1A2E"/>
          <w:sz w:val="22"/>
          <w:szCs w:val="22"/>
        </w:rPr>
        <w:t xml:space="preserve">Kisan Credit Card application: eligibility, required documents, which bank to approach</w:t>
      </w:r>
    </w:p>
    <w:p>
      <w:pPr>
        <w:pStyle w:val="ListParagraph"/>
        <w:numPr>
          <w:ilvl w:val="0"/>
          <w:numId w:val="2"/>
        </w:numPr>
        <w:spacing w:before="60" w:after="60"/>
      </w:pPr>
      <w:r>
        <w:rPr>
          <w:rFonts w:ascii="Arial" w:cs="Arial" w:eastAsia="Arial" w:hAnsi="Arial"/>
          <w:color w:val="1A1A2E"/>
          <w:sz w:val="22"/>
          <w:szCs w:val="22"/>
        </w:rPr>
        <w:t xml:space="preserve">NABARD emergency credit and PM-KISAN direct benefit transfer registration</w:t>
      </w:r>
    </w:p>
    <w:p>
      <w:pPr>
        <w:pStyle w:val="ListParagraph"/>
        <w:numPr>
          <w:ilvl w:val="0"/>
          <w:numId w:val="2"/>
        </w:numPr>
        <w:spacing w:before="60" w:after="60"/>
      </w:pPr>
      <w:r>
        <w:rPr>
          <w:rFonts w:ascii="Arial" w:cs="Arial" w:eastAsia="Arial" w:hAnsi="Arial"/>
          <w:color w:val="1A1A2E"/>
          <w:sz w:val="22"/>
          <w:szCs w:val="22"/>
        </w:rPr>
        <w:t xml:space="preserve">State-specific crop insurance programs mapped by the farmer's state</w:t>
      </w:r>
    </w:p>
    <w:p>
      <w:pPr>
        <w:pStyle w:val="ListParagraph"/>
        <w:numPr>
          <w:ilvl w:val="0"/>
          <w:numId w:val="2"/>
        </w:numPr>
        <w:spacing w:before="60" w:after="60"/>
      </w:pPr>
      <w:r>
        <w:rPr>
          <w:rFonts w:ascii="Arial" w:cs="Arial" w:eastAsia="Arial" w:hAnsi="Arial"/>
          <w:color w:val="1A1A2E"/>
          <w:sz w:val="22"/>
          <w:szCs w:val="22"/>
        </w:rPr>
        <w:t xml:space="preserve">Document checklist with visual examples of what each document looks like</w:t>
      </w:r>
    </w:p>
    <w:p>
      <w:pPr>
        <w:spacing w:before="80" w:after="0"/>
      </w:pPr>
      <w:r>
        <w:t xml:space="preserve"/>
      </w:r>
    </w:p>
    <w:p>
      <w:pPr>
        <w:spacing w:before="80" w:after="100"/>
      </w:pPr>
      <w:r>
        <w:rPr>
          <w:rFonts w:ascii="Arial" w:cs="Arial" w:eastAsia="Arial" w:hAnsi="Arial"/>
          <w:color w:val="1A1A2E"/>
          <w:sz w:val="22"/>
          <w:szCs w:val="22"/>
        </w:rPr>
        <w:t xml:space="preserve">The insurance claim walkthrough is built specifically around the failure points where farmers lose legitimate claims. It covers the critical 72-hour crop loss notification window that most farmers miss, how to document damage correctly, what happens during the surveyor visit, how to follow up, and what to say — citing the exact scheme rule — if officials delay or deny a claim.</w:t>
      </w:r>
    </w:p>
    <w:p>
      <w:pPr>
        <w:spacing w:before="80" w:after="0"/>
      </w:pPr>
      <w:r>
        <w:t xml:space="preserve"/>
      </w:r>
    </w:p>
    <w:p>
      <w:pPr>
        <w:spacing w:before="80" w:after="100"/>
      </w:pPr>
      <w:r>
        <w:rPr>
          <w:rFonts w:ascii="Arial" w:cs="Arial" w:eastAsia="Arial" w:hAnsi="Arial"/>
          <w:color w:val="1A1A2E"/>
          <w:sz w:val="22"/>
          <w:szCs w:val="22"/>
        </w:rPr>
        <w:t xml:space="preserve">If a bank or insurance company remains unresponsive after following correct procedure, the platform provides the exact steps to escalate: how to file an RTI, how to approach the consumer forum, and what rights the farmer holds at each stage.</w:t>
      </w:r>
    </w:p>
    <w:p>
      <w:pPr>
        <w:spacing w:before="160" w:after="0"/>
      </w:pPr>
      <w:r>
        <w:t xml:space="preserve"/>
      </w:r>
    </w:p>
    <w:p>
      <w:pPr>
        <w:spacing w:before="200" w:after="80"/>
      </w:pPr>
      <w:r>
        <w:rPr>
          <w:rFonts w:ascii="Arial" w:cs="Arial" w:eastAsia="Arial" w:hAnsi="Arial"/>
          <w:b/>
          <w:bCs/>
          <w:color w:val="FF6600"/>
          <w:sz w:val="22"/>
          <w:szCs w:val="22"/>
        </w:rPr>
        <w:t xml:space="preserve">Module 3 — Sarkar Yojana Finder</w:t>
      </w:r>
    </w:p>
    <w:p>
      <w:pPr>
        <w:spacing w:before="80" w:after="100"/>
      </w:pPr>
      <w:r>
        <w:rPr>
          <w:rFonts w:ascii="Arial" w:cs="Arial" w:eastAsia="Arial" w:hAnsi="Arial"/>
          <w:color w:val="1A1A2E"/>
          <w:sz w:val="22"/>
          <w:szCs w:val="22"/>
        </w:rPr>
        <w:t xml:space="preserve">A user answers eight simple questions: state, income bracket, caste category, gender, occupation, age, disability status, and housing situation. From these answers, the platform surfaces every Central and state government scheme they qualify for, ranked by likely financial impact and ease of application.</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PM Awas Yojana (housing), Ujjwala (gas), Ayushman Bharat (health coverage)</w:t>
      </w:r>
    </w:p>
    <w:p>
      <w:pPr>
        <w:pStyle w:val="ListParagraph"/>
        <w:numPr>
          <w:ilvl w:val="0"/>
          <w:numId w:val="2"/>
        </w:numPr>
        <w:spacing w:before="60" w:after="60"/>
      </w:pPr>
      <w:r>
        <w:rPr>
          <w:rFonts w:ascii="Arial" w:cs="Arial" w:eastAsia="Arial" w:hAnsi="Arial"/>
          <w:color w:val="1A1A2E"/>
          <w:sz w:val="22"/>
          <w:szCs w:val="22"/>
        </w:rPr>
        <w:t xml:space="preserve">Scholarship schemes for students at every level of education</w:t>
      </w:r>
    </w:p>
    <w:p>
      <w:pPr>
        <w:pStyle w:val="ListParagraph"/>
        <w:numPr>
          <w:ilvl w:val="0"/>
          <w:numId w:val="2"/>
        </w:numPr>
        <w:spacing w:before="60" w:after="60"/>
      </w:pPr>
      <w:r>
        <w:rPr>
          <w:rFonts w:ascii="Arial" w:cs="Arial" w:eastAsia="Arial" w:hAnsi="Arial"/>
          <w:color w:val="1A1A2E"/>
          <w:sz w:val="22"/>
          <w:szCs w:val="22"/>
        </w:rPr>
        <w:t xml:space="preserve">Widow pensions, disability benefits, old-age pensions</w:t>
      </w:r>
    </w:p>
    <w:p>
      <w:pPr>
        <w:pStyle w:val="ListParagraph"/>
        <w:numPr>
          <w:ilvl w:val="0"/>
          <w:numId w:val="2"/>
        </w:numPr>
        <w:spacing w:before="60" w:after="60"/>
      </w:pPr>
      <w:r>
        <w:rPr>
          <w:rFonts w:ascii="Arial" w:cs="Arial" w:eastAsia="Arial" w:hAnsi="Arial"/>
          <w:color w:val="1A1A2E"/>
          <w:sz w:val="22"/>
          <w:szCs w:val="22"/>
        </w:rPr>
        <w:t xml:space="preserve">MSME loans and self-employment schemes for small business owners</w:t>
      </w:r>
    </w:p>
    <w:p>
      <w:pPr>
        <w:pStyle w:val="ListParagraph"/>
        <w:numPr>
          <w:ilvl w:val="0"/>
          <w:numId w:val="2"/>
        </w:numPr>
        <w:spacing w:before="60" w:after="60"/>
      </w:pPr>
      <w:r>
        <w:rPr>
          <w:rFonts w:ascii="Arial" w:cs="Arial" w:eastAsia="Arial" w:hAnsi="Arial"/>
          <w:color w:val="1A1A2E"/>
          <w:sz w:val="22"/>
          <w:szCs w:val="22"/>
        </w:rPr>
        <w:t xml:space="preserve">SC/ST grants and special category benefits</w:t>
      </w:r>
    </w:p>
    <w:p>
      <w:pPr>
        <w:spacing w:before="80" w:after="0"/>
      </w:pPr>
      <w:r>
        <w:t xml:space="preserve"/>
      </w:r>
    </w:p>
    <w:p>
      <w:pPr>
        <w:spacing w:before="80" w:after="100"/>
      </w:pPr>
      <w:r>
        <w:rPr>
          <w:rFonts w:ascii="Arial" w:cs="Arial" w:eastAsia="Arial" w:hAnsi="Arial"/>
          <w:color w:val="1A1A2E"/>
          <w:sz w:val="22"/>
          <w:szCs w:val="22"/>
        </w:rPr>
        <w:t xml:space="preserve">Each scheme is presented as a clear card showing: what the benefit is (cash, asset, or service), exact eligibility criteria, documents needed, where to apply with direct links and nearest office address, processing time, and what to do if the application is rejected or delayed.</w:t>
      </w:r>
    </w:p>
    <w:p>
      <w:pPr>
        <w:spacing w:before="80" w:after="0"/>
      </w:pPr>
      <w:r>
        <w:t xml:space="preserve"/>
      </w:r>
    </w:p>
    <w:p>
      <w:pPr>
        <w:spacing w:before="80" w:after="100"/>
      </w:pPr>
      <w:r>
        <w:rPr>
          <w:rFonts w:ascii="Arial" w:cs="Arial" w:eastAsia="Arial" w:hAnsi="Arial"/>
          <w:color w:val="1A1A2E"/>
          <w:sz w:val="22"/>
          <w:szCs w:val="22"/>
        </w:rPr>
        <w:t xml:space="preserve">Every scheme card includes a "Why You're Missing This" section — an honest, plain-language explanation of why this scheme is typically under-claimed, what the common points of failure are, and what to watch out for. This directly counters the information gatekeeping that drives bribery and exclusion.</w:t>
      </w:r>
    </w:p>
    <w:p>
      <w:pPr>
        <w:spacing w:before="80" w:after="0"/>
      </w:pPr>
      <w:r>
        <w:t xml:space="preserve"/>
      </w:r>
    </w:p>
    <w:p>
      <w:pPr>
        <w:spacing w:before="80" w:after="100"/>
      </w:pPr>
      <w:r>
        <w:rPr>
          <w:rFonts w:ascii="Arial" w:cs="Arial" w:eastAsia="Arial" w:hAnsi="Arial"/>
          <w:color w:val="1A1A2E"/>
          <w:sz w:val="22"/>
          <w:szCs w:val="22"/>
        </w:rPr>
        <w:t xml:space="preserve">Proactive reminders are sent for schemes with annual renewal deadlines or application windows that close, ensuring users do not lose benefits they have already enrolled in.</w:t>
      </w:r>
    </w:p>
    <w:p>
      <w:pPr>
        <w:spacing w:before="200" w:after="0"/>
      </w:pPr>
      <w:r>
        <w:t xml:space="preserve"/>
      </w:r>
    </w:p>
    <w:p>
      <w:r>
        <w:br w:type="page"/>
      </w:r>
    </w:p>
    <w:p>
      <w:pPr>
        <w:pStyle w:val="Heading2"/>
        <w:spacing w:before="280" w:after="120"/>
      </w:pPr>
      <w:r>
        <w:rPr>
          <w:rFonts w:ascii="Arial" w:cs="Arial" w:eastAsia="Arial" w:hAnsi="Arial"/>
          <w:b/>
          <w:bCs/>
          <w:color w:val="2C2C54"/>
          <w:sz w:val="26"/>
          <w:szCs w:val="26"/>
        </w:rPr>
        <w:t xml:space="preserve">2.3  Key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24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Multilingual voice + text</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22 Indian languages via Bhashini (MeitY government API). Users speak naturally in their mother tongue — Hindi, Telugu, Tamil, Kannada, Bengali, Marathi, and more.</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Plain-language AI intake</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Gemini 1.5 Flash guides users through a conversation, extracting legally and administratively relevant facts without requiring any prior knowledge of legal or government terminology.</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Jurisdiction &amp; classification engine</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Automatically identifies the correct state law, Central scheme, or agricultural program based on the user's situation and location.</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Step-by-step action plans</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output is a concrete to-do list: which office, which form, which documents, which fee, what to say, what the timeline is.</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DLSA &amp; office locator</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OpenStreetMap integration locates the nearest District Legal Services Authority, legal aid clinic, bank branch, or government office with walking/transit directions.</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Scheme eligibility matching</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Profile-based matching surfaces all 300+ Central and state schemes a user qualifies for — ranked by impact and ease of application.</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Claim &amp; application walkthroughs</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Step-by-step guides for insurance claims, loan applications, and welfare scheme enrollments — built around the specific failure points where people typically lose legitimate claims.</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'Why you're missing this'</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For every scheme, an honest plain-language explanation of why it is under-claimed and what obstacles to expect — countering the information gatekeeping that enables bribery.</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Deadline reminders</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Push notifications via Firebase FCM for scheme renewal deadlines, application windows, and follow-up dates.</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Offline support</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scheme and legal information is cached locally for use in areas with poor internet connectivity.</w:t>
            </w:r>
          </w:p>
        </w:tc>
      </w:tr>
    </w:tbl>
    <w:p>
      <w:pPr>
        <w:spacing w:before="200" w:after="0"/>
      </w:pPr>
      <w:r>
        <w:t xml:space="preserve"/>
      </w:r>
    </w:p>
    <w:p>
      <w:pPr>
        <w:pStyle w:val="Heading2"/>
        <w:spacing w:before="280" w:after="120"/>
      </w:pPr>
      <w:r>
        <w:rPr>
          <w:rFonts w:ascii="Arial" w:cs="Arial" w:eastAsia="Arial" w:hAnsi="Arial"/>
          <w:b/>
          <w:bCs/>
          <w:color w:val="2C2C54"/>
          <w:sz w:val="26"/>
          <w:szCs w:val="26"/>
        </w:rPr>
        <w:t xml:space="preserve">2.4  Technology Stack</w:t>
      </w:r>
    </w:p>
    <w:p>
      <w:pPr>
        <w:spacing w:before="80" w:after="100"/>
      </w:pPr>
      <w:r>
        <w:rPr>
          <w:rFonts w:ascii="Arial" w:cs="Arial" w:eastAsia="Arial" w:hAnsi="Arial"/>
          <w:color w:val="1A1A2E"/>
          <w:sz w:val="22"/>
          <w:szCs w:val="22"/>
        </w:rPr>
        <w:t xml:space="preserve">The stack is kept deliberately simple and entirely free for the MVP. The complexity lives in the content quality and the conversation design, not in the infrastructure.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c>
          <w:tcPr>
            <w:tcW w:type="dxa" w:w="288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432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288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engine</w:t>
            </w:r>
          </w:p>
        </w:tc>
        <w:tc>
          <w:tcPr>
            <w:tcW w:type="dxa" w:w="43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Gemini 1.5 Flash (Google AI Studio)</w:t>
            </w:r>
          </w:p>
        </w:tc>
        <w:tc>
          <w:tcPr>
            <w:tcW w:type="dxa" w:w="2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 1M tokens/day</w:t>
            </w:r>
          </w:p>
        </w:tc>
      </w:tr>
      <w:tr>
        <w:tc>
          <w:tcPr>
            <w:tcW w:type="dxa" w:w="288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Language &amp; voice</w:t>
            </w:r>
          </w:p>
        </w:tc>
        <w:tc>
          <w:tcPr>
            <w:tcW w:type="dxa" w:w="43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Bhashini API (MeitY, Government of India)</w:t>
            </w:r>
          </w:p>
        </w:tc>
        <w:tc>
          <w:tcPr>
            <w:tcW w:type="dxa" w:w="216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Free — 22 Indian languages</w:t>
            </w:r>
          </w:p>
        </w:tc>
      </w:tr>
      <w:tr>
        <w:tc>
          <w:tcPr>
            <w:tcW w:type="dxa" w:w="288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w:t>
            </w:r>
          </w:p>
        </w:tc>
        <w:tc>
          <w:tcPr>
            <w:tcW w:type="dxa" w:w="43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Native via Expo</w:t>
            </w:r>
          </w:p>
        </w:tc>
        <w:tc>
          <w:tcPr>
            <w:tcW w:type="dxa" w:w="2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open source</w:t>
            </w:r>
          </w:p>
        </w:tc>
      </w:tr>
      <w:tr>
        <w:tc>
          <w:tcPr>
            <w:tcW w:type="dxa" w:w="288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Web app</w:t>
            </w:r>
          </w:p>
        </w:tc>
        <w:tc>
          <w:tcPr>
            <w:tcW w:type="dxa" w:w="43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React</w:t>
            </w:r>
          </w:p>
        </w:tc>
        <w:tc>
          <w:tcPr>
            <w:tcW w:type="dxa" w:w="216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Free, open source</w:t>
            </w:r>
          </w:p>
        </w:tc>
      </w:tr>
      <w:tr>
        <w:tc>
          <w:tcPr>
            <w:tcW w:type="dxa" w:w="288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43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 Express</w:t>
            </w:r>
          </w:p>
        </w:tc>
        <w:tc>
          <w:tcPr>
            <w:tcW w:type="dxa" w:w="2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open source</w:t>
            </w:r>
          </w:p>
        </w:tc>
      </w:tr>
      <w:tr>
        <w:tc>
          <w:tcPr>
            <w:tcW w:type="dxa" w:w="288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43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SQLite</w:t>
            </w:r>
          </w:p>
        </w:tc>
        <w:tc>
          <w:tcPr>
            <w:tcW w:type="dxa" w:w="216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Free, open source</w:t>
            </w:r>
          </w:p>
        </w:tc>
      </w:tr>
      <w:tr>
        <w:tc>
          <w:tcPr>
            <w:tcW w:type="dxa" w:w="288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Scheme / legal data</w:t>
            </w:r>
          </w:p>
        </w:tc>
        <w:tc>
          <w:tcPr>
            <w:tcW w:type="dxa" w:w="43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Curated JSON flat files</w:t>
            </w:r>
          </w:p>
        </w:tc>
        <w:tc>
          <w:tcPr>
            <w:tcW w:type="dxa" w:w="2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self-maintained</w:t>
            </w:r>
          </w:p>
        </w:tc>
      </w:tr>
      <w:tr>
        <w:tc>
          <w:tcPr>
            <w:tcW w:type="dxa" w:w="288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Maps &amp; location</w:t>
            </w:r>
          </w:p>
        </w:tc>
        <w:tc>
          <w:tcPr>
            <w:tcW w:type="dxa" w:w="43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OpenStreetMap + Leaflet.js</w:t>
            </w:r>
          </w:p>
        </w:tc>
        <w:tc>
          <w:tcPr>
            <w:tcW w:type="dxa" w:w="216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Free, open source</w:t>
            </w:r>
          </w:p>
        </w:tc>
      </w:tr>
      <w:tr>
        <w:tc>
          <w:tcPr>
            <w:tcW w:type="dxa" w:w="288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notifications</w:t>
            </w:r>
          </w:p>
        </w:tc>
        <w:tc>
          <w:tcPr>
            <w:tcW w:type="dxa" w:w="43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 Cloud Messaging</w:t>
            </w:r>
          </w:p>
        </w:tc>
        <w:tc>
          <w:tcPr>
            <w:tcW w:type="dxa" w:w="2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forever</w:t>
            </w:r>
          </w:p>
        </w:tc>
      </w:tr>
      <w:tr>
        <w:tc>
          <w:tcPr>
            <w:tcW w:type="dxa" w:w="288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43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Railway.app or Render.com</w:t>
            </w:r>
          </w:p>
        </w:tc>
        <w:tc>
          <w:tcPr>
            <w:tcW w:type="dxa" w:w="216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color w:val="1A1A2E"/>
                <w:sz w:val="20"/>
                <w:szCs w:val="20"/>
              </w:rPr>
              <w:t xml:space="preserve">Free tier</w:t>
            </w:r>
          </w:p>
        </w:tc>
      </w:tr>
    </w:tbl>
    <w:p>
      <w:pPr>
        <w:spacing w:before="120" w:after="0"/>
      </w:pPr>
      <w:r>
        <w:t xml:space="preserve"/>
      </w:r>
    </w:p>
    <w:p>
      <w:pPr>
        <w:spacing w:before="80" w:after="100"/>
      </w:pPr>
      <w:r>
        <w:rPr>
          <w:rFonts w:ascii="Arial" w:cs="Arial" w:eastAsia="Arial" w:hAnsi="Arial"/>
          <w:color w:val="1A1A2E"/>
          <w:sz w:val="22"/>
          <w:szCs w:val="22"/>
        </w:rPr>
        <w:t xml:space="preserve">Total monthly infrastructure cost for MVP: ₹0.</w:t>
      </w:r>
    </w:p>
    <w:p>
      <w:pPr>
        <w:spacing w:before="200" w:after="0"/>
      </w:pPr>
      <w:r>
        <w:t xml:space="preserve"/>
      </w:r>
    </w:p>
    <w:p>
      <w:pPr>
        <w:pStyle w:val="Heading2"/>
        <w:spacing w:before="280" w:after="120"/>
      </w:pPr>
      <w:r>
        <w:rPr>
          <w:rFonts w:ascii="Arial" w:cs="Arial" w:eastAsia="Arial" w:hAnsi="Arial"/>
          <w:b/>
          <w:bCs/>
          <w:color w:val="2C2C54"/>
          <w:sz w:val="26"/>
          <w:szCs w:val="26"/>
        </w:rPr>
        <w:t xml:space="preserve">2.5  What Makes Swadhikar Different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What exists today</w:t>
            </w:r>
          </w:p>
        </w:tc>
        <w:tc>
          <w:tcPr>
            <w:tcW w:type="dxa" w:w="6240"/>
            <w:tcBorders>
              <w:top w:val="single" w:color="DDCCBB" w:sz="1"/>
              <w:left w:val="single" w:color="DDCCBB" w:sz="1"/>
              <w:bottom w:val="single" w:color="DDCCBB" w:sz="1"/>
              <w:right w:val="single" w:color="DDCCBB" w:sz="1"/>
            </w:tcBorders>
            <w:shd w:fill="FF6600" w:val="clear"/>
            <w:tcMar>
              <w:top w:type="dxa" w:w="100"/>
              <w:left w:type="dxa" w:w="120"/>
              <w:bottom w:type="dxa" w:w="100"/>
              <w:right w:type="dxa" w:w="120"/>
            </w:tcMar>
          </w:tcPr>
          <w:p>
            <w:r>
              <w:rPr>
                <w:rFonts w:ascii="Arial" w:cs="Arial" w:eastAsia="Arial" w:hAnsi="Arial"/>
                <w:b/>
                <w:bCs/>
                <w:color w:val="FFFFFF"/>
                <w:sz w:val="20"/>
                <w:szCs w:val="20"/>
              </w:rPr>
              <w:t xml:space="preserve">What Swadhikar does</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myscheme.gov.in — English only, no guidance, requires knowing what to search for</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Multilingual, conversational, eligibility-first — the scheme finds the user, not the other way around</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Legal aid offices — inaccessible, under-resourced, unknown to most people</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AI triage available 24/7 in any Indian language, escalates to human aid when needed</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Bank officials — often incentivised to gatekeep crop insurance and loan information</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Neutral, complete, bribe-proof information with exact rules cited for every claim</w:t>
            </w:r>
          </w:p>
        </w:tc>
      </w:tr>
      <w:tr>
        <w:tc>
          <w:tcPr>
            <w:tcW w:type="dxa" w:w="312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bCs/>
                <w:color w:val="1A1A2E"/>
                <w:sz w:val="20"/>
                <w:szCs w:val="20"/>
              </w:rPr>
              <w:t xml:space="preserve">300+ welfare schemes scattered across separate ministry portals</w:t>
            </w:r>
          </w:p>
        </w:tc>
        <w:tc>
          <w:tcPr>
            <w:tcW w:type="dxa" w:w="6240"/>
            <w:tcBorders>
              <w:top w:val="single" w:color="DDCCBB" w:sz="1"/>
              <w:left w:val="single" w:color="DDCCBB" w:sz="1"/>
              <w:bottom w:val="single" w:color="DDCCBB" w:sz="1"/>
              <w:right w:val="single" w:color="DDCCBB" w:sz="1"/>
            </w:tcBorders>
            <w:shd w:fill="FFF3E8"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unified intake, three navigators, all schemes in a single search</w:t>
            </w:r>
          </w:p>
        </w:tc>
      </w:tr>
      <w:tr>
        <w:tc>
          <w:tcPr>
            <w:tcW w:type="dxa" w:w="312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Processes explained only in formal English or dense Hindi legalese</w:t>
            </w:r>
          </w:p>
        </w:tc>
        <w:tc>
          <w:tcPr>
            <w:tcW w:type="dxa" w:w="624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Explained the way a trusted friend would explain it, in the user's own language</w:t>
            </w:r>
          </w:p>
        </w:tc>
      </w:tr>
    </w:tbl>
    <w:p>
      <w:pPr>
        <w:spacing w:before="200" w:after="0"/>
      </w:pPr>
      <w:r>
        <w:t xml:space="preserve"/>
      </w:r>
    </w:p>
    <w:p>
      <w:pPr>
        <w:pStyle w:val="Heading2"/>
        <w:spacing w:before="280" w:after="120"/>
      </w:pPr>
      <w:r>
        <w:rPr>
          <w:rFonts w:ascii="Arial" w:cs="Arial" w:eastAsia="Arial" w:hAnsi="Arial"/>
          <w:b/>
          <w:bCs/>
          <w:color w:val="2C2C54"/>
          <w:sz w:val="26"/>
          <w:szCs w:val="26"/>
        </w:rPr>
        <w:t xml:space="preserve">2.6  Vision &amp; Impact</w:t>
      </w:r>
    </w:p>
    <w:p>
      <w:pPr>
        <w:spacing w:before="80" w:after="0"/>
      </w:pPr>
      <w:r>
        <w:t xml:space="preserve"/>
      </w:r>
    </w:p>
    <w:p>
      <w:pPr>
        <w:spacing w:before="80" w:after="100"/>
      </w:pPr>
      <w:r>
        <w:rPr>
          <w:rFonts w:ascii="Arial" w:cs="Arial" w:eastAsia="Arial" w:hAnsi="Arial"/>
          <w:color w:val="1A1A2E"/>
          <w:sz w:val="22"/>
          <w:szCs w:val="22"/>
        </w:rPr>
        <w:t xml:space="preserve">Every piece of this information technically exists somewhere. myscheme.gov.in lists schemes. District courts have notice boards. Bank branches have scheme brochures. What has never existed is a single trusted guide that finds you where you are, speaks your language, and walks you through the entire process — from "I don't know what I'm entitled to" to "I walked out of that office with what was mine."</w:t>
      </w:r>
    </w:p>
    <w:p>
      <w:pPr>
        <w:spacing w:before="80" w:after="0"/>
      </w:pPr>
      <w:r>
        <w:t xml:space="preserve"/>
      </w:r>
    </w:p>
    <w:p>
      <w:pPr>
        <w:spacing w:before="80" w:after="100"/>
      </w:pPr>
      <w:r>
        <w:rPr>
          <w:rFonts w:ascii="Arial" w:cs="Arial" w:eastAsia="Arial" w:hAnsi="Arial"/>
          <w:color w:val="1A1A2E"/>
          <w:sz w:val="22"/>
          <w:szCs w:val="22"/>
        </w:rPr>
        <w:t xml:space="preserve">That is what Swadhikar is.</w:t>
      </w:r>
    </w:p>
    <w:p>
      <w:pPr>
        <w:spacing w:before="80" w:after="0"/>
      </w:pPr>
      <w:r>
        <w:t xml:space="preserve"/>
      </w:r>
    </w:p>
    <w:p>
      <w:pPr>
        <w:spacing w:before="80" w:after="100"/>
      </w:pPr>
      <w:r>
        <w:rPr>
          <w:rFonts w:ascii="Arial" w:cs="Arial" w:eastAsia="Arial" w:hAnsi="Arial"/>
          <w:color w:val="1A1A2E"/>
          <w:sz w:val="22"/>
          <w:szCs w:val="22"/>
        </w:rPr>
        <w:t xml:space="preserve">The immediate measure of success is not downloads or daily active users. It is the number of people who walked into a government office knowing exactly what to ask for, and walked out with it. It is the farmer who received her crop insurance payout for the first time. The tenant who knew he had three days to respond to an illegal eviction notice. The elderly widow who discovered she qualified for four government schemes she had never heard of.</w:t>
      </w:r>
    </w:p>
    <w:p>
      <w:pPr>
        <w:spacing w:before="80" w:after="0"/>
      </w:pPr>
      <w:r>
        <w:t xml:space="preserve"/>
      </w:r>
    </w:p>
    <w:p>
      <w:pPr>
        <w:spacing w:before="80" w:after="100"/>
      </w:pPr>
      <w:r>
        <w:rPr>
          <w:rFonts w:ascii="Arial" w:cs="Arial" w:eastAsia="Arial" w:hAnsi="Arial"/>
          <w:color w:val="1A1A2E"/>
          <w:sz w:val="22"/>
          <w:szCs w:val="22"/>
        </w:rPr>
        <w:t xml:space="preserve">Swadhikar is not an app. It is the trusted guide that India's 1.4 billion people deserved from the beginning — and are finally getting.</w:t>
      </w:r>
    </w:p>
    <w:p>
      <w:pPr>
        <w:spacing w:before="200" w:after="0"/>
      </w:pPr>
      <w:r>
        <w:t xml:space="preserve"/>
      </w:r>
    </w:p>
    <w:p>
      <w:pPr>
        <w:pBdr>
          <w:bottom w:val="single" w:color="FF6600" w:sz="4" w:space="1"/>
        </w:pBdr>
        <w:spacing w:before="240" w:after="240"/>
      </w:pPr>
      <w:r>
        <w:t xml:space="preserve"/>
      </w:r>
    </w:p>
    <w:p>
      <w:pPr>
        <w:spacing w:before="120" w:after="0"/>
        <w:jc w:val="center"/>
      </w:pPr>
      <w:r>
        <w:rPr>
          <w:rFonts w:ascii="Arial" w:cs="Arial" w:eastAsia="Arial" w:hAnsi="Arial"/>
          <w:b/>
          <w:bCs/>
          <w:color w:val="FF6600"/>
          <w:sz w:val="22"/>
          <w:szCs w:val="22"/>
        </w:rPr>
        <w:t xml:space="preserve">Swadhikar — स्वाधिकार</w:t>
      </w:r>
    </w:p>
    <w:p>
      <w:pPr>
        <w:spacing w:before="40" w:after="0"/>
        <w:jc w:val="center"/>
      </w:pPr>
      <w:r>
        <w:rPr>
          <w:rFonts w:ascii="Arial" w:cs="Arial" w:eastAsia="Arial" w:hAnsi="Arial"/>
          <w:i/>
          <w:iCs/>
          <w:color w:val="999999"/>
          <w:sz w:val="20"/>
          <w:szCs w:val="20"/>
        </w:rPr>
        <w:t xml:space="preserve">Your Rights. Your Voice. Your Country.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2C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2026-03-17T05:13:48.939Z</dcterms:created>
  <dcterms:modified xsi:type="dcterms:W3CDTF">2026-03-17T05:13:48.959Z</dcterms:modified>
</cp:coreProperties>
</file>

<file path=docProps/custom.xml><?xml version="1.0" encoding="utf-8"?>
<Properties xmlns="http://schemas.openxmlformats.org/officeDocument/2006/custom-properties" xmlns:vt="http://schemas.openxmlformats.org/officeDocument/2006/docPropsVTypes"/>
</file>