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50A" w:rsidRPr="006E05B9" w:rsidRDefault="00EA150A" w:rsidP="00EA150A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cstheme="minorHAnsi"/>
          <w:b/>
          <w:bCs/>
          <w:sz w:val="28"/>
          <w:szCs w:val="28"/>
          <w:u w:val="single"/>
        </w:rPr>
        <w:t>PRACTICAL – 10</w:t>
      </w:r>
    </w:p>
    <w:p w:rsidR="00EA150A" w:rsidRPr="006E05B9" w:rsidRDefault="00EA150A" w:rsidP="00EA150A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EA150A" w:rsidRPr="006E05B9" w:rsidRDefault="00EA150A" w:rsidP="00EA150A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E05B9">
        <w:rPr>
          <w:rFonts w:cstheme="minorHAnsi"/>
          <w:b/>
          <w:bCs/>
          <w:sz w:val="28"/>
          <w:szCs w:val="28"/>
          <w:u w:val="single"/>
        </w:rPr>
        <w:t xml:space="preserve">Submitted By: </w:t>
      </w:r>
      <w:proofErr w:type="spellStart"/>
      <w:r w:rsidRPr="006E05B9">
        <w:rPr>
          <w:rFonts w:cstheme="minorHAnsi"/>
          <w:b/>
          <w:bCs/>
          <w:sz w:val="28"/>
          <w:szCs w:val="28"/>
          <w:u w:val="single"/>
        </w:rPr>
        <w:t>Ridam</w:t>
      </w:r>
      <w:proofErr w:type="spellEnd"/>
      <w:r w:rsidRPr="006E05B9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6E05B9">
        <w:rPr>
          <w:rFonts w:cstheme="minorHAnsi"/>
          <w:b/>
          <w:bCs/>
          <w:sz w:val="28"/>
          <w:szCs w:val="28"/>
          <w:u w:val="single"/>
        </w:rPr>
        <w:t>Singhal</w:t>
      </w:r>
      <w:proofErr w:type="spellEnd"/>
      <w:r w:rsidRPr="006E05B9">
        <w:rPr>
          <w:rFonts w:cstheme="minorHAnsi"/>
          <w:b/>
          <w:bCs/>
          <w:sz w:val="28"/>
          <w:szCs w:val="28"/>
          <w:u w:val="single"/>
        </w:rPr>
        <w:t>(</w:t>
      </w:r>
      <w:proofErr w:type="gramEnd"/>
      <w:r w:rsidRPr="006E05B9">
        <w:rPr>
          <w:rFonts w:cstheme="minorHAnsi"/>
          <w:b/>
          <w:bCs/>
          <w:sz w:val="28"/>
          <w:szCs w:val="28"/>
          <w:u w:val="single"/>
        </w:rPr>
        <w:t>5040)</w:t>
      </w:r>
    </w:p>
    <w:p w:rsidR="00EA150A" w:rsidRPr="006E05B9" w:rsidRDefault="00EA150A" w:rsidP="00EA150A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EA150A" w:rsidRDefault="00EA150A" w:rsidP="00EA150A">
      <w:pPr>
        <w:spacing w:after="0"/>
        <w:rPr>
          <w:rFonts w:cstheme="minorHAnsi"/>
          <w:sz w:val="24"/>
          <w:szCs w:val="28"/>
        </w:rPr>
      </w:pPr>
      <w:r w:rsidRPr="006E05B9">
        <w:rPr>
          <w:rFonts w:cstheme="minorHAnsi"/>
          <w:b/>
          <w:sz w:val="28"/>
          <w:szCs w:val="28"/>
          <w:u w:val="single"/>
        </w:rPr>
        <w:t>AIM: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4"/>
          <w:szCs w:val="28"/>
        </w:rPr>
        <w:t>To calculate trend using spencer’s 15-point formula.</w:t>
      </w:r>
    </w:p>
    <w:p w:rsidR="00472A02" w:rsidRDefault="00472A02" w:rsidP="00EA150A">
      <w:pPr>
        <w:spacing w:after="0"/>
        <w:rPr>
          <w:rFonts w:cstheme="minorHAnsi"/>
          <w:sz w:val="24"/>
          <w:szCs w:val="28"/>
        </w:rPr>
      </w:pPr>
    </w:p>
    <w:p w:rsidR="00472A02" w:rsidRDefault="00472A02" w:rsidP="00EA150A">
      <w:pPr>
        <w:spacing w:after="0"/>
        <w:rPr>
          <w:rFonts w:cstheme="minorHAnsi"/>
          <w:sz w:val="24"/>
          <w:szCs w:val="28"/>
        </w:rPr>
      </w:pPr>
    </w:p>
    <w:p w:rsidR="00EA150A" w:rsidRDefault="00EA150A" w:rsidP="00EA150A">
      <w:pPr>
        <w:spacing w:after="0"/>
        <w:rPr>
          <w:rFonts w:cstheme="minorHAnsi"/>
          <w:sz w:val="24"/>
          <w:szCs w:val="28"/>
        </w:rPr>
      </w:pPr>
    </w:p>
    <w:p w:rsidR="00EA150A" w:rsidRDefault="00EA150A" w:rsidP="00EA150A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EXPERIMENT:</w:t>
      </w:r>
    </w:p>
    <w:p w:rsidR="00472A02" w:rsidRDefault="00472A02" w:rsidP="00EA150A">
      <w:pPr>
        <w:spacing w:after="0"/>
        <w:rPr>
          <w:rFonts w:cstheme="minorHAnsi"/>
          <w:b/>
          <w:sz w:val="28"/>
          <w:szCs w:val="28"/>
          <w:u w:val="single"/>
        </w:rPr>
      </w:pPr>
      <w:r w:rsidRPr="00472A02">
        <w:rPr>
          <w:rFonts w:cstheme="minorHAnsi"/>
          <w:b/>
          <w:noProof/>
          <w:sz w:val="28"/>
          <w:szCs w:val="28"/>
          <w:lang w:eastAsia="en-IN" w:bidi="ar-SA"/>
        </w:rPr>
        <w:drawing>
          <wp:inline distT="0" distB="0" distL="0" distR="0" wp14:anchorId="27CC4B88" wp14:editId="637A784C">
            <wp:extent cx="5731510" cy="169492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01" w:rsidRDefault="00070101" w:rsidP="00EA150A">
      <w:pPr>
        <w:spacing w:after="0"/>
      </w:pPr>
    </w:p>
    <w:p w:rsidR="00472A02" w:rsidRDefault="00472A02" w:rsidP="00EA150A">
      <w:pPr>
        <w:spacing w:after="0"/>
      </w:pPr>
    </w:p>
    <w:p w:rsidR="00472A02" w:rsidRDefault="00472A02" w:rsidP="00EA150A">
      <w:pPr>
        <w:spacing w:after="0"/>
      </w:pPr>
    </w:p>
    <w:p w:rsidR="00472A02" w:rsidRDefault="00472A02" w:rsidP="00EA150A">
      <w:pPr>
        <w:spacing w:after="0"/>
      </w:pPr>
    </w:p>
    <w:p w:rsidR="00472A02" w:rsidRDefault="00472A02" w:rsidP="00EA150A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THEORY:</w:t>
      </w:r>
    </w:p>
    <w:p w:rsidR="00472A02" w:rsidRDefault="00472A02" w:rsidP="00EA150A">
      <w:pPr>
        <w:spacing w:after="0"/>
        <w:rPr>
          <w:b/>
          <w:sz w:val="28"/>
          <w:u w:val="single"/>
        </w:rPr>
      </w:pPr>
    </w:p>
    <w:p w:rsidR="00472A02" w:rsidRDefault="00472A02" w:rsidP="00EA150A">
      <w:pPr>
        <w:spacing w:after="0"/>
        <w:rPr>
          <w:b/>
          <w:sz w:val="28"/>
          <w:u w:val="single"/>
        </w:rPr>
      </w:pPr>
    </w:p>
    <w:p w:rsidR="00472A02" w:rsidRPr="00472A02" w:rsidRDefault="00472A02" w:rsidP="00472A02">
      <w:pPr>
        <w:pStyle w:val="Default"/>
        <w:numPr>
          <w:ilvl w:val="0"/>
          <w:numId w:val="1"/>
        </w:numPr>
        <w:rPr>
          <w:szCs w:val="23"/>
        </w:rPr>
      </w:pPr>
      <w:r w:rsidRPr="00472A02">
        <w:rPr>
          <w:szCs w:val="23"/>
        </w:rPr>
        <w:t xml:space="preserve">Spencer's 15-point formula requires 15 points to calculate one single trend value. </w:t>
      </w:r>
    </w:p>
    <w:p w:rsidR="00472A02" w:rsidRPr="00472A02" w:rsidRDefault="00472A02" w:rsidP="00472A02">
      <w:pPr>
        <w:pStyle w:val="Default"/>
        <w:numPr>
          <w:ilvl w:val="0"/>
          <w:numId w:val="1"/>
        </w:numPr>
        <w:rPr>
          <w:szCs w:val="23"/>
        </w:rPr>
      </w:pPr>
      <w:r w:rsidRPr="00472A02">
        <w:rPr>
          <w:szCs w:val="23"/>
        </w:rPr>
        <w:t>y = 1/320 [4]²[5</w:t>
      </w:r>
      <w:proofErr w:type="gramStart"/>
      <w:r w:rsidRPr="00472A02">
        <w:rPr>
          <w:szCs w:val="23"/>
        </w:rPr>
        <w:t>][</w:t>
      </w:r>
      <w:proofErr w:type="gramEnd"/>
      <w:r w:rsidRPr="00472A02">
        <w:rPr>
          <w:szCs w:val="23"/>
        </w:rPr>
        <w:t>-9,22,-9]</w:t>
      </w:r>
      <w:proofErr w:type="spellStart"/>
      <w:r w:rsidRPr="00472A02">
        <w:rPr>
          <w:szCs w:val="23"/>
        </w:rPr>
        <w:t>yt</w:t>
      </w:r>
      <w:proofErr w:type="spellEnd"/>
      <w:r w:rsidRPr="00472A02">
        <w:rPr>
          <w:szCs w:val="23"/>
        </w:rPr>
        <w:t xml:space="preserve">, is the formula which is correct up to 3rd differences. </w:t>
      </w:r>
    </w:p>
    <w:p w:rsidR="00472A02" w:rsidRDefault="00472A02" w:rsidP="00472A02">
      <w:pPr>
        <w:pStyle w:val="Default"/>
        <w:numPr>
          <w:ilvl w:val="0"/>
          <w:numId w:val="1"/>
        </w:numPr>
        <w:rPr>
          <w:szCs w:val="23"/>
        </w:rPr>
      </w:pPr>
      <w:r w:rsidRPr="00472A02">
        <w:rPr>
          <w:szCs w:val="23"/>
        </w:rPr>
        <w:t>For higher differences, we can add factors involving higher differences without affecting the accuracy of the results. Hence the</w:t>
      </w:r>
      <w:r>
        <w:rPr>
          <w:szCs w:val="23"/>
        </w:rPr>
        <w:t xml:space="preserve"> formula for this is: </w:t>
      </w:r>
    </w:p>
    <w:p w:rsidR="00472A02" w:rsidRPr="00472A02" w:rsidRDefault="00472A02" w:rsidP="00472A02">
      <w:pPr>
        <w:pStyle w:val="Default"/>
        <w:ind w:left="720"/>
        <w:rPr>
          <w:szCs w:val="23"/>
        </w:rPr>
      </w:pPr>
      <w:r w:rsidRPr="00472A02">
        <w:rPr>
          <w:szCs w:val="23"/>
          <w:highlight w:val="green"/>
        </w:rPr>
        <w:t>y = 1/320 [4]²[5</w:t>
      </w:r>
      <w:proofErr w:type="gramStart"/>
      <w:r w:rsidRPr="00472A02">
        <w:rPr>
          <w:szCs w:val="23"/>
          <w:highlight w:val="green"/>
        </w:rPr>
        <w:t>][</w:t>
      </w:r>
      <w:proofErr w:type="gramEnd"/>
      <w:r w:rsidRPr="00472A02">
        <w:rPr>
          <w:szCs w:val="23"/>
          <w:highlight w:val="green"/>
        </w:rPr>
        <w:t>-3,3,4,3,-3]</w:t>
      </w:r>
      <w:proofErr w:type="spellStart"/>
      <w:r w:rsidRPr="00472A02">
        <w:rPr>
          <w:szCs w:val="23"/>
          <w:highlight w:val="green"/>
        </w:rPr>
        <w:t>yt</w:t>
      </w:r>
      <w:proofErr w:type="spellEnd"/>
    </w:p>
    <w:p w:rsidR="00472A02" w:rsidRDefault="00472A02" w:rsidP="00472A02">
      <w:pPr>
        <w:pStyle w:val="Default"/>
        <w:rPr>
          <w:sz w:val="23"/>
          <w:szCs w:val="23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  <w:r>
        <w:rPr>
          <w:b/>
          <w:sz w:val="28"/>
          <w:szCs w:val="23"/>
          <w:u w:val="single"/>
        </w:rPr>
        <w:lastRenderedPageBreak/>
        <w:t>CALCULATIONS:</w:t>
      </w: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Pr="00472A02" w:rsidRDefault="00472A02" w:rsidP="00472A02">
      <w:pPr>
        <w:pStyle w:val="Default"/>
        <w:rPr>
          <w:sz w:val="22"/>
          <w:szCs w:val="23"/>
          <w:u w:val="single"/>
        </w:rPr>
      </w:pPr>
      <w:r>
        <w:rPr>
          <w:sz w:val="22"/>
          <w:szCs w:val="23"/>
          <w:u w:val="single"/>
        </w:rPr>
        <w:t>TABLE-10.1</w:t>
      </w: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  <w:r w:rsidRPr="00472A02">
        <w:rPr>
          <w:noProof/>
          <w:lang w:eastAsia="en-IN"/>
        </w:rPr>
        <w:drawing>
          <wp:inline distT="0" distB="0" distL="0" distR="0" wp14:anchorId="3485F061" wp14:editId="1163763C">
            <wp:extent cx="5731510" cy="7367623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sz w:val="22"/>
          <w:szCs w:val="23"/>
          <w:u w:val="single"/>
        </w:rPr>
      </w:pPr>
    </w:p>
    <w:p w:rsidR="00472A02" w:rsidRPr="00472A02" w:rsidRDefault="00472A02" w:rsidP="00472A02">
      <w:pPr>
        <w:pStyle w:val="Default"/>
        <w:rPr>
          <w:sz w:val="22"/>
          <w:szCs w:val="23"/>
          <w:u w:val="single"/>
        </w:rPr>
      </w:pPr>
      <w:r>
        <w:rPr>
          <w:sz w:val="22"/>
          <w:szCs w:val="23"/>
          <w:u w:val="single"/>
        </w:rPr>
        <w:t>GRAPH-10.1</w:t>
      </w: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  <w:r>
        <w:rPr>
          <w:noProof/>
          <w:lang w:eastAsia="en-IN"/>
        </w:rPr>
        <w:drawing>
          <wp:inline distT="0" distB="0" distL="0" distR="0" wp14:anchorId="19D5A23F" wp14:editId="33BDF812">
            <wp:extent cx="5935980" cy="3832860"/>
            <wp:effectExtent l="0" t="0" r="2667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  <w:r>
        <w:rPr>
          <w:b/>
          <w:sz w:val="28"/>
          <w:szCs w:val="23"/>
          <w:u w:val="single"/>
        </w:rPr>
        <w:t>RESULT:</w:t>
      </w: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EE0F10" w:rsidRDefault="00EE0F10" w:rsidP="00EE0F10">
      <w:pPr>
        <w:pStyle w:val="Default"/>
        <w:numPr>
          <w:ilvl w:val="0"/>
          <w:numId w:val="3"/>
        </w:numPr>
        <w:rPr>
          <w:szCs w:val="23"/>
        </w:rPr>
      </w:pPr>
      <w:r>
        <w:rPr>
          <w:szCs w:val="23"/>
        </w:rPr>
        <w:t>Trend values have been calculated using spencer’s 15 point formula, and are shown in TABLE 10.1.</w:t>
      </w:r>
    </w:p>
    <w:p w:rsidR="00EE0F10" w:rsidRPr="00EE0F10" w:rsidRDefault="00EE0F10" w:rsidP="00EE0F10">
      <w:pPr>
        <w:pStyle w:val="Default"/>
        <w:numPr>
          <w:ilvl w:val="0"/>
          <w:numId w:val="3"/>
        </w:numPr>
        <w:rPr>
          <w:szCs w:val="23"/>
        </w:rPr>
      </w:pPr>
      <w:r>
        <w:rPr>
          <w:szCs w:val="23"/>
        </w:rPr>
        <w:t xml:space="preserve">GRAPH 10.1 shows the line graph plotted for the given data and the calculated trend. </w:t>
      </w:r>
    </w:p>
    <w:p w:rsidR="00472A02" w:rsidRDefault="00472A02" w:rsidP="00472A02">
      <w:pPr>
        <w:pStyle w:val="Default"/>
        <w:rPr>
          <w:b/>
          <w:sz w:val="28"/>
          <w:szCs w:val="23"/>
          <w:u w:val="single"/>
        </w:rPr>
      </w:pPr>
    </w:p>
    <w:p w:rsidR="00472A02" w:rsidRDefault="00EE0F10" w:rsidP="00472A02">
      <w:pPr>
        <w:pStyle w:val="Default"/>
        <w:rPr>
          <w:b/>
          <w:sz w:val="28"/>
          <w:szCs w:val="23"/>
          <w:u w:val="single"/>
        </w:rPr>
      </w:pPr>
      <w:r>
        <w:rPr>
          <w:b/>
          <w:sz w:val="28"/>
          <w:szCs w:val="23"/>
          <w:u w:val="single"/>
        </w:rPr>
        <w:t>CONCLUSION:</w:t>
      </w:r>
    </w:p>
    <w:p w:rsidR="00EE0F10" w:rsidRDefault="00EE0F10" w:rsidP="00472A02">
      <w:pPr>
        <w:pStyle w:val="Default"/>
        <w:rPr>
          <w:b/>
          <w:sz w:val="28"/>
          <w:szCs w:val="23"/>
          <w:u w:val="single"/>
        </w:rPr>
      </w:pPr>
    </w:p>
    <w:p w:rsidR="00EE0F10" w:rsidRPr="00EE0F10" w:rsidRDefault="00EE0F10" w:rsidP="00EE0F10">
      <w:pPr>
        <w:pStyle w:val="Default"/>
        <w:numPr>
          <w:ilvl w:val="0"/>
          <w:numId w:val="5"/>
        </w:numPr>
        <w:rPr>
          <w:szCs w:val="23"/>
        </w:rPr>
      </w:pPr>
      <w:r>
        <w:rPr>
          <w:szCs w:val="23"/>
        </w:rPr>
        <w:t xml:space="preserve">The wheat production follows an overall upward trend. </w:t>
      </w:r>
    </w:p>
    <w:sectPr w:rsidR="00EE0F10" w:rsidRPr="00EE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02113"/>
    <w:multiLevelType w:val="hybridMultilevel"/>
    <w:tmpl w:val="2C0C4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41A09"/>
    <w:multiLevelType w:val="hybridMultilevel"/>
    <w:tmpl w:val="0D586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938E0"/>
    <w:multiLevelType w:val="hybridMultilevel"/>
    <w:tmpl w:val="E3386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3150A"/>
    <w:multiLevelType w:val="hybridMultilevel"/>
    <w:tmpl w:val="A8A2E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86791"/>
    <w:multiLevelType w:val="hybridMultilevel"/>
    <w:tmpl w:val="D5C0E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B5"/>
    <w:rsid w:val="00070101"/>
    <w:rsid w:val="00472A02"/>
    <w:rsid w:val="008232E6"/>
    <w:rsid w:val="00E15DB5"/>
    <w:rsid w:val="00EA150A"/>
    <w:rsid w:val="00E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0A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A0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02"/>
    <w:rPr>
      <w:rFonts w:ascii="Tahoma" w:hAnsi="Tahoma" w:cs="Mangal"/>
      <w:sz w:val="16"/>
      <w:szCs w:val="14"/>
      <w:lang w:bidi="hi-IN"/>
    </w:rPr>
  </w:style>
  <w:style w:type="paragraph" w:customStyle="1" w:styleId="Default">
    <w:name w:val="Default"/>
    <w:rsid w:val="00472A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0A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A0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02"/>
    <w:rPr>
      <w:rFonts w:ascii="Tahoma" w:hAnsi="Tahoma" w:cs="Mangal"/>
      <w:sz w:val="16"/>
      <w:szCs w:val="14"/>
      <w:lang w:bidi="hi-IN"/>
    </w:rPr>
  </w:style>
  <w:style w:type="paragraph" w:customStyle="1" w:styleId="Default">
    <w:name w:val="Default"/>
    <w:rsid w:val="00472A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Stats\V%20Sem\Time%20Series\Practicals&amp;Assignments_TS\ridam_ts_practical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GIVEN DATA</a:t>
            </a:r>
            <a:r>
              <a:rPr lang="en-IN" baseline="0"/>
              <a:t> v/s CALCULATED TREND</a:t>
            </a:r>
            <a:endParaRPr lang="en-IN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47719816272966"/>
          <c:y val="0.18403401060881375"/>
          <c:w val="0.87268946850393703"/>
          <c:h val="0.64891571682910265"/>
        </c:manualLayout>
      </c:layout>
      <c:lineChart>
        <c:grouping val="standard"/>
        <c:varyColors val="0"/>
        <c:ser>
          <c:idx val="0"/>
          <c:order val="0"/>
          <c:tx>
            <c:v>Given Data (yt)</c:v>
          </c:tx>
          <c:spPr>
            <a:ln w="25400">
              <a:solidFill>
                <a:schemeClr val="accent6"/>
              </a:solidFill>
            </a:ln>
          </c:spPr>
          <c:marker>
            <c:symbol val="circle"/>
            <c:size val="6"/>
            <c:spPr>
              <a:solidFill>
                <a:schemeClr val="accent6"/>
              </a:solidFill>
              <a:ln>
                <a:noFill/>
              </a:ln>
            </c:spPr>
          </c:marker>
          <c:cat>
            <c:numRef>
              <c:f>Sheet1!$A$2:$A$60</c:f>
              <c:numCache>
                <c:formatCode>General</c:formatCode>
                <c:ptCount val="59"/>
                <c:pt idx="0">
                  <c:v>1989</c:v>
                </c:pt>
                <c:pt idx="2">
                  <c:v>1990</c:v>
                </c:pt>
                <c:pt idx="4">
                  <c:v>1991</c:v>
                </c:pt>
                <c:pt idx="6">
                  <c:v>1992</c:v>
                </c:pt>
                <c:pt idx="8">
                  <c:v>1993</c:v>
                </c:pt>
                <c:pt idx="10">
                  <c:v>1994</c:v>
                </c:pt>
                <c:pt idx="12">
                  <c:v>1995</c:v>
                </c:pt>
                <c:pt idx="14">
                  <c:v>1996</c:v>
                </c:pt>
                <c:pt idx="16">
                  <c:v>1997</c:v>
                </c:pt>
                <c:pt idx="18">
                  <c:v>1998</c:v>
                </c:pt>
                <c:pt idx="20">
                  <c:v>1999</c:v>
                </c:pt>
                <c:pt idx="22">
                  <c:v>2000</c:v>
                </c:pt>
                <c:pt idx="24">
                  <c:v>2001</c:v>
                </c:pt>
                <c:pt idx="26">
                  <c:v>2002</c:v>
                </c:pt>
                <c:pt idx="28">
                  <c:v>2003</c:v>
                </c:pt>
                <c:pt idx="30">
                  <c:v>2004</c:v>
                </c:pt>
                <c:pt idx="32">
                  <c:v>2005</c:v>
                </c:pt>
                <c:pt idx="34">
                  <c:v>2006</c:v>
                </c:pt>
                <c:pt idx="36">
                  <c:v>2007</c:v>
                </c:pt>
                <c:pt idx="38">
                  <c:v>2008</c:v>
                </c:pt>
                <c:pt idx="40">
                  <c:v>2009</c:v>
                </c:pt>
                <c:pt idx="42">
                  <c:v>2010</c:v>
                </c:pt>
                <c:pt idx="44">
                  <c:v>2011</c:v>
                </c:pt>
                <c:pt idx="46">
                  <c:v>2012</c:v>
                </c:pt>
                <c:pt idx="48">
                  <c:v>2013</c:v>
                </c:pt>
                <c:pt idx="50">
                  <c:v>2014</c:v>
                </c:pt>
                <c:pt idx="52">
                  <c:v>2015</c:v>
                </c:pt>
                <c:pt idx="54">
                  <c:v>2016</c:v>
                </c:pt>
                <c:pt idx="56">
                  <c:v>2017</c:v>
                </c:pt>
                <c:pt idx="58">
                  <c:v>2018</c:v>
                </c:pt>
              </c:numCache>
            </c:numRef>
          </c:cat>
          <c:val>
            <c:numRef>
              <c:f>Sheet1!$B$2:$B$60</c:f>
              <c:numCache>
                <c:formatCode>General</c:formatCode>
                <c:ptCount val="59"/>
                <c:pt idx="0">
                  <c:v>23832</c:v>
                </c:pt>
                <c:pt idx="2">
                  <c:v>26410</c:v>
                </c:pt>
                <c:pt idx="4">
                  <c:v>24735</c:v>
                </c:pt>
                <c:pt idx="6">
                  <c:v>21778</c:v>
                </c:pt>
                <c:pt idx="8">
                  <c:v>24104</c:v>
                </c:pt>
                <c:pt idx="10">
                  <c:v>28846</c:v>
                </c:pt>
                <c:pt idx="12">
                  <c:v>29010</c:v>
                </c:pt>
                <c:pt idx="14">
                  <c:v>31749</c:v>
                </c:pt>
                <c:pt idx="16">
                  <c:v>35508</c:v>
                </c:pt>
                <c:pt idx="18">
                  <c:v>31830</c:v>
                </c:pt>
                <c:pt idx="20">
                  <c:v>25510</c:v>
                </c:pt>
                <c:pt idx="22">
                  <c:v>24333</c:v>
                </c:pt>
                <c:pt idx="24">
                  <c:v>29709</c:v>
                </c:pt>
                <c:pt idx="26">
                  <c:v>36543</c:v>
                </c:pt>
                <c:pt idx="28">
                  <c:v>45218</c:v>
                </c:pt>
                <c:pt idx="30">
                  <c:v>22432</c:v>
                </c:pt>
                <c:pt idx="32">
                  <c:v>32146</c:v>
                </c:pt>
                <c:pt idx="34">
                  <c:v>44452</c:v>
                </c:pt>
                <c:pt idx="36">
                  <c:v>26111</c:v>
                </c:pt>
                <c:pt idx="38">
                  <c:v>50675</c:v>
                </c:pt>
                <c:pt idx="40">
                  <c:v>36313</c:v>
                </c:pt>
                <c:pt idx="42">
                  <c:v>37552</c:v>
                </c:pt>
                <c:pt idx="44">
                  <c:v>42794</c:v>
                </c:pt>
                <c:pt idx="46">
                  <c:v>45476</c:v>
                </c:pt>
                <c:pt idx="48">
                  <c:v>44069</c:v>
                </c:pt>
                <c:pt idx="50">
                  <c:v>47052</c:v>
                </c:pt>
                <c:pt idx="52">
                  <c:v>44333</c:v>
                </c:pt>
                <c:pt idx="54">
                  <c:v>46169</c:v>
                </c:pt>
                <c:pt idx="56">
                  <c:v>54110</c:v>
                </c:pt>
                <c:pt idx="58">
                  <c:v>49850</c:v>
                </c:pt>
              </c:numCache>
            </c:numRef>
          </c:val>
          <c:smooth val="0"/>
        </c:ser>
        <c:ser>
          <c:idx val="1"/>
          <c:order val="1"/>
          <c:tx>
            <c:v>Trend</c:v>
          </c:tx>
          <c:spPr>
            <a:ln w="25400">
              <a:solidFill>
                <a:srgbClr val="0070C0"/>
              </a:solidFill>
            </a:ln>
          </c:spPr>
          <c:marker>
            <c:symbol val="circle"/>
            <c:size val="7"/>
            <c:spPr>
              <a:solidFill>
                <a:srgbClr val="0070C0"/>
              </a:solidFill>
              <a:ln>
                <a:noFill/>
              </a:ln>
            </c:spPr>
          </c:marker>
          <c:cat>
            <c:numRef>
              <c:f>Sheet1!$A$2:$A$60</c:f>
              <c:numCache>
                <c:formatCode>General</c:formatCode>
                <c:ptCount val="59"/>
                <c:pt idx="0">
                  <c:v>1989</c:v>
                </c:pt>
                <c:pt idx="2">
                  <c:v>1990</c:v>
                </c:pt>
                <c:pt idx="4">
                  <c:v>1991</c:v>
                </c:pt>
                <c:pt idx="6">
                  <c:v>1992</c:v>
                </c:pt>
                <c:pt idx="8">
                  <c:v>1993</c:v>
                </c:pt>
                <c:pt idx="10">
                  <c:v>1994</c:v>
                </c:pt>
                <c:pt idx="12">
                  <c:v>1995</c:v>
                </c:pt>
                <c:pt idx="14">
                  <c:v>1996</c:v>
                </c:pt>
                <c:pt idx="16">
                  <c:v>1997</c:v>
                </c:pt>
                <c:pt idx="18">
                  <c:v>1998</c:v>
                </c:pt>
                <c:pt idx="20">
                  <c:v>1999</c:v>
                </c:pt>
                <c:pt idx="22">
                  <c:v>2000</c:v>
                </c:pt>
                <c:pt idx="24">
                  <c:v>2001</c:v>
                </c:pt>
                <c:pt idx="26">
                  <c:v>2002</c:v>
                </c:pt>
                <c:pt idx="28">
                  <c:v>2003</c:v>
                </c:pt>
                <c:pt idx="30">
                  <c:v>2004</c:v>
                </c:pt>
                <c:pt idx="32">
                  <c:v>2005</c:v>
                </c:pt>
                <c:pt idx="34">
                  <c:v>2006</c:v>
                </c:pt>
                <c:pt idx="36">
                  <c:v>2007</c:v>
                </c:pt>
                <c:pt idx="38">
                  <c:v>2008</c:v>
                </c:pt>
                <c:pt idx="40">
                  <c:v>2009</c:v>
                </c:pt>
                <c:pt idx="42">
                  <c:v>2010</c:v>
                </c:pt>
                <c:pt idx="44">
                  <c:v>2011</c:v>
                </c:pt>
                <c:pt idx="46">
                  <c:v>2012</c:v>
                </c:pt>
                <c:pt idx="48">
                  <c:v>2013</c:v>
                </c:pt>
                <c:pt idx="50">
                  <c:v>2014</c:v>
                </c:pt>
                <c:pt idx="52">
                  <c:v>2015</c:v>
                </c:pt>
                <c:pt idx="54">
                  <c:v>2016</c:v>
                </c:pt>
                <c:pt idx="56">
                  <c:v>2017</c:v>
                </c:pt>
                <c:pt idx="58">
                  <c:v>2018</c:v>
                </c:pt>
              </c:numCache>
            </c:numRef>
          </c:cat>
          <c:val>
            <c:numRef>
              <c:f>Sheet1!$G$2:$G$60</c:f>
              <c:numCache>
                <c:formatCode>General</c:formatCode>
                <c:ptCount val="59"/>
                <c:pt idx="14">
                  <c:v>30582.396874999999</c:v>
                </c:pt>
                <c:pt idx="16">
                  <c:v>30673.918750000001</c:v>
                </c:pt>
                <c:pt idx="18">
                  <c:v>30219.221874999999</c:v>
                </c:pt>
                <c:pt idx="20">
                  <c:v>29733.996875000001</c:v>
                </c:pt>
                <c:pt idx="22">
                  <c:v>30022.028125000001</c:v>
                </c:pt>
                <c:pt idx="24">
                  <c:v>31008.799999999999</c:v>
                </c:pt>
                <c:pt idx="26">
                  <c:v>32239.046875</c:v>
                </c:pt>
                <c:pt idx="28">
                  <c:v>33408.690625000003</c:v>
                </c:pt>
                <c:pt idx="30">
                  <c:v>34393.928124999999</c:v>
                </c:pt>
                <c:pt idx="32">
                  <c:v>35061.384375000001</c:v>
                </c:pt>
                <c:pt idx="34">
                  <c:v>35937.246874999997</c:v>
                </c:pt>
                <c:pt idx="36">
                  <c:v>37223.809374999997</c:v>
                </c:pt>
                <c:pt idx="38">
                  <c:v>38474.609375</c:v>
                </c:pt>
                <c:pt idx="40">
                  <c:v>39850.85</c:v>
                </c:pt>
                <c:pt idx="42">
                  <c:v>41119.59375</c:v>
                </c:pt>
                <c:pt idx="44">
                  <c:v>42197.862500000003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422208"/>
        <c:axId val="289407360"/>
      </c:lineChart>
      <c:catAx>
        <c:axId val="253422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YEAR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9407360"/>
        <c:crosses val="autoZero"/>
        <c:auto val="1"/>
        <c:lblAlgn val="ctr"/>
        <c:lblOffset val="100"/>
        <c:noMultiLvlLbl val="0"/>
      </c:catAx>
      <c:valAx>
        <c:axId val="2894073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WHEAT</a:t>
                </a:r>
                <a:r>
                  <a:rPr lang="en-IN" baseline="0"/>
                  <a:t> PRODUCTION (IN METRIC TONNES)</a:t>
                </a:r>
                <a:endParaRPr lang="en-I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3422208"/>
        <c:crosses val="autoZero"/>
        <c:crossBetween val="between"/>
      </c:valAx>
    </c:plotArea>
    <c:legend>
      <c:legendPos val="t"/>
      <c:overlay val="0"/>
    </c:legend>
    <c:plotVisOnly val="1"/>
    <c:dispBlanksAs val="span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 Singhal</dc:creator>
  <cp:lastModifiedBy>Ridam Singhal</cp:lastModifiedBy>
  <cp:revision>4</cp:revision>
  <cp:lastPrinted>2020-10-03T12:48:00Z</cp:lastPrinted>
  <dcterms:created xsi:type="dcterms:W3CDTF">2020-10-03T12:17:00Z</dcterms:created>
  <dcterms:modified xsi:type="dcterms:W3CDTF">2020-10-03T12:50:00Z</dcterms:modified>
</cp:coreProperties>
</file>