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90D" w:rsidRPr="006E05B9" w:rsidRDefault="00F7590D" w:rsidP="00F7590D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11</w:t>
      </w:r>
    </w:p>
    <w:p w:rsidR="00F7590D" w:rsidRPr="006E05B9" w:rsidRDefault="00F7590D" w:rsidP="00F7590D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F7590D" w:rsidRPr="006E05B9" w:rsidRDefault="00F7590D" w:rsidP="00F7590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6E05B9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6E05B9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6E05B9">
        <w:rPr>
          <w:rFonts w:cstheme="minorHAnsi"/>
          <w:b/>
          <w:bCs/>
          <w:sz w:val="28"/>
          <w:szCs w:val="28"/>
          <w:u w:val="single"/>
        </w:rPr>
        <w:t>5040)</w:t>
      </w:r>
    </w:p>
    <w:p w:rsidR="00F7590D" w:rsidRPr="006E05B9" w:rsidRDefault="00F7590D" w:rsidP="00F7590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sz w:val="24"/>
          <w:szCs w:val="28"/>
        </w:rPr>
      </w:pPr>
      <w:r w:rsidRPr="006E05B9">
        <w:rPr>
          <w:rFonts w:cstheme="minorHAnsi"/>
          <w:b/>
          <w:sz w:val="28"/>
          <w:szCs w:val="28"/>
          <w:u w:val="single"/>
        </w:rPr>
        <w:t>AIM: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4"/>
          <w:szCs w:val="28"/>
        </w:rPr>
        <w:t>To ca</w:t>
      </w:r>
      <w:r>
        <w:rPr>
          <w:rFonts w:cstheme="minorHAnsi"/>
          <w:sz w:val="24"/>
          <w:szCs w:val="28"/>
        </w:rPr>
        <w:t>lculate trend using spencer’s 21</w:t>
      </w:r>
      <w:r>
        <w:rPr>
          <w:rFonts w:cstheme="minorHAnsi"/>
          <w:sz w:val="24"/>
          <w:szCs w:val="28"/>
        </w:rPr>
        <w:t>-point formula.</w:t>
      </w:r>
    </w:p>
    <w:p w:rsidR="00F7590D" w:rsidRDefault="00F7590D" w:rsidP="00F7590D">
      <w:pPr>
        <w:spacing w:after="0"/>
        <w:rPr>
          <w:rFonts w:cstheme="minorHAnsi"/>
          <w:sz w:val="24"/>
          <w:szCs w:val="28"/>
        </w:rPr>
      </w:pPr>
    </w:p>
    <w:p w:rsidR="00F7590D" w:rsidRDefault="00F7590D" w:rsidP="00F7590D">
      <w:pPr>
        <w:spacing w:after="0"/>
        <w:rPr>
          <w:rFonts w:cstheme="minorHAnsi"/>
          <w:sz w:val="24"/>
          <w:szCs w:val="28"/>
        </w:rPr>
      </w:pPr>
    </w:p>
    <w:p w:rsidR="00F7590D" w:rsidRDefault="00F7590D" w:rsidP="00F7590D">
      <w:pPr>
        <w:spacing w:after="0"/>
        <w:rPr>
          <w:rFonts w:cstheme="minorHAnsi"/>
          <w:sz w:val="24"/>
          <w:szCs w:val="28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eastAsia="en-IN" w:bidi="ar-SA"/>
        </w:rPr>
        <w:drawing>
          <wp:inline distT="0" distB="0" distL="0" distR="0">
            <wp:extent cx="5731510" cy="182129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0D" w:rsidRDefault="00F7590D" w:rsidP="00F7590D">
      <w:pPr>
        <w:pStyle w:val="Default"/>
      </w:pPr>
    </w:p>
    <w:p w:rsidR="00F7590D" w:rsidRDefault="00F7590D" w:rsidP="00F7590D">
      <w:pPr>
        <w:pStyle w:val="Default"/>
      </w:pPr>
    </w:p>
    <w:p w:rsidR="00F7590D" w:rsidRDefault="00F7590D" w:rsidP="00F7590D">
      <w:pPr>
        <w:pStyle w:val="Default"/>
      </w:pPr>
    </w:p>
    <w:p w:rsidR="00F7590D" w:rsidRDefault="00F7590D" w:rsidP="00F7590D">
      <w:pPr>
        <w:pStyle w:val="Default"/>
      </w:pPr>
    </w:p>
    <w:p w:rsidR="00F7590D" w:rsidRDefault="00F7590D" w:rsidP="00F7590D">
      <w:pPr>
        <w:pStyle w:val="Default"/>
      </w:pPr>
    </w:p>
    <w:p w:rsidR="00F7590D" w:rsidRDefault="00F7590D" w:rsidP="00F7590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THEORY: </w:t>
      </w:r>
    </w:p>
    <w:p w:rsidR="00F7590D" w:rsidRPr="00F7590D" w:rsidRDefault="00F7590D" w:rsidP="00F7590D">
      <w:pPr>
        <w:pStyle w:val="Default"/>
        <w:numPr>
          <w:ilvl w:val="0"/>
          <w:numId w:val="1"/>
        </w:numPr>
        <w:rPr>
          <w:szCs w:val="23"/>
        </w:rPr>
      </w:pPr>
      <w:r w:rsidRPr="00F7590D">
        <w:rPr>
          <w:szCs w:val="23"/>
        </w:rPr>
        <w:t xml:space="preserve">Spencer's 21-point formula requires 21 points to calculate one single trend value. </w:t>
      </w:r>
    </w:p>
    <w:p w:rsidR="00F7590D" w:rsidRPr="00F7590D" w:rsidRDefault="00F7590D" w:rsidP="00F7590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F7590D">
        <w:rPr>
          <w:sz w:val="24"/>
          <w:szCs w:val="23"/>
        </w:rPr>
        <w:t xml:space="preserve">Formula: </w:t>
      </w:r>
      <w:r w:rsidRPr="00F7590D">
        <w:rPr>
          <w:sz w:val="24"/>
          <w:szCs w:val="23"/>
          <w:highlight w:val="green"/>
        </w:rPr>
        <w:t xml:space="preserve">y₀ = 1/350 </w:t>
      </w:r>
      <w:r w:rsidRPr="00F7590D">
        <w:rPr>
          <w:sz w:val="24"/>
          <w:szCs w:val="23"/>
          <w:highlight w:val="green"/>
        </w:rPr>
        <w:t xml:space="preserve">* </w:t>
      </w:r>
      <w:r w:rsidRPr="00F7590D">
        <w:rPr>
          <w:sz w:val="24"/>
          <w:szCs w:val="23"/>
          <w:highlight w:val="green"/>
        </w:rPr>
        <w:t>[5]²[7][-1,0,1,2,1,0,-1]y₀</w:t>
      </w:r>
    </w:p>
    <w:p w:rsidR="00F7590D" w:rsidRPr="00F7590D" w:rsidRDefault="00F7590D" w:rsidP="00F7590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F7590D">
        <w:rPr>
          <w:sz w:val="24"/>
          <w:szCs w:val="23"/>
        </w:rPr>
        <w:t>The above formula is correct up to 3</w:t>
      </w:r>
      <w:r w:rsidRPr="00F7590D">
        <w:rPr>
          <w:sz w:val="24"/>
          <w:szCs w:val="23"/>
          <w:vertAlign w:val="superscript"/>
        </w:rPr>
        <w:t>rd</w:t>
      </w:r>
      <w:r w:rsidRPr="00F7590D">
        <w:rPr>
          <w:sz w:val="24"/>
          <w:szCs w:val="23"/>
        </w:rPr>
        <w:t xml:space="preserve"> differences. </w:t>
      </w:r>
    </w:p>
    <w:p w:rsidR="00F7590D" w:rsidRPr="00F7590D" w:rsidRDefault="00F7590D" w:rsidP="00F7590D">
      <w:pPr>
        <w:spacing w:after="0"/>
        <w:rPr>
          <w:rFonts w:cstheme="minorHAnsi"/>
          <w:sz w:val="28"/>
          <w:szCs w:val="28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F7590D" w:rsidRDefault="00F7590D" w:rsidP="00F7590D">
      <w:p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CALCULATIONS: </w:t>
      </w:r>
      <w:r>
        <w:rPr>
          <w:rFonts w:cstheme="minorHAnsi"/>
          <w:sz w:val="24"/>
          <w:szCs w:val="28"/>
          <w:u w:val="single"/>
        </w:rPr>
        <w:t>(an excel sheet has also been attached for reference to detailed calculations)</w:t>
      </w:r>
    </w:p>
    <w:p w:rsidR="00F7590D" w:rsidRDefault="00F7590D" w:rsidP="00F7590D">
      <w:pPr>
        <w:spacing w:after="0"/>
        <w:rPr>
          <w:rFonts w:cstheme="minorHAnsi"/>
          <w:sz w:val="24"/>
          <w:szCs w:val="28"/>
          <w:u w:val="single"/>
        </w:rPr>
      </w:pPr>
    </w:p>
    <w:p w:rsidR="00F7590D" w:rsidRPr="00F7590D" w:rsidRDefault="00F7590D" w:rsidP="00F7590D">
      <w:pPr>
        <w:spacing w:after="0"/>
        <w:rPr>
          <w:rFonts w:cstheme="minorHAnsi"/>
          <w:szCs w:val="28"/>
          <w:u w:val="single"/>
        </w:rPr>
      </w:pPr>
      <w:r>
        <w:rPr>
          <w:rFonts w:cstheme="minorHAnsi"/>
          <w:szCs w:val="28"/>
          <w:u w:val="single"/>
        </w:rPr>
        <w:t>Table-11.1</w:t>
      </w:r>
    </w:p>
    <w:p w:rsidR="00F7590D" w:rsidRPr="00F7590D" w:rsidRDefault="00F7590D" w:rsidP="00F7590D">
      <w:pPr>
        <w:spacing w:after="0"/>
        <w:rPr>
          <w:rFonts w:cstheme="minorHAnsi"/>
          <w:sz w:val="24"/>
          <w:szCs w:val="28"/>
          <w:u w:val="single"/>
        </w:rPr>
      </w:pPr>
      <w:r w:rsidRPr="00F7590D">
        <w:drawing>
          <wp:inline distT="0" distB="0" distL="0" distR="0" wp14:anchorId="14CA660A" wp14:editId="33B9526B">
            <wp:extent cx="5731510" cy="61036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F" w:rsidRDefault="00171B9F" w:rsidP="00F7590D">
      <w:pPr>
        <w:spacing w:after="0"/>
      </w:pPr>
    </w:p>
    <w:p w:rsidR="00F7590D" w:rsidRDefault="00F7590D" w:rsidP="00F7590D">
      <w:pPr>
        <w:spacing w:after="0"/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b/>
          <w:u w:val="single"/>
        </w:rPr>
      </w:pPr>
    </w:p>
    <w:p w:rsidR="00F7590D" w:rsidRDefault="00F7590D" w:rsidP="00F7590D">
      <w:pPr>
        <w:spacing w:after="0"/>
        <w:rPr>
          <w:u w:val="single"/>
        </w:rPr>
      </w:pPr>
      <w:r>
        <w:rPr>
          <w:u w:val="single"/>
        </w:rPr>
        <w:lastRenderedPageBreak/>
        <w:t>Graph-11.1</w:t>
      </w:r>
    </w:p>
    <w:p w:rsidR="00F7590D" w:rsidRDefault="00F7590D" w:rsidP="00F7590D">
      <w:pPr>
        <w:spacing w:after="0"/>
        <w:rPr>
          <w:u w:val="single"/>
        </w:rPr>
      </w:pPr>
    </w:p>
    <w:p w:rsidR="00F7590D" w:rsidRDefault="00F7590D" w:rsidP="00F7590D">
      <w:pPr>
        <w:spacing w:after="0"/>
        <w:rPr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26C8210A" wp14:editId="44A9F7C8">
            <wp:extent cx="5731510" cy="3866932"/>
            <wp:effectExtent l="0" t="0" r="21590" b="196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590D" w:rsidRDefault="00F7590D" w:rsidP="00F7590D">
      <w:pPr>
        <w:spacing w:after="0"/>
        <w:rPr>
          <w:u w:val="single"/>
        </w:rPr>
      </w:pPr>
    </w:p>
    <w:p w:rsidR="00F7590D" w:rsidRDefault="00F7590D" w:rsidP="00F7590D">
      <w:pPr>
        <w:spacing w:after="0"/>
        <w:rPr>
          <w:u w:val="single"/>
        </w:rPr>
      </w:pPr>
    </w:p>
    <w:p w:rsidR="00F7590D" w:rsidRDefault="00F7590D" w:rsidP="00F7590D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RESULT:</w:t>
      </w:r>
    </w:p>
    <w:p w:rsidR="00F7590D" w:rsidRDefault="00F7590D" w:rsidP="00F7590D">
      <w:pPr>
        <w:spacing w:after="0"/>
        <w:rPr>
          <w:b/>
          <w:sz w:val="28"/>
          <w:u w:val="single"/>
        </w:rPr>
      </w:pPr>
    </w:p>
    <w:p w:rsidR="00F7590D" w:rsidRDefault="00F7590D" w:rsidP="00F7590D">
      <w:pPr>
        <w:pStyle w:val="Default"/>
        <w:numPr>
          <w:ilvl w:val="0"/>
          <w:numId w:val="2"/>
        </w:numPr>
        <w:rPr>
          <w:szCs w:val="23"/>
        </w:rPr>
      </w:pPr>
      <w:r>
        <w:rPr>
          <w:szCs w:val="23"/>
        </w:rPr>
        <w:t>Trend values have be</w:t>
      </w:r>
      <w:r>
        <w:rPr>
          <w:szCs w:val="23"/>
        </w:rPr>
        <w:t>en calculated using spencer’s 21</w:t>
      </w:r>
      <w:r>
        <w:rPr>
          <w:szCs w:val="23"/>
        </w:rPr>
        <w:t xml:space="preserve"> point fo</w:t>
      </w:r>
      <w:r>
        <w:rPr>
          <w:szCs w:val="23"/>
        </w:rPr>
        <w:t>rmula, and are shown in Table 11</w:t>
      </w:r>
      <w:r>
        <w:rPr>
          <w:szCs w:val="23"/>
        </w:rPr>
        <w:t>.1.</w:t>
      </w:r>
    </w:p>
    <w:p w:rsidR="00F7590D" w:rsidRPr="00EE0F10" w:rsidRDefault="00F7590D" w:rsidP="00F7590D">
      <w:pPr>
        <w:pStyle w:val="Default"/>
        <w:numPr>
          <w:ilvl w:val="0"/>
          <w:numId w:val="2"/>
        </w:numPr>
        <w:rPr>
          <w:szCs w:val="23"/>
        </w:rPr>
      </w:pPr>
      <w:r>
        <w:rPr>
          <w:szCs w:val="23"/>
        </w:rPr>
        <w:t>Graph 11</w:t>
      </w:r>
      <w:r>
        <w:rPr>
          <w:szCs w:val="23"/>
        </w:rPr>
        <w:t xml:space="preserve">.1 shows the line graph plotted for the given data and the calculated trend. </w:t>
      </w:r>
    </w:p>
    <w:p w:rsidR="00F7590D" w:rsidRDefault="00F7590D" w:rsidP="00F7590D">
      <w:pPr>
        <w:pStyle w:val="Default"/>
        <w:rPr>
          <w:b/>
          <w:sz w:val="28"/>
          <w:szCs w:val="23"/>
          <w:u w:val="single"/>
        </w:rPr>
      </w:pPr>
    </w:p>
    <w:p w:rsidR="00F7590D" w:rsidRDefault="00F7590D" w:rsidP="00F7590D">
      <w:pPr>
        <w:spacing w:after="0"/>
        <w:rPr>
          <w:b/>
          <w:sz w:val="28"/>
          <w:u w:val="single"/>
        </w:rPr>
      </w:pPr>
    </w:p>
    <w:p w:rsidR="00F7590D" w:rsidRDefault="00F7590D" w:rsidP="00F7590D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CONCLUSION:</w:t>
      </w:r>
    </w:p>
    <w:p w:rsidR="00F7590D" w:rsidRDefault="00F7590D" w:rsidP="00F7590D">
      <w:pPr>
        <w:spacing w:after="0"/>
        <w:rPr>
          <w:b/>
          <w:sz w:val="28"/>
          <w:u w:val="single"/>
        </w:rPr>
      </w:pPr>
    </w:p>
    <w:p w:rsidR="00F7590D" w:rsidRPr="00F7590D" w:rsidRDefault="00F7590D" w:rsidP="00F7590D">
      <w:pPr>
        <w:pStyle w:val="ListParagraph"/>
        <w:numPr>
          <w:ilvl w:val="0"/>
          <w:numId w:val="3"/>
        </w:numPr>
        <w:spacing w:after="0"/>
        <w:rPr>
          <w:sz w:val="24"/>
          <w:szCs w:val="23"/>
        </w:rPr>
      </w:pPr>
      <w:r w:rsidRPr="00F7590D">
        <w:rPr>
          <w:sz w:val="24"/>
          <w:szCs w:val="23"/>
        </w:rPr>
        <w:t>T</w:t>
      </w:r>
      <w:r w:rsidRPr="00F7590D">
        <w:rPr>
          <w:sz w:val="24"/>
          <w:szCs w:val="23"/>
        </w:rPr>
        <w:t xml:space="preserve">he </w:t>
      </w:r>
      <w:r w:rsidRPr="00F7590D">
        <w:rPr>
          <w:sz w:val="24"/>
          <w:szCs w:val="23"/>
        </w:rPr>
        <w:t xml:space="preserve">production of </w:t>
      </w:r>
      <w:r w:rsidRPr="00F7590D">
        <w:rPr>
          <w:sz w:val="24"/>
          <w:szCs w:val="23"/>
        </w:rPr>
        <w:t xml:space="preserve">wheat from </w:t>
      </w:r>
      <w:r w:rsidRPr="00F7590D">
        <w:rPr>
          <w:sz w:val="24"/>
          <w:szCs w:val="23"/>
        </w:rPr>
        <w:t>1987-2019 follows increasing trends in the beginning, but the last 3 trend values are observed to be decreasing.</w:t>
      </w:r>
    </w:p>
    <w:p w:rsidR="00F7590D" w:rsidRDefault="00F7590D" w:rsidP="00F7590D">
      <w:pPr>
        <w:spacing w:after="0"/>
        <w:rPr>
          <w:sz w:val="24"/>
          <w:szCs w:val="23"/>
        </w:rPr>
      </w:pPr>
    </w:p>
    <w:p w:rsidR="00F7590D" w:rsidRPr="00F7590D" w:rsidRDefault="00F7590D" w:rsidP="00F7590D">
      <w:pPr>
        <w:pStyle w:val="ListParagraph"/>
        <w:numPr>
          <w:ilvl w:val="0"/>
          <w:numId w:val="3"/>
        </w:numPr>
        <w:spacing w:after="0"/>
        <w:rPr>
          <w:sz w:val="24"/>
          <w:szCs w:val="23"/>
        </w:rPr>
      </w:pPr>
      <w:bookmarkStart w:id="0" w:name="_GoBack"/>
      <w:bookmarkEnd w:id="0"/>
      <w:r w:rsidRPr="00F7590D">
        <w:rPr>
          <w:sz w:val="24"/>
          <w:szCs w:val="23"/>
        </w:rPr>
        <w:t>T</w:t>
      </w:r>
      <w:r w:rsidRPr="00F7590D">
        <w:rPr>
          <w:sz w:val="24"/>
          <w:szCs w:val="23"/>
        </w:rPr>
        <w:t xml:space="preserve">his shows us that there </w:t>
      </w:r>
      <w:r w:rsidRPr="00F7590D">
        <w:rPr>
          <w:sz w:val="24"/>
          <w:szCs w:val="23"/>
        </w:rPr>
        <w:t>have</w:t>
      </w:r>
      <w:r w:rsidRPr="00F7590D">
        <w:rPr>
          <w:sz w:val="24"/>
          <w:szCs w:val="23"/>
        </w:rPr>
        <w:t xml:space="preserve"> been some fluctuations in production of wheat.</w:t>
      </w:r>
    </w:p>
    <w:sectPr w:rsidR="00F7590D" w:rsidRPr="00F7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D7D"/>
    <w:multiLevelType w:val="hybridMultilevel"/>
    <w:tmpl w:val="A23C6282"/>
    <w:lvl w:ilvl="0" w:tplc="8684EF5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017AC"/>
    <w:multiLevelType w:val="hybridMultilevel"/>
    <w:tmpl w:val="F6026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86791"/>
    <w:multiLevelType w:val="hybridMultilevel"/>
    <w:tmpl w:val="D5C0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A9"/>
    <w:rsid w:val="00100FA9"/>
    <w:rsid w:val="00171B9F"/>
    <w:rsid w:val="002E1A78"/>
    <w:rsid w:val="003B26FF"/>
    <w:rsid w:val="00F7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0D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0D"/>
    <w:rPr>
      <w:rFonts w:ascii="Tahoma" w:hAnsi="Tahoma" w:cs="Mangal"/>
      <w:sz w:val="16"/>
      <w:szCs w:val="14"/>
      <w:lang w:bidi="hi-IN"/>
    </w:rPr>
  </w:style>
  <w:style w:type="paragraph" w:customStyle="1" w:styleId="Default">
    <w:name w:val="Default"/>
    <w:rsid w:val="00F75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90D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0D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0D"/>
    <w:rPr>
      <w:rFonts w:ascii="Tahoma" w:hAnsi="Tahoma" w:cs="Mangal"/>
      <w:sz w:val="16"/>
      <w:szCs w:val="14"/>
      <w:lang w:bidi="hi-IN"/>
    </w:rPr>
  </w:style>
  <w:style w:type="paragraph" w:customStyle="1" w:styleId="Default">
    <w:name w:val="Default"/>
    <w:rsid w:val="00F75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90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Given</a:t>
            </a:r>
            <a:r>
              <a:rPr lang="en-IN" baseline="0"/>
              <a:t> Data v/s Calculated Trend</a:t>
            </a: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Given Data</c:v>
          </c:tx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1987</c:v>
                </c:pt>
                <c:pt idx="1">
                  <c:v>1988</c:v>
                </c:pt>
                <c:pt idx="2">
                  <c:v>1989</c:v>
                </c:pt>
                <c:pt idx="3">
                  <c:v>1990</c:v>
                </c:pt>
                <c:pt idx="4">
                  <c:v>1991</c:v>
                </c:pt>
                <c:pt idx="5">
                  <c:v>1992</c:v>
                </c:pt>
                <c:pt idx="6">
                  <c:v>1993</c:v>
                </c:pt>
                <c:pt idx="7">
                  <c:v>1994</c:v>
                </c:pt>
                <c:pt idx="8">
                  <c:v>1995</c:v>
                </c:pt>
                <c:pt idx="9">
                  <c:v>1996</c:v>
                </c:pt>
                <c:pt idx="10">
                  <c:v>1997</c:v>
                </c:pt>
                <c:pt idx="11">
                  <c:v>1998</c:v>
                </c:pt>
                <c:pt idx="12">
                  <c:v>1999</c:v>
                </c:pt>
                <c:pt idx="13">
                  <c:v>2000</c:v>
                </c:pt>
                <c:pt idx="14">
                  <c:v>2001</c:v>
                </c:pt>
                <c:pt idx="15">
                  <c:v>2002</c:v>
                </c:pt>
                <c:pt idx="16">
                  <c:v>2003</c:v>
                </c:pt>
                <c:pt idx="17">
                  <c:v>2004</c:v>
                </c:pt>
                <c:pt idx="18">
                  <c:v>2005</c:v>
                </c:pt>
                <c:pt idx="19">
                  <c:v>2006</c:v>
                </c:pt>
                <c:pt idx="20">
                  <c:v>2007</c:v>
                </c:pt>
                <c:pt idx="21">
                  <c:v>2008</c:v>
                </c:pt>
                <c:pt idx="22">
                  <c:v>2009</c:v>
                </c:pt>
                <c:pt idx="23">
                  <c:v>2010</c:v>
                </c:pt>
                <c:pt idx="24">
                  <c:v>2011</c:v>
                </c:pt>
                <c:pt idx="25">
                  <c:v>2012</c:v>
                </c:pt>
                <c:pt idx="26">
                  <c:v>2013</c:v>
                </c:pt>
                <c:pt idx="27">
                  <c:v>2014</c:v>
                </c:pt>
                <c:pt idx="28">
                  <c:v>2015</c:v>
                </c:pt>
                <c:pt idx="29">
                  <c:v>2016</c:v>
                </c:pt>
                <c:pt idx="30">
                  <c:v>2017</c:v>
                </c:pt>
                <c:pt idx="31">
                  <c:v>2018</c:v>
                </c:pt>
                <c:pt idx="32">
                  <c:v>2019</c:v>
                </c:pt>
              </c:numCache>
            </c:num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55134</c:v>
                </c:pt>
                <c:pt idx="1">
                  <c:v>55690</c:v>
                </c:pt>
                <c:pt idx="2">
                  <c:v>57210</c:v>
                </c:pt>
                <c:pt idx="3">
                  <c:v>59840</c:v>
                </c:pt>
                <c:pt idx="4">
                  <c:v>65470</c:v>
                </c:pt>
                <c:pt idx="5">
                  <c:v>62097</c:v>
                </c:pt>
                <c:pt idx="6">
                  <c:v>69350</c:v>
                </c:pt>
                <c:pt idx="7">
                  <c:v>71288</c:v>
                </c:pt>
                <c:pt idx="8">
                  <c:v>76369</c:v>
                </c:pt>
                <c:pt idx="9">
                  <c:v>69681</c:v>
                </c:pt>
                <c:pt idx="10">
                  <c:v>72766</c:v>
                </c:pt>
                <c:pt idx="11">
                  <c:v>68637</c:v>
                </c:pt>
                <c:pt idx="12">
                  <c:v>69355</c:v>
                </c:pt>
                <c:pt idx="13">
                  <c:v>75807</c:v>
                </c:pt>
                <c:pt idx="14">
                  <c:v>78570</c:v>
                </c:pt>
                <c:pt idx="15">
                  <c:v>80679</c:v>
                </c:pt>
                <c:pt idx="16">
                  <c:v>80804</c:v>
                </c:pt>
                <c:pt idx="17">
                  <c:v>86874</c:v>
                </c:pt>
                <c:pt idx="18">
                  <c:v>94882</c:v>
                </c:pt>
                <c:pt idx="19">
                  <c:v>83506</c:v>
                </c:pt>
                <c:pt idx="20">
                  <c:v>95850</c:v>
                </c:pt>
                <c:pt idx="21">
                  <c:v>86530</c:v>
                </c:pt>
                <c:pt idx="22">
                  <c:v>65761</c:v>
                </c:pt>
                <c:pt idx="23">
                  <c:v>72156</c:v>
                </c:pt>
                <c:pt idx="24">
                  <c:v>87000</c:v>
                </c:pt>
                <c:pt idx="25">
                  <c:v>98380</c:v>
                </c:pt>
                <c:pt idx="26">
                  <c:v>87750</c:v>
                </c:pt>
                <c:pt idx="27">
                  <c:v>52097</c:v>
                </c:pt>
                <c:pt idx="28">
                  <c:v>69350</c:v>
                </c:pt>
                <c:pt idx="29">
                  <c:v>81288</c:v>
                </c:pt>
                <c:pt idx="30">
                  <c:v>76369</c:v>
                </c:pt>
                <c:pt idx="31">
                  <c:v>99681</c:v>
                </c:pt>
                <c:pt idx="32">
                  <c:v>82766</c:v>
                </c:pt>
              </c:numCache>
            </c:numRef>
          </c:val>
          <c:smooth val="0"/>
        </c:ser>
        <c:ser>
          <c:idx val="1"/>
          <c:order val="1"/>
          <c:tx>
            <c:v>Trend</c:v>
          </c:tx>
          <c:marker>
            <c:symbol val="none"/>
          </c:marker>
          <c:cat>
            <c:numRef>
              <c:f>Sheet1!$A$2:$A$34</c:f>
              <c:numCache>
                <c:formatCode>General</c:formatCode>
                <c:ptCount val="33"/>
                <c:pt idx="0">
                  <c:v>1987</c:v>
                </c:pt>
                <c:pt idx="1">
                  <c:v>1988</c:v>
                </c:pt>
                <c:pt idx="2">
                  <c:v>1989</c:v>
                </c:pt>
                <c:pt idx="3">
                  <c:v>1990</c:v>
                </c:pt>
                <c:pt idx="4">
                  <c:v>1991</c:v>
                </c:pt>
                <c:pt idx="5">
                  <c:v>1992</c:v>
                </c:pt>
                <c:pt idx="6">
                  <c:v>1993</c:v>
                </c:pt>
                <c:pt idx="7">
                  <c:v>1994</c:v>
                </c:pt>
                <c:pt idx="8">
                  <c:v>1995</c:v>
                </c:pt>
                <c:pt idx="9">
                  <c:v>1996</c:v>
                </c:pt>
                <c:pt idx="10">
                  <c:v>1997</c:v>
                </c:pt>
                <c:pt idx="11">
                  <c:v>1998</c:v>
                </c:pt>
                <c:pt idx="12">
                  <c:v>1999</c:v>
                </c:pt>
                <c:pt idx="13">
                  <c:v>2000</c:v>
                </c:pt>
                <c:pt idx="14">
                  <c:v>2001</c:v>
                </c:pt>
                <c:pt idx="15">
                  <c:v>2002</c:v>
                </c:pt>
                <c:pt idx="16">
                  <c:v>2003</c:v>
                </c:pt>
                <c:pt idx="17">
                  <c:v>2004</c:v>
                </c:pt>
                <c:pt idx="18">
                  <c:v>2005</c:v>
                </c:pt>
                <c:pt idx="19">
                  <c:v>2006</c:v>
                </c:pt>
                <c:pt idx="20">
                  <c:v>2007</c:v>
                </c:pt>
                <c:pt idx="21">
                  <c:v>2008</c:v>
                </c:pt>
                <c:pt idx="22">
                  <c:v>2009</c:v>
                </c:pt>
                <c:pt idx="23">
                  <c:v>2010</c:v>
                </c:pt>
                <c:pt idx="24">
                  <c:v>2011</c:v>
                </c:pt>
                <c:pt idx="25">
                  <c:v>2012</c:v>
                </c:pt>
                <c:pt idx="26">
                  <c:v>2013</c:v>
                </c:pt>
                <c:pt idx="27">
                  <c:v>2014</c:v>
                </c:pt>
                <c:pt idx="28">
                  <c:v>2015</c:v>
                </c:pt>
                <c:pt idx="29">
                  <c:v>2016</c:v>
                </c:pt>
                <c:pt idx="30">
                  <c:v>2017</c:v>
                </c:pt>
                <c:pt idx="31">
                  <c:v>2018</c:v>
                </c:pt>
                <c:pt idx="32">
                  <c:v>2019</c:v>
                </c:pt>
              </c:numCache>
            </c:numRef>
          </c:cat>
          <c:val>
            <c:numRef>
              <c:f>Sheet1!$G$2:$G$34</c:f>
              <c:numCache>
                <c:formatCode>General</c:formatCode>
                <c:ptCount val="33"/>
                <c:pt idx="10" formatCode="0.00">
                  <c:v>71763.757142857139</c:v>
                </c:pt>
                <c:pt idx="11" formatCode="0.00">
                  <c:v>72538.679999999993</c:v>
                </c:pt>
                <c:pt idx="12" formatCode="0.00">
                  <c:v>73777.731428571424</c:v>
                </c:pt>
                <c:pt idx="13" formatCode="0.00">
                  <c:v>75733.974285714285</c:v>
                </c:pt>
                <c:pt idx="14" formatCode="0.00">
                  <c:v>78273.462857142862</c:v>
                </c:pt>
                <c:pt idx="15" formatCode="0.00">
                  <c:v>81060.962857142862</c:v>
                </c:pt>
                <c:pt idx="16" formatCode="0.00">
                  <c:v>83553.822857142863</c:v>
                </c:pt>
                <c:pt idx="17" formatCode="0.00">
                  <c:v>85415.417142857143</c:v>
                </c:pt>
                <c:pt idx="18" formatCode="0.00">
                  <c:v>86427.208571428579</c:v>
                </c:pt>
                <c:pt idx="19" formatCode="0.00">
                  <c:v>86566.517142857148</c:v>
                </c:pt>
                <c:pt idx="20" formatCode="0.00">
                  <c:v>85918.554285714286</c:v>
                </c:pt>
                <c:pt idx="21" formatCode="0.00">
                  <c:v>84776.07428571429</c:v>
                </c:pt>
                <c:pt idx="22" formatCode="0.00">
                  <c:v>83270.654285714292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799360"/>
        <c:axId val="134801280"/>
      </c:lineChart>
      <c:catAx>
        <c:axId val="134799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801280"/>
        <c:crosses val="autoZero"/>
        <c:auto val="1"/>
        <c:lblAlgn val="ctr"/>
        <c:lblOffset val="100"/>
        <c:noMultiLvlLbl val="0"/>
      </c:catAx>
      <c:valAx>
        <c:axId val="134801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WHEAT</a:t>
                </a:r>
                <a:r>
                  <a:rPr lang="en-IN" baseline="0"/>
                  <a:t> PRODUCTION (IN METRIC TONNES)</a:t>
                </a:r>
                <a:endParaRPr lang="en-I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799360"/>
        <c:crosses val="autoZero"/>
        <c:crossBetween val="between"/>
      </c:valAx>
    </c:plotArea>
    <c:legend>
      <c:legendPos val="r"/>
      <c:overlay val="0"/>
    </c:legend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CF093-0639-416C-A134-E9F839A4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5</cp:revision>
  <cp:lastPrinted>2020-10-03T18:05:00Z</cp:lastPrinted>
  <dcterms:created xsi:type="dcterms:W3CDTF">2020-10-03T17:54:00Z</dcterms:created>
  <dcterms:modified xsi:type="dcterms:W3CDTF">2020-10-03T18:05:00Z</dcterms:modified>
</cp:coreProperties>
</file>