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82" w:rsidRPr="006E05B9" w:rsidRDefault="009E3482" w:rsidP="00A401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>TIME SERIES ANALYSIS</w:t>
      </w:r>
    </w:p>
    <w:p w:rsidR="009E3482" w:rsidRPr="006E05B9" w:rsidRDefault="009E3482" w:rsidP="00A401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9</w:t>
      </w:r>
    </w:p>
    <w:p w:rsidR="009E3482" w:rsidRPr="006E05B9" w:rsidRDefault="009E3482" w:rsidP="00A401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9E3482" w:rsidRPr="006E05B9" w:rsidRDefault="009E3482" w:rsidP="00A4015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6E05B9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6E05B9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6E05B9">
        <w:rPr>
          <w:rFonts w:cstheme="minorHAnsi"/>
          <w:b/>
          <w:bCs/>
          <w:sz w:val="28"/>
          <w:szCs w:val="28"/>
          <w:u w:val="single"/>
        </w:rPr>
        <w:t>5040)</w:t>
      </w:r>
    </w:p>
    <w:p w:rsidR="009E3482" w:rsidRPr="006E05B9" w:rsidRDefault="009E3482" w:rsidP="00A4015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8A5468" w:rsidRDefault="009E3482" w:rsidP="00A40156">
      <w:pPr>
        <w:spacing w:after="0"/>
        <w:rPr>
          <w:rFonts w:cstheme="minorHAnsi"/>
          <w:sz w:val="24"/>
          <w:szCs w:val="28"/>
        </w:rPr>
      </w:pPr>
      <w:r w:rsidRPr="006E05B9">
        <w:rPr>
          <w:rFonts w:cstheme="minorHAnsi"/>
          <w:b/>
          <w:sz w:val="28"/>
          <w:szCs w:val="28"/>
          <w:u w:val="single"/>
        </w:rPr>
        <w:t>AIM:</w:t>
      </w:r>
      <w:r w:rsidR="00A53755">
        <w:rPr>
          <w:rFonts w:cstheme="minorHAnsi"/>
          <w:b/>
          <w:sz w:val="28"/>
          <w:szCs w:val="28"/>
        </w:rPr>
        <w:t xml:space="preserve"> </w:t>
      </w:r>
      <w:r w:rsidR="00A53755">
        <w:rPr>
          <w:rFonts w:cstheme="minorHAnsi"/>
          <w:sz w:val="24"/>
          <w:szCs w:val="28"/>
        </w:rPr>
        <w:t>To carry out de-</w:t>
      </w:r>
      <w:proofErr w:type="spellStart"/>
      <w:r w:rsidR="00A53755">
        <w:rPr>
          <w:rFonts w:cstheme="minorHAnsi"/>
          <w:sz w:val="24"/>
          <w:szCs w:val="28"/>
        </w:rPr>
        <w:t>seasonalization</w:t>
      </w:r>
      <w:proofErr w:type="spellEnd"/>
      <w:r w:rsidR="00A53755">
        <w:rPr>
          <w:rFonts w:cstheme="minorHAnsi"/>
          <w:sz w:val="24"/>
          <w:szCs w:val="28"/>
        </w:rPr>
        <w:t xml:space="preserve"> of the data using </w:t>
      </w:r>
      <w:r w:rsidR="00A40156">
        <w:rPr>
          <w:rFonts w:cstheme="minorHAnsi"/>
          <w:sz w:val="24"/>
          <w:szCs w:val="28"/>
        </w:rPr>
        <w:t xml:space="preserve">ratio to moving average method, and estimate the values using multiplicative model. </w:t>
      </w:r>
    </w:p>
    <w:p w:rsidR="00A40156" w:rsidRDefault="00A40156" w:rsidP="00A40156">
      <w:pPr>
        <w:spacing w:after="0"/>
        <w:rPr>
          <w:rFonts w:cstheme="minorHAnsi"/>
          <w:sz w:val="24"/>
          <w:szCs w:val="28"/>
        </w:rPr>
      </w:pPr>
    </w:p>
    <w:p w:rsidR="00A40156" w:rsidRDefault="00A40156" w:rsidP="00A40156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</w:p>
    <w:p w:rsidR="00A40156" w:rsidRDefault="00A40156" w:rsidP="00A40156">
      <w:pPr>
        <w:spacing w:after="0"/>
        <w:jc w:val="center"/>
        <w:rPr>
          <w:sz w:val="24"/>
        </w:rPr>
      </w:pPr>
      <w:r>
        <w:rPr>
          <w:noProof/>
          <w:sz w:val="24"/>
          <w:lang w:eastAsia="en-IN" w:bidi="ar-SA"/>
        </w:rPr>
        <w:drawing>
          <wp:inline distT="0" distB="0" distL="0" distR="0" wp14:anchorId="3142629C" wp14:editId="5ACDCC6B">
            <wp:extent cx="4667250" cy="3075184"/>
            <wp:effectExtent l="0" t="0" r="0" b="0"/>
            <wp:docPr id="1" name="Picture 1" descr="C:\Users\singh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83" cy="30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56" w:rsidRDefault="00A40156" w:rsidP="00A40156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THEORY: </w:t>
      </w:r>
    </w:p>
    <w:p w:rsidR="00A40156" w:rsidRPr="00EA673D" w:rsidRDefault="00A40156" w:rsidP="00A40156">
      <w:pPr>
        <w:spacing w:after="0"/>
        <w:rPr>
          <w:sz w:val="24"/>
        </w:rPr>
      </w:pPr>
    </w:p>
    <w:p w:rsidR="00A40156" w:rsidRPr="00A40156" w:rsidRDefault="00A40156" w:rsidP="00A40156">
      <w:pPr>
        <w:spacing w:after="0"/>
        <w:rPr>
          <w:sz w:val="24"/>
          <w:u w:val="single"/>
        </w:rPr>
      </w:pPr>
      <w:r>
        <w:rPr>
          <w:sz w:val="24"/>
          <w:u w:val="single"/>
        </w:rPr>
        <w:t>RATIO TO MOVING AVERAGE</w:t>
      </w:r>
    </w:p>
    <w:p w:rsidR="00A40156" w:rsidRPr="00A40156" w:rsidRDefault="00A40156" w:rsidP="00A40156">
      <w:pPr>
        <w:spacing w:after="0"/>
        <w:rPr>
          <w:sz w:val="24"/>
        </w:rPr>
      </w:pPr>
      <w:r w:rsidRPr="00A40156">
        <w:rPr>
          <w:sz w:val="24"/>
        </w:rPr>
        <w:t>This method involves the following steps:</w:t>
      </w:r>
    </w:p>
    <w:p w:rsidR="00A40156" w:rsidRP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This method is based on calculating moving averages by considering n = 12 for monthly data, and n = 4 for quarterly data.</w:t>
      </w:r>
    </w:p>
    <w:p w:rsidR="00A40156" w:rsidRP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For monthly data first calculate the successive averages for the groups of size 12 and then take a 2-point moving average of these averages.</w:t>
      </w:r>
    </w:p>
    <w:p w:rsidR="00A40156" w:rsidRP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Convert the data series as the percentages of the 2-point moving average values i.e. ((given data)</w:t>
      </w:r>
      <w:proofErr w:type="gramStart"/>
      <w:r w:rsidRPr="00A40156">
        <w:rPr>
          <w:rFonts w:cstheme="minorHAnsi"/>
          <w:sz w:val="24"/>
          <w:szCs w:val="21"/>
          <w:lang w:bidi="ar-SA"/>
        </w:rPr>
        <w:t>/(</w:t>
      </w:r>
      <w:proofErr w:type="gramEnd"/>
      <w:r w:rsidRPr="00A40156">
        <w:rPr>
          <w:rFonts w:cstheme="minorHAnsi"/>
          <w:sz w:val="24"/>
          <w:szCs w:val="21"/>
          <w:lang w:bidi="ar-SA"/>
        </w:rPr>
        <w:t>2-point moving average)*100).</w:t>
      </w:r>
    </w:p>
    <w:p w:rsidR="00A40156" w:rsidRP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These percentages would now represent seasonal variations along with random components.</w:t>
      </w:r>
    </w:p>
    <w:p w:rsidR="00A40156" w:rsidRP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The random component is eliminated by averaging these monthly percentages.</w:t>
      </w:r>
    </w:p>
    <w:p w:rsidR="00A40156" w:rsidRDefault="00A40156" w:rsidP="00A4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 w:rsidRPr="00A40156">
        <w:rPr>
          <w:rFonts w:cstheme="minorHAnsi"/>
          <w:sz w:val="24"/>
          <w:szCs w:val="21"/>
          <w:lang w:bidi="ar-SA"/>
        </w:rPr>
        <w:t>Adjusted seasonal indices are computed to make the sum of the indices 1200 or 400 by multiplying them throughout by a correction factor k.</w:t>
      </w:r>
    </w:p>
    <w:p w:rsidR="00A40156" w:rsidRDefault="00A40156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</w:p>
    <w:p w:rsidR="00A40156" w:rsidRDefault="00A40156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</w:p>
    <w:p w:rsidR="00A40156" w:rsidRDefault="00A40156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</w:p>
    <w:p w:rsidR="00A40156" w:rsidRDefault="00A40156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</w:p>
    <w:p w:rsidR="00A40156" w:rsidRDefault="00A40156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u w:val="single"/>
          <w:lang w:bidi="ar-SA"/>
        </w:rPr>
      </w:pPr>
      <w:r>
        <w:rPr>
          <w:rFonts w:cstheme="minorHAnsi"/>
          <w:sz w:val="24"/>
          <w:szCs w:val="21"/>
          <w:u w:val="single"/>
          <w:lang w:bidi="ar-SA"/>
        </w:rPr>
        <w:lastRenderedPageBreak/>
        <w:t>DESEASONALISATION OF DATA</w:t>
      </w:r>
    </w:p>
    <w:p w:rsidR="00327440" w:rsidRDefault="00327440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u w:val="single"/>
          <w:lang w:bidi="ar-SA"/>
        </w:rPr>
      </w:pPr>
    </w:p>
    <w:p w:rsidR="00327440" w:rsidRPr="00327440" w:rsidRDefault="00327440" w:rsidP="00A401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bidi="ar-SA"/>
        </w:rPr>
      </w:pPr>
      <w:r>
        <w:rPr>
          <w:rFonts w:cstheme="minorHAnsi"/>
          <w:sz w:val="24"/>
          <w:szCs w:val="21"/>
          <w:lang w:bidi="ar-SA"/>
        </w:rPr>
        <w:t>Elimination of seasonal effects from the given values is termed as de-</w:t>
      </w:r>
      <w:proofErr w:type="spellStart"/>
      <w:r>
        <w:rPr>
          <w:rFonts w:cstheme="minorHAnsi"/>
          <w:sz w:val="24"/>
          <w:szCs w:val="21"/>
          <w:lang w:bidi="ar-SA"/>
        </w:rPr>
        <w:t>seasonalization</w:t>
      </w:r>
      <w:proofErr w:type="spellEnd"/>
      <w:r>
        <w:rPr>
          <w:rFonts w:cstheme="minorHAnsi"/>
          <w:sz w:val="24"/>
          <w:szCs w:val="21"/>
          <w:lang w:bidi="ar-SA"/>
        </w:rPr>
        <w:t xml:space="preserve"> of the data. It helps us adjust the given time series for seasonal variations, thus leaving us with trend component, cyclic and irregular movements. </w:t>
      </w:r>
    </w:p>
    <w:p w:rsidR="00A40156" w:rsidRDefault="00A872EB" w:rsidP="00A40156">
      <w:pPr>
        <w:spacing w:after="0"/>
        <w:rPr>
          <w:sz w:val="24"/>
        </w:rPr>
      </w:pPr>
      <w:r>
        <w:rPr>
          <w:sz w:val="24"/>
        </w:rPr>
        <w:t xml:space="preserve">In multiplicative model, de-seasonalized data is obtained by dividing the given values by corresponding indices of seasonal variation. </w:t>
      </w:r>
    </w:p>
    <w:p w:rsidR="00A872EB" w:rsidRDefault="00A872EB" w:rsidP="00A40156">
      <w:pPr>
        <w:spacing w:after="0"/>
        <w:rPr>
          <w:sz w:val="24"/>
        </w:rPr>
      </w:pPr>
    </w:p>
    <w:p w:rsidR="00A872EB" w:rsidRDefault="005E4448" w:rsidP="00A872EB">
      <w:pPr>
        <w:spacing w:after="0"/>
        <w:jc w:val="center"/>
        <w:rPr>
          <w:rFonts w:eastAsiaTheme="minorEastAsia" w:cstheme="minorHAnsi"/>
          <w:sz w:val="24"/>
        </w:rPr>
      </w:pPr>
      <m:oMath>
        <m:f>
          <m:fPr>
            <m:ctrlPr>
              <w:rPr>
                <w:rFonts w:ascii="Cambria Math" w:hAnsi="Cambria Math" w:cstheme="minorHAnsi"/>
                <w:sz w:val="24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highlight w:val="gree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highlight w:val="green"/>
              </w:rPr>
              <m:t>S</m:t>
            </m:r>
          </m:den>
        </m:f>
      </m:oMath>
      <w:r w:rsidR="00A872EB" w:rsidRPr="00A872EB">
        <w:rPr>
          <w:rFonts w:eastAsiaTheme="minorEastAsia" w:cstheme="minorHAnsi"/>
          <w:sz w:val="24"/>
          <w:highlight w:val="gree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highlight w:val="green"/>
              </w:rPr>
              <m:t>TCSI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highlight w:val="green"/>
              </w:rPr>
              <m:t>S</m:t>
            </m:r>
          </m:den>
        </m:f>
      </m:oMath>
      <w:r w:rsidR="00A872EB" w:rsidRPr="00A872EB">
        <w:rPr>
          <w:rFonts w:eastAsiaTheme="minorEastAsia" w:cstheme="minorHAnsi"/>
          <w:sz w:val="24"/>
          <w:highlight w:val="green"/>
        </w:rPr>
        <w:t xml:space="preserve"> = TCSI</w:t>
      </w:r>
    </w:p>
    <w:p w:rsidR="00A872EB" w:rsidRDefault="00A872EB" w:rsidP="00A872EB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Where,</w:t>
      </w:r>
    </w:p>
    <w:p w:rsidR="00A872EB" w:rsidRDefault="00A872EB" w:rsidP="00A872EB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y = value of time series</w:t>
      </w:r>
    </w:p>
    <w:p w:rsidR="00A872EB" w:rsidRDefault="00A872EB" w:rsidP="00A872EB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S = seasonal component</w:t>
      </w:r>
    </w:p>
    <w:p w:rsidR="00A872EB" w:rsidRDefault="00A872EB" w:rsidP="00A872EB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C = cyclic component</w:t>
      </w:r>
    </w:p>
    <w:p w:rsidR="00327440" w:rsidRDefault="00A872EB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I = irregular component </w:t>
      </w:r>
    </w:p>
    <w:p w:rsidR="00327440" w:rsidRDefault="00327440">
      <w:pPr>
        <w:spacing w:after="0"/>
        <w:rPr>
          <w:rFonts w:eastAsiaTheme="minorEastAsia" w:cstheme="minorHAnsi"/>
          <w:sz w:val="24"/>
        </w:rPr>
      </w:pPr>
    </w:p>
    <w:p w:rsidR="00327440" w:rsidRPr="00001031" w:rsidRDefault="00327440">
      <w:pPr>
        <w:spacing w:after="0"/>
        <w:rPr>
          <w:rFonts w:eastAsiaTheme="minorEastAsia" w:cstheme="minorHAnsi"/>
          <w:sz w:val="24"/>
          <w:u w:val="single"/>
        </w:rPr>
      </w:pPr>
      <w:r>
        <w:rPr>
          <w:rFonts w:eastAsiaTheme="minorEastAsia" w:cstheme="minorHAnsi"/>
          <w:b/>
          <w:sz w:val="28"/>
          <w:u w:val="single"/>
        </w:rPr>
        <w:t>CALCULATION:</w:t>
      </w:r>
      <w:r w:rsidR="00001031">
        <w:rPr>
          <w:rFonts w:eastAsiaTheme="minorEastAsia" w:cstheme="minorHAnsi"/>
          <w:b/>
          <w:sz w:val="28"/>
          <w:u w:val="single"/>
        </w:rPr>
        <w:t xml:space="preserve"> </w:t>
      </w:r>
      <w:r w:rsidR="00001031" w:rsidRPr="008E14FD">
        <w:rPr>
          <w:rFonts w:eastAsiaTheme="minorEastAsia" w:cstheme="minorHAnsi"/>
          <w:sz w:val="24"/>
        </w:rPr>
        <w:t>(An Excel sheet has also been attached for reference).</w:t>
      </w:r>
    </w:p>
    <w:p w:rsidR="00391719" w:rsidRPr="00391719" w:rsidRDefault="00391719">
      <w:pPr>
        <w:spacing w:after="0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Table 9.1</w:t>
      </w:r>
    </w:p>
    <w:tbl>
      <w:tblPr>
        <w:tblW w:w="10800" w:type="dxa"/>
        <w:tblInd w:w="-882" w:type="dxa"/>
        <w:tblLook w:val="04A0" w:firstRow="1" w:lastRow="0" w:firstColumn="1" w:lastColumn="0" w:noHBand="0" w:noVBand="1"/>
      </w:tblPr>
      <w:tblGrid>
        <w:gridCol w:w="980"/>
        <w:gridCol w:w="1300"/>
        <w:gridCol w:w="1760"/>
        <w:gridCol w:w="2260"/>
        <w:gridCol w:w="2240"/>
        <w:gridCol w:w="2260"/>
      </w:tblGrid>
      <w:tr w:rsidR="00C90071" w:rsidRPr="00C90071" w:rsidTr="00C90071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YEAR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MONTH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5F60A8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SALES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 POINT MOVING AVG.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CENTRED MOVING AVG.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RATIO TO MOVING AVG.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FEB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APR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0.882352941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73.33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AUG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0.736363636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73.33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SEP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1.11881751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OCT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1.218274112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NOV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1.302325581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DEC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75.21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1.489196676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lastRenderedPageBreak/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72.67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1.197247706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FEB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1.13950762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0.916568743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APR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0.944770858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0.742556918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0.545454545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72.46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0.317423807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AUG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0.780706674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75.17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SEP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0.966793685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OCT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1.250398724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78.83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NOV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1.273109244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79.83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DEC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81.04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1.382005141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82.25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1.303060217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FEB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1.178055823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1.135135135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APR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0.915851272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0.761346999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0.777513101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88.42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0.853080569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AUG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0.667946257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SEP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0.803940887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82.92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OCT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81.92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0.927772126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80.92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lastRenderedPageBreak/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NOV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1.602503912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78.83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DEC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1.720658524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1.261802575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FEB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1.141621622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0.754062839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APR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0.697899838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77.83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0.515851693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0.764991896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JUL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AUG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SEP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OCT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NOV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90071" w:rsidRPr="00C90071" w:rsidTr="00C90071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DEC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</w:tbl>
    <w:p w:rsidR="00327440" w:rsidRDefault="00327440">
      <w:pPr>
        <w:spacing w:after="0"/>
        <w:rPr>
          <w:rFonts w:cstheme="minorHAnsi"/>
          <w:sz w:val="28"/>
        </w:rPr>
      </w:pPr>
    </w:p>
    <w:p w:rsidR="00C90071" w:rsidRPr="00391719" w:rsidRDefault="00391719">
      <w:pPr>
        <w:spacing w:after="0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Table 9.2</w:t>
      </w:r>
    </w:p>
    <w:tbl>
      <w:tblPr>
        <w:tblW w:w="11231" w:type="dxa"/>
        <w:tblInd w:w="-909" w:type="dxa"/>
        <w:tblLook w:val="04A0" w:firstRow="1" w:lastRow="0" w:firstColumn="1" w:lastColumn="0" w:noHBand="0" w:noVBand="1"/>
      </w:tblPr>
      <w:tblGrid>
        <w:gridCol w:w="1138"/>
        <w:gridCol w:w="1320"/>
        <w:gridCol w:w="1320"/>
        <w:gridCol w:w="1320"/>
        <w:gridCol w:w="1320"/>
        <w:gridCol w:w="2000"/>
        <w:gridCol w:w="2813"/>
      </w:tblGrid>
      <w:tr w:rsidR="00C90071" w:rsidRPr="00C90071" w:rsidTr="00391719">
        <w:trPr>
          <w:trHeight w:val="23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MONTH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           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             YEAR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SEASONAL INDICES</w:t>
            </w:r>
          </w:p>
        </w:tc>
        <w:tc>
          <w:tcPr>
            <w:tcW w:w="2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ADJUSTED SEASONAL INDICES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1.19724771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1.30306022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1.26180258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1.254036833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1.25449091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FEB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1.13950762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1.17805582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1.14162162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1.153061688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1.153479203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0.91656874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1.13513514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0.75406284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0.935255572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0.935594221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APR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0.94477086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0.91585127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0.69789984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0.852840656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0.853149463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MAY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0.74255692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0.761347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0.51585169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0.67325187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0.673495649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0.54545455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0.7775131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0.7649919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0.695986514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0.696238526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JUL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0.88235294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0.31742381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0.85308057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0.684285772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0.684533547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AUG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0.73636364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0.78070667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0.66794626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0.728338856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0.728602582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SEP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1.11881751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0.96679369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0.80394089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0.963184027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0.963532789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1.21827411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1.25039872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0.92777213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1.132148321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1.132558262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NOV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1.30232558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1.27310924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1.60250391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1.392646246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1.393150512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DEC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1.48919668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1.38200514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1.72065852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1.530620114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1.531174339</w:t>
            </w: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SUM=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11.99565647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</w:t>
            </w:r>
          </w:p>
        </w:tc>
      </w:tr>
      <w:tr w:rsidR="00C90071" w:rsidRPr="00C90071" w:rsidTr="00391719">
        <w:trPr>
          <w:trHeight w:val="25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</w:tr>
      <w:tr w:rsidR="00C90071" w:rsidRPr="00C90071" w:rsidTr="00391719">
        <w:trPr>
          <w:trHeight w:val="23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Correction Factor(k)=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90071" w:rsidRPr="00C90071" w:rsidRDefault="00C90071" w:rsidP="00C900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90071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1.000362092</w:t>
            </w:r>
          </w:p>
        </w:tc>
      </w:tr>
    </w:tbl>
    <w:p w:rsidR="00C90071" w:rsidRPr="00391719" w:rsidRDefault="00391719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Table 9.3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1220"/>
        <w:gridCol w:w="1000"/>
        <w:gridCol w:w="940"/>
        <w:gridCol w:w="940"/>
        <w:gridCol w:w="1820"/>
        <w:gridCol w:w="2220"/>
        <w:gridCol w:w="1740"/>
      </w:tblGrid>
      <w:tr w:rsidR="005E4448" w:rsidRPr="005E4448" w:rsidTr="005E4448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INDEX NOS.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YEAR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MONTH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SALES (y)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SEASONAL FACTOR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DESEASONALISED DATA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EXPECTED VALUES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1.25449091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75.72793017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90.8671673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FEB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1.153479203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70.22233241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83.80026407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0.935594221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70.54340284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68.17347628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APR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0.853149463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60.95063323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62.35072219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0.673495649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51.96767056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49.3668943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0.696238526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83.30478402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51.18467144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0.684533547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94.95517104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50.47236973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0.728602582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74.114478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53.8794323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SEP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0.963532789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85.10348685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71.46089103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OCT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1.132558262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79.46611047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84.24194868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NOV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1.393150512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70.3441582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103.9269385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1.531174339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73.14647141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114.5548082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1.25449091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69.35084131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94.12633468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FEB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1.153479203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70.22233241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86.79700304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0.935594221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69.4745634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70.60415007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APR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0.853149463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78.53254666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64.5672045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0.673495649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78.69390114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51.116636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0.696238526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56.01528581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52.99349913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0.684533547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33.59952206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52.25078788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0.728602582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79.60443933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55.77234181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SEP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0.963532789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76.80070765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73.96414921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OCT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1.132558262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86.52976473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87.18433504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NOV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1.393150512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72.4975508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107.5463435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1.531174339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73.14647141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118.5327991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1.25449091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87.68497178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97.38550207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FEB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1.153479203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88.4281223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89.79374201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0.935594221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104.7462648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73.03482385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APR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0.853149463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91.42594984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66.7836868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0.673495649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96.51138819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52.86637769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0.696238526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97.66767782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54.80232682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0.684533547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109.5636589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54.02920603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0.728602582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79.60443933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57.66525132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SEP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0.963532789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70.57362324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76.4674074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OCT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1.132558262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67.10471551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90.12672141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NOV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1.393150512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91.87808418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111.1657485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1.531174339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88.16762178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122.51079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1.25449091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78.11933849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100.6446694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FEB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1.153479203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76.29092904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92.79048098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0.935594221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61.99268734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75.46549764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APR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0.853149463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63.29488835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69.00016911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0.673495649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59.3916235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54.61611939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0.696238526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84.7410734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56.61115451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0.684533547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94.95517104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55.80762419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lastRenderedPageBreak/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0.728602582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74.114478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59.55816082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SEP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0.963532789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70.57362324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78.97066558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OCT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1.132558262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76.81724012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93.06910778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NOV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1.393150512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86.85350145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114.7851535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1.531174339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86.2083413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126.488781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103.6322396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FEB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95.5374917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77.69361527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APR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71.03194455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MAY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56.22004928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58.26924656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JUL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57.43784083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AUG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61.29332787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SEP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81.26531892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OCT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95.76629528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NOV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118.1029415</w:t>
            </w:r>
          </w:p>
        </w:tc>
      </w:tr>
      <w:tr w:rsidR="005E4448" w:rsidRPr="005E4448" w:rsidTr="005E444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szCs w:val="22"/>
                <w:lang w:eastAsia="en-IN" w:bidi="ar-SA"/>
              </w:rPr>
              <w:t>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48" w:rsidRPr="005E4448" w:rsidRDefault="005E4448" w:rsidP="005E4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5E4448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130.1352727</w:t>
            </w:r>
          </w:p>
        </w:tc>
      </w:tr>
    </w:tbl>
    <w:p w:rsidR="00391719" w:rsidRDefault="00391719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  <w:r w:rsidRPr="005B795C">
        <w:drawing>
          <wp:inline distT="0" distB="0" distL="0" distR="0">
            <wp:extent cx="3543300" cy="37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95C" w:rsidRDefault="005B795C">
      <w:pPr>
        <w:spacing w:after="0"/>
        <w:rPr>
          <w:rFonts w:cstheme="minorHAnsi"/>
          <w:sz w:val="28"/>
        </w:rPr>
      </w:pPr>
    </w:p>
    <w:p w:rsidR="005E4448" w:rsidRPr="00391719" w:rsidRDefault="005E4448" w:rsidP="005E4448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Graph 9.1</w:t>
      </w:r>
    </w:p>
    <w:p w:rsidR="005E4448" w:rsidRDefault="005E4448">
      <w:pPr>
        <w:spacing w:after="0"/>
        <w:rPr>
          <w:rFonts w:cstheme="minorHAnsi"/>
          <w:sz w:val="28"/>
        </w:rPr>
      </w:pPr>
      <w:r>
        <w:rPr>
          <w:noProof/>
          <w:lang w:eastAsia="en-IN" w:bidi="ar-SA"/>
        </w:rPr>
        <w:drawing>
          <wp:inline distT="0" distB="0" distL="0" distR="0" wp14:anchorId="1697ADA1" wp14:editId="38CB7BE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cstheme="minorHAnsi"/>
          <w:sz w:val="28"/>
        </w:rPr>
      </w:pPr>
    </w:p>
    <w:p w:rsidR="005B795C" w:rsidRDefault="005B795C">
      <w:pPr>
        <w:spacing w:after="0"/>
        <w:rPr>
          <w:rFonts w:eastAsiaTheme="minorEastAsia" w:cstheme="minorHAnsi"/>
          <w:u w:val="single"/>
        </w:rPr>
      </w:pPr>
    </w:p>
    <w:p w:rsidR="00391719" w:rsidRDefault="005B795C">
      <w:pPr>
        <w:spacing w:after="0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lastRenderedPageBreak/>
        <w:t>Graph 9.2</w:t>
      </w:r>
    </w:p>
    <w:p w:rsidR="005F60A8" w:rsidRPr="005B795C" w:rsidRDefault="005B795C">
      <w:pPr>
        <w:spacing w:after="0"/>
        <w:rPr>
          <w:rFonts w:eastAsiaTheme="minorEastAsia" w:cstheme="minorHAnsi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0B40030B" wp14:editId="66B70BAE">
            <wp:extent cx="5731510" cy="2922090"/>
            <wp:effectExtent l="0" t="0" r="2159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60A8" w:rsidRDefault="005F60A8">
      <w:pPr>
        <w:spacing w:after="0"/>
        <w:rPr>
          <w:rFonts w:cstheme="minorHAnsi"/>
          <w:b/>
          <w:sz w:val="28"/>
          <w:u w:val="single"/>
        </w:rPr>
      </w:pPr>
    </w:p>
    <w:p w:rsidR="00391719" w:rsidRDefault="00C41C3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RESULT:</w:t>
      </w:r>
    </w:p>
    <w:p w:rsidR="00C41C3A" w:rsidRDefault="00C41C3A">
      <w:pPr>
        <w:spacing w:after="0"/>
        <w:rPr>
          <w:rFonts w:cstheme="minorHAnsi"/>
          <w:sz w:val="24"/>
        </w:rPr>
      </w:pPr>
    </w:p>
    <w:p w:rsidR="009D30D8" w:rsidRPr="009D30D8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1"/>
          <w:u w:val="single"/>
          <w:lang w:bidi="ar-SA"/>
        </w:rPr>
      </w:pPr>
      <w:r w:rsidRPr="009D30D8">
        <w:rPr>
          <w:rFonts w:cstheme="minorHAnsi"/>
          <w:sz w:val="24"/>
          <w:szCs w:val="21"/>
          <w:lang w:bidi="ar-SA"/>
        </w:rPr>
        <w:t>The seasonal and adjusted indices calculated by ratio to moving average m</w:t>
      </w:r>
      <w:r>
        <w:rPr>
          <w:rFonts w:cstheme="minorHAnsi"/>
          <w:sz w:val="24"/>
          <w:szCs w:val="21"/>
          <w:lang w:bidi="ar-SA"/>
        </w:rPr>
        <w:t xml:space="preserve">ethod have been shown in </w:t>
      </w:r>
      <w:r w:rsidRPr="00C814E9">
        <w:rPr>
          <w:rFonts w:cstheme="minorHAnsi"/>
          <w:sz w:val="24"/>
          <w:szCs w:val="21"/>
          <w:lang w:bidi="ar-SA"/>
        </w:rPr>
        <w:t>Table 9.2</w:t>
      </w:r>
      <w:r w:rsidRPr="009D30D8">
        <w:rPr>
          <w:rFonts w:cstheme="minorHAnsi"/>
          <w:sz w:val="24"/>
          <w:szCs w:val="21"/>
          <w:lang w:bidi="ar-SA"/>
        </w:rPr>
        <w:t>.</w:t>
      </w:r>
    </w:p>
    <w:p w:rsidR="009D30D8" w:rsidRPr="009D30D8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u w:val="single"/>
          <w:lang w:bidi="ar-SA"/>
        </w:rPr>
      </w:pPr>
      <w:r w:rsidRPr="009D30D8">
        <w:rPr>
          <w:rFonts w:cstheme="minorHAnsi"/>
          <w:sz w:val="24"/>
          <w:szCs w:val="21"/>
          <w:lang w:bidi="ar-SA"/>
        </w:rPr>
        <w:t xml:space="preserve">The value of correction factor (k) is coming out to be </w:t>
      </w:r>
      <w:r w:rsidRPr="009D30D8">
        <w:rPr>
          <w:rFonts w:eastAsia="Times New Roman" w:cstheme="minorHAnsi"/>
          <w:color w:val="000000"/>
          <w:sz w:val="24"/>
          <w:szCs w:val="22"/>
          <w:lang w:eastAsia="en-IN" w:bidi="ar-SA"/>
        </w:rPr>
        <w:t>1.000362092</w:t>
      </w:r>
      <w:r w:rsidRPr="009D30D8">
        <w:rPr>
          <w:rFonts w:cstheme="minorHAnsi"/>
          <w:sz w:val="24"/>
          <w:szCs w:val="21"/>
          <w:lang w:bidi="ar-SA"/>
        </w:rPr>
        <w:t xml:space="preserve">.  </w:t>
      </w:r>
    </w:p>
    <w:p w:rsidR="009D30D8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9D30D8">
        <w:rPr>
          <w:rFonts w:cstheme="minorHAnsi"/>
          <w:sz w:val="24"/>
          <w:szCs w:val="24"/>
          <w:lang w:bidi="ar-SA"/>
        </w:rPr>
        <w:t xml:space="preserve">Trend without seasonal effect and estimated sales are computed by </w:t>
      </w:r>
    </w:p>
    <w:p w:rsidR="009D30D8" w:rsidRPr="009D30D8" w:rsidRDefault="009D30D8" w:rsidP="009D30D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d</w:t>
      </w:r>
      <w:r w:rsidRPr="009D30D8">
        <w:rPr>
          <w:rFonts w:cstheme="minorHAnsi"/>
          <w:sz w:val="24"/>
          <w:szCs w:val="24"/>
          <w:lang w:bidi="ar-SA"/>
        </w:rPr>
        <w:t>e-seasonalization of data.</w:t>
      </w:r>
    </w:p>
    <w:p w:rsidR="009D30D8" w:rsidRPr="009D30D8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C814E9">
        <w:rPr>
          <w:rFonts w:cstheme="minorHAnsi"/>
          <w:sz w:val="24"/>
          <w:szCs w:val="24"/>
          <w:lang w:bidi="ar-SA"/>
        </w:rPr>
        <w:t>Table 9.3</w:t>
      </w:r>
      <w:r>
        <w:rPr>
          <w:rFonts w:cstheme="minorHAnsi"/>
          <w:sz w:val="24"/>
          <w:szCs w:val="24"/>
          <w:lang w:bidi="ar-SA"/>
        </w:rPr>
        <w:t xml:space="preserve"> shows de-seasonalized data computed by dividing no. of aircrafts by seasonal factor (adjusted seasonal indices).</w:t>
      </w:r>
    </w:p>
    <w:p w:rsidR="009D30D8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Values of a</w:t>
      </w:r>
      <w:r w:rsidR="00075A4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&amp;</w:t>
      </w:r>
      <w:r w:rsidR="00075A4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b </w:t>
      </w:r>
      <w:r w:rsidR="00172A54">
        <w:rPr>
          <w:rFonts w:cstheme="minorHAnsi"/>
          <w:sz w:val="24"/>
          <w:szCs w:val="24"/>
          <w:lang w:bidi="ar-SA"/>
        </w:rPr>
        <w:t>are obtain</w:t>
      </w:r>
      <w:r w:rsidR="00A20B03">
        <w:rPr>
          <w:rFonts w:cstheme="minorHAnsi"/>
          <w:sz w:val="24"/>
          <w:szCs w:val="24"/>
          <w:lang w:bidi="ar-SA"/>
        </w:rPr>
        <w:t>ed by plotting the G</w:t>
      </w:r>
      <w:r w:rsidR="00172A54">
        <w:rPr>
          <w:rFonts w:cstheme="minorHAnsi"/>
          <w:sz w:val="24"/>
          <w:szCs w:val="24"/>
          <w:lang w:bidi="ar-SA"/>
        </w:rPr>
        <w:t xml:space="preserve">raph </w:t>
      </w:r>
      <w:r w:rsidR="00A20B03">
        <w:rPr>
          <w:rFonts w:cstheme="minorHAnsi"/>
          <w:sz w:val="24"/>
          <w:szCs w:val="24"/>
          <w:lang w:bidi="ar-SA"/>
        </w:rPr>
        <w:t xml:space="preserve">9.1 </w:t>
      </w:r>
      <w:r w:rsidR="00172A54">
        <w:rPr>
          <w:rFonts w:cstheme="minorHAnsi"/>
          <w:sz w:val="24"/>
          <w:szCs w:val="24"/>
          <w:lang w:bidi="ar-SA"/>
        </w:rPr>
        <w:t>for deseasonalized values, and fitting the trend line</w:t>
      </w:r>
      <w:r w:rsidR="00C814E9">
        <w:rPr>
          <w:rFonts w:cstheme="minorHAnsi"/>
          <w:sz w:val="24"/>
          <w:szCs w:val="24"/>
          <w:lang w:bidi="ar-SA"/>
        </w:rPr>
        <w:t xml:space="preserve"> to obtain its equation, and</w:t>
      </w:r>
      <w:r w:rsidR="00172A5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are shown below </w:t>
      </w:r>
      <w:r w:rsidRPr="00C814E9">
        <w:rPr>
          <w:rFonts w:cstheme="minorHAnsi"/>
          <w:sz w:val="24"/>
          <w:szCs w:val="24"/>
          <w:lang w:bidi="ar-SA"/>
        </w:rPr>
        <w:t>Table 9.3</w:t>
      </w:r>
    </w:p>
    <w:p w:rsidR="00214FB3" w:rsidRPr="00214FB3" w:rsidRDefault="00214FB3" w:rsidP="00214F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214FB3">
        <w:rPr>
          <w:rFonts w:cstheme="minorHAnsi"/>
          <w:sz w:val="24"/>
          <w:szCs w:val="24"/>
          <w:lang w:bidi="ar-SA"/>
        </w:rPr>
        <w:t xml:space="preserve">As a = </w:t>
      </w:r>
      <w:r w:rsidR="00C814E9">
        <w:rPr>
          <w:rFonts w:eastAsia="Times New Roman" w:cstheme="minorHAnsi"/>
          <w:color w:val="000000"/>
          <w:sz w:val="24"/>
          <w:szCs w:val="22"/>
          <w:lang w:eastAsia="en-IN" w:bidi="ar-SA"/>
        </w:rPr>
        <w:t>72.217 and b = 0.2165</w:t>
      </w:r>
      <w:r w:rsidR="005F60A8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, </w:t>
      </w: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equation </w:t>
      </w:r>
      <w:r w:rsidR="005F60A8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for trend values (2005) without seasonal effect </w:t>
      </w: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>is</w:t>
      </w:r>
      <w:r w:rsidR="005F60A8">
        <w:rPr>
          <w:rFonts w:eastAsia="Times New Roman" w:cstheme="minorHAnsi"/>
          <w:color w:val="000000"/>
          <w:sz w:val="24"/>
          <w:szCs w:val="22"/>
          <w:lang w:eastAsia="en-IN" w:bidi="ar-SA"/>
        </w:rPr>
        <w:t>:</w:t>
      </w: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</w:t>
      </w:r>
    </w:p>
    <w:p w:rsidR="00214FB3" w:rsidRDefault="005B795C" w:rsidP="00214FB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2"/>
          <w:lang w:eastAsia="en-IN" w:bidi="ar-SA"/>
        </w:rPr>
      </w:pPr>
      <w:r>
        <w:rPr>
          <w:rFonts w:eastAsia="Times New Roman" w:cstheme="minorHAnsi"/>
          <w:color w:val="000000"/>
          <w:sz w:val="24"/>
          <w:szCs w:val="22"/>
          <w:highlight w:val="green"/>
          <w:lang w:eastAsia="en-IN" w:bidi="ar-SA"/>
        </w:rPr>
        <w:t>72.</w:t>
      </w:r>
      <w:r w:rsidR="00214FB3" w:rsidRPr="00214FB3">
        <w:rPr>
          <w:rFonts w:eastAsia="Times New Roman" w:cstheme="minorHAnsi"/>
          <w:color w:val="000000"/>
          <w:sz w:val="24"/>
          <w:szCs w:val="22"/>
          <w:highlight w:val="green"/>
          <w:lang w:eastAsia="en-IN" w:bidi="ar-SA"/>
        </w:rPr>
        <w:t>2</w:t>
      </w:r>
      <w:r>
        <w:rPr>
          <w:rFonts w:eastAsia="Times New Roman" w:cstheme="minorHAnsi"/>
          <w:color w:val="000000"/>
          <w:sz w:val="24"/>
          <w:szCs w:val="22"/>
          <w:highlight w:val="green"/>
          <w:lang w:eastAsia="en-IN" w:bidi="ar-SA"/>
        </w:rPr>
        <w:t>17 + (0.2165</w:t>
      </w:r>
      <w:r w:rsidR="00214FB3" w:rsidRPr="00214FB3">
        <w:rPr>
          <w:rFonts w:eastAsia="Times New Roman" w:cstheme="minorHAnsi"/>
          <w:color w:val="000000"/>
          <w:sz w:val="24"/>
          <w:szCs w:val="22"/>
          <w:highlight w:val="green"/>
          <w:lang w:eastAsia="en-IN" w:bidi="ar-SA"/>
        </w:rPr>
        <w:t>)*t</w:t>
      </w:r>
      <w:r w:rsidR="00214FB3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</w:t>
      </w:r>
    </w:p>
    <w:p w:rsidR="00214FB3" w:rsidRPr="00214FB3" w:rsidRDefault="005F60A8" w:rsidP="00214F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2"/>
          <w:lang w:eastAsia="en-IN" w:bidi="ar-SA"/>
        </w:rPr>
      </w:pP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>We obtain the estimated values</w:t>
      </w:r>
      <w:r w:rsidR="00C814E9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for all the years</w:t>
      </w: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by multiplying the above equation by the respective seasonal factor</w:t>
      </w:r>
      <w:r w:rsidR="00C814E9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(for each month)</w:t>
      </w: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. </w:t>
      </w:r>
    </w:p>
    <w:p w:rsidR="00214FB3" w:rsidRPr="00C814E9" w:rsidRDefault="00B70B76" w:rsidP="00C814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Estimated monthly values for the year </w:t>
      </w:r>
      <w:r w:rsidR="00C814E9">
        <w:rPr>
          <w:rFonts w:cstheme="minorHAnsi"/>
          <w:sz w:val="24"/>
          <w:szCs w:val="24"/>
          <w:lang w:bidi="ar-SA"/>
        </w:rPr>
        <w:t>2001-2005 have</w:t>
      </w:r>
      <w:r>
        <w:rPr>
          <w:rFonts w:cstheme="minorHAnsi"/>
          <w:sz w:val="24"/>
          <w:szCs w:val="24"/>
          <w:lang w:bidi="ar-SA"/>
        </w:rPr>
        <w:t xml:space="preserve"> been computed and summarized along with the de-seasonalized data in </w:t>
      </w:r>
      <w:r w:rsidR="00A20B03">
        <w:rPr>
          <w:rFonts w:cstheme="minorHAnsi"/>
          <w:sz w:val="24"/>
          <w:szCs w:val="24"/>
          <w:lang w:bidi="ar-SA"/>
        </w:rPr>
        <w:t>Table 9.3</w:t>
      </w:r>
      <w:r>
        <w:rPr>
          <w:rFonts w:cstheme="minorHAnsi"/>
          <w:sz w:val="24"/>
          <w:szCs w:val="24"/>
          <w:lang w:bidi="ar-SA"/>
        </w:rPr>
        <w:t>.</w:t>
      </w:r>
    </w:p>
    <w:p w:rsidR="00C41C3A" w:rsidRDefault="009D30D8" w:rsidP="009D30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9D30D8">
        <w:rPr>
          <w:rFonts w:cstheme="minorHAnsi"/>
          <w:sz w:val="24"/>
          <w:szCs w:val="24"/>
          <w:lang w:bidi="ar-SA"/>
        </w:rPr>
        <w:t>Graph</w:t>
      </w:r>
      <w:r w:rsidR="00B70B76">
        <w:rPr>
          <w:rFonts w:cstheme="minorHAnsi"/>
          <w:sz w:val="24"/>
          <w:szCs w:val="24"/>
          <w:lang w:bidi="ar-SA"/>
        </w:rPr>
        <w:t xml:space="preserve"> 9.</w:t>
      </w:r>
      <w:r w:rsidR="00A20B03">
        <w:rPr>
          <w:rFonts w:cstheme="minorHAnsi"/>
          <w:sz w:val="24"/>
          <w:szCs w:val="24"/>
          <w:lang w:bidi="ar-SA"/>
        </w:rPr>
        <w:t>2</w:t>
      </w:r>
      <w:r w:rsidR="00B70B76">
        <w:rPr>
          <w:rFonts w:cstheme="minorHAnsi"/>
          <w:sz w:val="24"/>
          <w:szCs w:val="24"/>
          <w:lang w:bidi="ar-SA"/>
        </w:rPr>
        <w:t xml:space="preserve"> shows </w:t>
      </w:r>
      <w:r w:rsidRPr="009D30D8">
        <w:rPr>
          <w:rFonts w:cstheme="minorHAnsi"/>
          <w:sz w:val="24"/>
          <w:szCs w:val="24"/>
          <w:lang w:bidi="ar-SA"/>
        </w:rPr>
        <w:t>the estimat</w:t>
      </w:r>
      <w:r w:rsidR="00B70B76">
        <w:rPr>
          <w:rFonts w:cstheme="minorHAnsi"/>
          <w:sz w:val="24"/>
          <w:szCs w:val="24"/>
          <w:lang w:bidi="ar-SA"/>
        </w:rPr>
        <w:t>ed sales</w:t>
      </w:r>
      <w:r w:rsidR="00A20B03">
        <w:rPr>
          <w:rFonts w:cstheme="minorHAnsi"/>
          <w:sz w:val="24"/>
          <w:szCs w:val="24"/>
          <w:lang w:bidi="ar-SA"/>
        </w:rPr>
        <w:t xml:space="preserve"> (2001-2005)</w:t>
      </w:r>
      <w:r w:rsidR="00B70B76">
        <w:rPr>
          <w:rFonts w:cstheme="minorHAnsi"/>
          <w:sz w:val="24"/>
          <w:szCs w:val="24"/>
          <w:lang w:bidi="ar-SA"/>
        </w:rPr>
        <w:t xml:space="preserve"> along with the de-seasonalized sales</w:t>
      </w:r>
      <w:r w:rsidR="00A20B03">
        <w:rPr>
          <w:rFonts w:cstheme="minorHAnsi"/>
          <w:sz w:val="24"/>
          <w:szCs w:val="24"/>
          <w:lang w:bidi="ar-SA"/>
        </w:rPr>
        <w:t xml:space="preserve"> (2001-2004)</w:t>
      </w:r>
      <w:r w:rsidR="00B70B76">
        <w:rPr>
          <w:rFonts w:cstheme="minorHAnsi"/>
          <w:sz w:val="24"/>
          <w:szCs w:val="24"/>
          <w:lang w:bidi="ar-SA"/>
        </w:rPr>
        <w:t xml:space="preserve">. </w:t>
      </w:r>
    </w:p>
    <w:p w:rsidR="007B5455" w:rsidRDefault="007B5455" w:rsidP="007B54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:rsidR="007B5455" w:rsidRDefault="007B5455" w:rsidP="007B5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  <w:u w:val="single"/>
          <w:lang w:bidi="ar-SA"/>
        </w:rPr>
      </w:pPr>
      <w:r>
        <w:rPr>
          <w:rFonts w:cstheme="minorHAnsi"/>
          <w:b/>
          <w:sz w:val="28"/>
          <w:szCs w:val="24"/>
          <w:u w:val="single"/>
          <w:lang w:bidi="ar-SA"/>
        </w:rPr>
        <w:t>CONCLUSION:</w:t>
      </w:r>
    </w:p>
    <w:p w:rsidR="007B5455" w:rsidRDefault="007B5455" w:rsidP="007B5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  <w:u w:val="single"/>
          <w:lang w:bidi="ar-SA"/>
        </w:rPr>
      </w:pPr>
    </w:p>
    <w:p w:rsidR="005F60A8" w:rsidRPr="005F60A8" w:rsidRDefault="00214FB3" w:rsidP="00214F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>After de-seasonalization, we can see that the seasonal effect</w:t>
      </w:r>
      <w:r w:rsidR="005F60A8"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has been removed to an extent.</w:t>
      </w:r>
    </w:p>
    <w:p w:rsidR="007B31F5" w:rsidRPr="007B31F5" w:rsidRDefault="00A20B03" w:rsidP="007B31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>Variation in Expected values is more than the variation in Deseasonalised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2"/>
          <w:lang w:eastAsia="en-IN" w:bidi="ar-SA"/>
        </w:rPr>
        <w:t xml:space="preserve"> values. </w:t>
      </w:r>
    </w:p>
    <w:p w:rsidR="007B31F5" w:rsidRPr="007B31F5" w:rsidRDefault="007B31F5" w:rsidP="007B31F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ar-SA"/>
        </w:rPr>
      </w:pPr>
    </w:p>
    <w:sectPr w:rsidR="007B31F5" w:rsidRPr="007B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8AE" w:rsidRDefault="008508AE" w:rsidP="00327440">
      <w:pPr>
        <w:spacing w:after="0" w:line="240" w:lineRule="auto"/>
      </w:pPr>
      <w:r>
        <w:separator/>
      </w:r>
    </w:p>
  </w:endnote>
  <w:endnote w:type="continuationSeparator" w:id="0">
    <w:p w:rsidR="008508AE" w:rsidRDefault="008508AE" w:rsidP="0032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8AE" w:rsidRDefault="008508AE" w:rsidP="00327440">
      <w:pPr>
        <w:spacing w:after="0" w:line="240" w:lineRule="auto"/>
      </w:pPr>
      <w:r>
        <w:separator/>
      </w:r>
    </w:p>
  </w:footnote>
  <w:footnote w:type="continuationSeparator" w:id="0">
    <w:p w:rsidR="008508AE" w:rsidRDefault="008508AE" w:rsidP="0032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9E3"/>
    <w:multiLevelType w:val="hybridMultilevel"/>
    <w:tmpl w:val="0F9AE9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71709"/>
    <w:multiLevelType w:val="hybridMultilevel"/>
    <w:tmpl w:val="CD5CCA74"/>
    <w:lvl w:ilvl="0" w:tplc="63C27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33DC5"/>
    <w:multiLevelType w:val="hybridMultilevel"/>
    <w:tmpl w:val="FA00647A"/>
    <w:lvl w:ilvl="0" w:tplc="63C27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7556A"/>
    <w:multiLevelType w:val="hybridMultilevel"/>
    <w:tmpl w:val="3A927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C647C"/>
    <w:multiLevelType w:val="hybridMultilevel"/>
    <w:tmpl w:val="8E38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E3C9A"/>
    <w:multiLevelType w:val="hybridMultilevel"/>
    <w:tmpl w:val="5F32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A1231"/>
    <w:multiLevelType w:val="hybridMultilevel"/>
    <w:tmpl w:val="55946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57"/>
    <w:rsid w:val="00001031"/>
    <w:rsid w:val="00075A44"/>
    <w:rsid w:val="00172A54"/>
    <w:rsid w:val="00214FB3"/>
    <w:rsid w:val="00327440"/>
    <w:rsid w:val="00391719"/>
    <w:rsid w:val="00402400"/>
    <w:rsid w:val="00451BD7"/>
    <w:rsid w:val="005B795C"/>
    <w:rsid w:val="005E4448"/>
    <w:rsid w:val="005F60A8"/>
    <w:rsid w:val="0070313E"/>
    <w:rsid w:val="007B31F5"/>
    <w:rsid w:val="007B5455"/>
    <w:rsid w:val="007E14BD"/>
    <w:rsid w:val="008508AE"/>
    <w:rsid w:val="008A5468"/>
    <w:rsid w:val="008E14FD"/>
    <w:rsid w:val="009D30D8"/>
    <w:rsid w:val="009E3482"/>
    <w:rsid w:val="00A20B03"/>
    <w:rsid w:val="00A40156"/>
    <w:rsid w:val="00A53755"/>
    <w:rsid w:val="00A872EB"/>
    <w:rsid w:val="00B70B76"/>
    <w:rsid w:val="00C41C3A"/>
    <w:rsid w:val="00C814E9"/>
    <w:rsid w:val="00C90071"/>
    <w:rsid w:val="00CA7057"/>
    <w:rsid w:val="00D24453"/>
    <w:rsid w:val="00EA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82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56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A40156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A872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744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27440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2744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27440"/>
    <w:rPr>
      <w:rFonts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82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56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A40156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A872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744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27440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2744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27440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07174103237096E-2"/>
          <c:y val="5.1400554097404488E-2"/>
          <c:w val="0.62481167979002628"/>
          <c:h val="0.8326195683872849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trendline>
            <c:trendlineType val="linear"/>
            <c:dispRSqr val="0"/>
            <c:dispEq val="0"/>
          </c:trendline>
          <c:val>
            <c:numRef>
              <c:f>Sheet1!$F$106:$F$153</c:f>
              <c:numCache>
                <c:formatCode>General</c:formatCode>
                <c:ptCount val="48"/>
                <c:pt idx="0">
                  <c:v>75.727930169774652</c:v>
                </c:pt>
                <c:pt idx="1">
                  <c:v>70.222332414396746</c:v>
                </c:pt>
                <c:pt idx="2">
                  <c:v>70.54340283642739</c:v>
                </c:pt>
                <c:pt idx="3">
                  <c:v>60.950633228654219</c:v>
                </c:pt>
                <c:pt idx="4">
                  <c:v>51.967670564961537</c:v>
                </c:pt>
                <c:pt idx="5">
                  <c:v>83.304784024951502</c:v>
                </c:pt>
                <c:pt idx="6">
                  <c:v>94.955171036957339</c:v>
                </c:pt>
                <c:pt idx="7">
                  <c:v>74.114477997076762</c:v>
                </c:pt>
                <c:pt idx="8">
                  <c:v>85.10348684989016</c:v>
                </c:pt>
                <c:pt idx="9">
                  <c:v>79.466110470885596</c:v>
                </c:pt>
                <c:pt idx="10">
                  <c:v>70.344158197887438</c:v>
                </c:pt>
                <c:pt idx="11">
                  <c:v>73.146471406522593</c:v>
                </c:pt>
                <c:pt idx="12">
                  <c:v>69.35084131337257</c:v>
                </c:pt>
                <c:pt idx="13">
                  <c:v>70.222332414396746</c:v>
                </c:pt>
                <c:pt idx="14">
                  <c:v>69.474563399511823</c:v>
                </c:pt>
                <c:pt idx="15">
                  <c:v>78.532546659996783</c:v>
                </c:pt>
                <c:pt idx="16">
                  <c:v>78.693901141227471</c:v>
                </c:pt>
                <c:pt idx="17">
                  <c:v>56.015285809881185</c:v>
                </c:pt>
                <c:pt idx="18">
                  <c:v>33.599522059231063</c:v>
                </c:pt>
                <c:pt idx="19">
                  <c:v>79.604439330193557</c:v>
                </c:pt>
                <c:pt idx="20">
                  <c:v>76.800707645022825</c:v>
                </c:pt>
                <c:pt idx="21">
                  <c:v>86.529764734964317</c:v>
                </c:pt>
                <c:pt idx="22">
                  <c:v>72.497550795781962</c:v>
                </c:pt>
                <c:pt idx="23">
                  <c:v>73.146471406522593</c:v>
                </c:pt>
                <c:pt idx="24">
                  <c:v>87.684971775528538</c:v>
                </c:pt>
                <c:pt idx="25">
                  <c:v>88.42812229961072</c:v>
                </c:pt>
                <c:pt idx="26">
                  <c:v>104.74626481772553</c:v>
                </c:pt>
                <c:pt idx="27">
                  <c:v>91.425949842981325</c:v>
                </c:pt>
                <c:pt idx="28">
                  <c:v>96.511388192071422</c:v>
                </c:pt>
                <c:pt idx="29">
                  <c:v>97.667677822356936</c:v>
                </c:pt>
                <c:pt idx="30">
                  <c:v>109.56365888879694</c:v>
                </c:pt>
                <c:pt idx="31">
                  <c:v>79.604439330193557</c:v>
                </c:pt>
                <c:pt idx="32">
                  <c:v>70.573623241372317</c:v>
                </c:pt>
                <c:pt idx="33">
                  <c:v>67.104715508747844</c:v>
                </c:pt>
                <c:pt idx="34">
                  <c:v>91.878084176832587</c:v>
                </c:pt>
                <c:pt idx="35">
                  <c:v>88.167621784647778</c:v>
                </c:pt>
                <c:pt idx="36">
                  <c:v>78.119338490925429</c:v>
                </c:pt>
                <c:pt idx="37">
                  <c:v>76.290929042801395</c:v>
                </c:pt>
                <c:pt idx="38">
                  <c:v>61.992687341102865</c:v>
                </c:pt>
                <c:pt idx="39">
                  <c:v>63.294888352833226</c:v>
                </c:pt>
                <c:pt idx="40">
                  <c:v>59.391623502813182</c:v>
                </c:pt>
                <c:pt idx="41">
                  <c:v>84.741073404692045</c:v>
                </c:pt>
                <c:pt idx="42">
                  <c:v>94.955171036957339</c:v>
                </c:pt>
                <c:pt idx="43">
                  <c:v>74.114477997076762</c:v>
                </c:pt>
                <c:pt idx="44">
                  <c:v>70.573623241372317</c:v>
                </c:pt>
                <c:pt idx="45">
                  <c:v>76.817240121856074</c:v>
                </c:pt>
                <c:pt idx="46">
                  <c:v>86.853501448412047</c:v>
                </c:pt>
                <c:pt idx="47">
                  <c:v>86.20834130054449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650496"/>
        <c:axId val="154652032"/>
      </c:lineChart>
      <c:catAx>
        <c:axId val="154650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54652032"/>
        <c:crosses val="autoZero"/>
        <c:auto val="1"/>
        <c:lblAlgn val="ctr"/>
        <c:lblOffset val="100"/>
        <c:noMultiLvlLbl val="0"/>
      </c:catAx>
      <c:valAx>
        <c:axId val="154652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650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Deseasonalised Data</c:v>
          </c:tx>
          <c:marker>
            <c:symbol val="none"/>
          </c:marker>
          <c:cat>
            <c:numRef>
              <c:f>Sheet1!$B$106:$B$165</c:f>
              <c:numCache>
                <c:formatCode>General</c:formatCode>
                <c:ptCount val="60"/>
                <c:pt idx="0">
                  <c:v>2001</c:v>
                </c:pt>
                <c:pt idx="1">
                  <c:v>2001</c:v>
                </c:pt>
                <c:pt idx="2">
                  <c:v>2001</c:v>
                </c:pt>
                <c:pt idx="3">
                  <c:v>2001</c:v>
                </c:pt>
                <c:pt idx="4">
                  <c:v>2001</c:v>
                </c:pt>
                <c:pt idx="5">
                  <c:v>2001</c:v>
                </c:pt>
                <c:pt idx="6">
                  <c:v>2001</c:v>
                </c:pt>
                <c:pt idx="7">
                  <c:v>2001</c:v>
                </c:pt>
                <c:pt idx="8">
                  <c:v>2001</c:v>
                </c:pt>
                <c:pt idx="9">
                  <c:v>2001</c:v>
                </c:pt>
                <c:pt idx="10">
                  <c:v>2001</c:v>
                </c:pt>
                <c:pt idx="11">
                  <c:v>2001</c:v>
                </c:pt>
                <c:pt idx="12">
                  <c:v>2002</c:v>
                </c:pt>
                <c:pt idx="13">
                  <c:v>2002</c:v>
                </c:pt>
                <c:pt idx="14">
                  <c:v>2002</c:v>
                </c:pt>
                <c:pt idx="15">
                  <c:v>2002</c:v>
                </c:pt>
                <c:pt idx="16">
                  <c:v>2002</c:v>
                </c:pt>
                <c:pt idx="17">
                  <c:v>2002</c:v>
                </c:pt>
                <c:pt idx="18">
                  <c:v>2002</c:v>
                </c:pt>
                <c:pt idx="19">
                  <c:v>2002</c:v>
                </c:pt>
                <c:pt idx="20">
                  <c:v>2002</c:v>
                </c:pt>
                <c:pt idx="21">
                  <c:v>2002</c:v>
                </c:pt>
                <c:pt idx="22">
                  <c:v>2002</c:v>
                </c:pt>
                <c:pt idx="23">
                  <c:v>2002</c:v>
                </c:pt>
                <c:pt idx="24">
                  <c:v>2003</c:v>
                </c:pt>
                <c:pt idx="25">
                  <c:v>2003</c:v>
                </c:pt>
                <c:pt idx="26">
                  <c:v>2003</c:v>
                </c:pt>
                <c:pt idx="27">
                  <c:v>2003</c:v>
                </c:pt>
                <c:pt idx="28">
                  <c:v>2003</c:v>
                </c:pt>
                <c:pt idx="29">
                  <c:v>2003</c:v>
                </c:pt>
                <c:pt idx="30">
                  <c:v>2003</c:v>
                </c:pt>
                <c:pt idx="31">
                  <c:v>2003</c:v>
                </c:pt>
                <c:pt idx="32">
                  <c:v>2003</c:v>
                </c:pt>
                <c:pt idx="33">
                  <c:v>2003</c:v>
                </c:pt>
                <c:pt idx="34">
                  <c:v>2003</c:v>
                </c:pt>
                <c:pt idx="35">
                  <c:v>2003</c:v>
                </c:pt>
                <c:pt idx="36">
                  <c:v>2004</c:v>
                </c:pt>
                <c:pt idx="37">
                  <c:v>2004</c:v>
                </c:pt>
                <c:pt idx="38">
                  <c:v>2004</c:v>
                </c:pt>
                <c:pt idx="39">
                  <c:v>2004</c:v>
                </c:pt>
                <c:pt idx="40">
                  <c:v>2004</c:v>
                </c:pt>
                <c:pt idx="41">
                  <c:v>2004</c:v>
                </c:pt>
                <c:pt idx="42">
                  <c:v>2004</c:v>
                </c:pt>
                <c:pt idx="43">
                  <c:v>2004</c:v>
                </c:pt>
                <c:pt idx="44">
                  <c:v>2004</c:v>
                </c:pt>
                <c:pt idx="45">
                  <c:v>2004</c:v>
                </c:pt>
                <c:pt idx="46">
                  <c:v>2004</c:v>
                </c:pt>
                <c:pt idx="47">
                  <c:v>2004</c:v>
                </c:pt>
                <c:pt idx="48">
                  <c:v>2005</c:v>
                </c:pt>
                <c:pt idx="49">
                  <c:v>2005</c:v>
                </c:pt>
                <c:pt idx="50">
                  <c:v>2005</c:v>
                </c:pt>
                <c:pt idx="51">
                  <c:v>2005</c:v>
                </c:pt>
                <c:pt idx="52">
                  <c:v>2005</c:v>
                </c:pt>
                <c:pt idx="53">
                  <c:v>2005</c:v>
                </c:pt>
                <c:pt idx="54">
                  <c:v>2005</c:v>
                </c:pt>
                <c:pt idx="55">
                  <c:v>2005</c:v>
                </c:pt>
                <c:pt idx="56">
                  <c:v>2005</c:v>
                </c:pt>
                <c:pt idx="57">
                  <c:v>2005</c:v>
                </c:pt>
                <c:pt idx="58">
                  <c:v>2005</c:v>
                </c:pt>
                <c:pt idx="59">
                  <c:v>2005</c:v>
                </c:pt>
              </c:numCache>
            </c:numRef>
          </c:cat>
          <c:val>
            <c:numRef>
              <c:f>Sheet1!$F$106:$F$165</c:f>
              <c:numCache>
                <c:formatCode>General</c:formatCode>
                <c:ptCount val="60"/>
                <c:pt idx="0">
                  <c:v>75.727930169774652</c:v>
                </c:pt>
                <c:pt idx="1">
                  <c:v>70.222332414396746</c:v>
                </c:pt>
                <c:pt idx="2">
                  <c:v>70.54340283642739</c:v>
                </c:pt>
                <c:pt idx="3">
                  <c:v>60.950633228654219</c:v>
                </c:pt>
                <c:pt idx="4">
                  <c:v>51.967670564961537</c:v>
                </c:pt>
                <c:pt idx="5">
                  <c:v>83.304784024951502</c:v>
                </c:pt>
                <c:pt idx="6">
                  <c:v>94.955171036957339</c:v>
                </c:pt>
                <c:pt idx="7">
                  <c:v>74.114477997076762</c:v>
                </c:pt>
                <c:pt idx="8">
                  <c:v>85.10348684989016</c:v>
                </c:pt>
                <c:pt idx="9">
                  <c:v>79.466110470885596</c:v>
                </c:pt>
                <c:pt idx="10">
                  <c:v>70.344158197887438</c:v>
                </c:pt>
                <c:pt idx="11">
                  <c:v>73.146471406522593</c:v>
                </c:pt>
                <c:pt idx="12">
                  <c:v>69.35084131337257</c:v>
                </c:pt>
                <c:pt idx="13">
                  <c:v>70.222332414396746</c:v>
                </c:pt>
                <c:pt idx="14">
                  <c:v>69.474563399511823</c:v>
                </c:pt>
                <c:pt idx="15">
                  <c:v>78.532546659996783</c:v>
                </c:pt>
                <c:pt idx="16">
                  <c:v>78.693901141227471</c:v>
                </c:pt>
                <c:pt idx="17">
                  <c:v>56.015285809881185</c:v>
                </c:pt>
                <c:pt idx="18">
                  <c:v>33.599522059231063</c:v>
                </c:pt>
                <c:pt idx="19">
                  <c:v>79.604439330193557</c:v>
                </c:pt>
                <c:pt idx="20">
                  <c:v>76.800707645022825</c:v>
                </c:pt>
                <c:pt idx="21">
                  <c:v>86.529764734964317</c:v>
                </c:pt>
                <c:pt idx="22">
                  <c:v>72.497550795781962</c:v>
                </c:pt>
                <c:pt idx="23">
                  <c:v>73.146471406522593</c:v>
                </c:pt>
                <c:pt idx="24">
                  <c:v>87.684971775528538</c:v>
                </c:pt>
                <c:pt idx="25">
                  <c:v>88.42812229961072</c:v>
                </c:pt>
                <c:pt idx="26">
                  <c:v>104.74626481772553</c:v>
                </c:pt>
                <c:pt idx="27">
                  <c:v>91.425949842981325</c:v>
                </c:pt>
                <c:pt idx="28">
                  <c:v>96.511388192071422</c:v>
                </c:pt>
                <c:pt idx="29">
                  <c:v>97.667677822356936</c:v>
                </c:pt>
                <c:pt idx="30">
                  <c:v>109.56365888879694</c:v>
                </c:pt>
                <c:pt idx="31">
                  <c:v>79.604439330193557</c:v>
                </c:pt>
                <c:pt idx="32">
                  <c:v>70.573623241372317</c:v>
                </c:pt>
                <c:pt idx="33">
                  <c:v>67.104715508747844</c:v>
                </c:pt>
                <c:pt idx="34">
                  <c:v>91.878084176832587</c:v>
                </c:pt>
                <c:pt idx="35">
                  <c:v>88.167621784647778</c:v>
                </c:pt>
                <c:pt idx="36">
                  <c:v>78.119338490925429</c:v>
                </c:pt>
                <c:pt idx="37">
                  <c:v>76.290929042801395</c:v>
                </c:pt>
                <c:pt idx="38">
                  <c:v>61.992687341102865</c:v>
                </c:pt>
                <c:pt idx="39">
                  <c:v>63.294888352833226</c:v>
                </c:pt>
                <c:pt idx="40">
                  <c:v>59.391623502813182</c:v>
                </c:pt>
                <c:pt idx="41">
                  <c:v>84.741073404692045</c:v>
                </c:pt>
                <c:pt idx="42">
                  <c:v>94.955171036957339</c:v>
                </c:pt>
                <c:pt idx="43">
                  <c:v>74.114477997076762</c:v>
                </c:pt>
                <c:pt idx="44">
                  <c:v>70.573623241372317</c:v>
                </c:pt>
                <c:pt idx="45">
                  <c:v>76.817240121856074</c:v>
                </c:pt>
                <c:pt idx="46">
                  <c:v>86.853501448412047</c:v>
                </c:pt>
                <c:pt idx="47">
                  <c:v>86.20834130054449</c:v>
                </c:pt>
              </c:numCache>
            </c:numRef>
          </c:val>
          <c:smooth val="0"/>
        </c:ser>
        <c:ser>
          <c:idx val="1"/>
          <c:order val="1"/>
          <c:tx>
            <c:v>Expected Values</c:v>
          </c:tx>
          <c:marker>
            <c:symbol val="none"/>
          </c:marker>
          <c:cat>
            <c:numRef>
              <c:f>Sheet1!$B$106:$B$165</c:f>
              <c:numCache>
                <c:formatCode>General</c:formatCode>
                <c:ptCount val="60"/>
                <c:pt idx="0">
                  <c:v>2001</c:v>
                </c:pt>
                <c:pt idx="1">
                  <c:v>2001</c:v>
                </c:pt>
                <c:pt idx="2">
                  <c:v>2001</c:v>
                </c:pt>
                <c:pt idx="3">
                  <c:v>2001</c:v>
                </c:pt>
                <c:pt idx="4">
                  <c:v>2001</c:v>
                </c:pt>
                <c:pt idx="5">
                  <c:v>2001</c:v>
                </c:pt>
                <c:pt idx="6">
                  <c:v>2001</c:v>
                </c:pt>
                <c:pt idx="7">
                  <c:v>2001</c:v>
                </c:pt>
                <c:pt idx="8">
                  <c:v>2001</c:v>
                </c:pt>
                <c:pt idx="9">
                  <c:v>2001</c:v>
                </c:pt>
                <c:pt idx="10">
                  <c:v>2001</c:v>
                </c:pt>
                <c:pt idx="11">
                  <c:v>2001</c:v>
                </c:pt>
                <c:pt idx="12">
                  <c:v>2002</c:v>
                </c:pt>
                <c:pt idx="13">
                  <c:v>2002</c:v>
                </c:pt>
                <c:pt idx="14">
                  <c:v>2002</c:v>
                </c:pt>
                <c:pt idx="15">
                  <c:v>2002</c:v>
                </c:pt>
                <c:pt idx="16">
                  <c:v>2002</c:v>
                </c:pt>
                <c:pt idx="17">
                  <c:v>2002</c:v>
                </c:pt>
                <c:pt idx="18">
                  <c:v>2002</c:v>
                </c:pt>
                <c:pt idx="19">
                  <c:v>2002</c:v>
                </c:pt>
                <c:pt idx="20">
                  <c:v>2002</c:v>
                </c:pt>
                <c:pt idx="21">
                  <c:v>2002</c:v>
                </c:pt>
                <c:pt idx="22">
                  <c:v>2002</c:v>
                </c:pt>
                <c:pt idx="23">
                  <c:v>2002</c:v>
                </c:pt>
                <c:pt idx="24">
                  <c:v>2003</c:v>
                </c:pt>
                <c:pt idx="25">
                  <c:v>2003</c:v>
                </c:pt>
                <c:pt idx="26">
                  <c:v>2003</c:v>
                </c:pt>
                <c:pt idx="27">
                  <c:v>2003</c:v>
                </c:pt>
                <c:pt idx="28">
                  <c:v>2003</c:v>
                </c:pt>
                <c:pt idx="29">
                  <c:v>2003</c:v>
                </c:pt>
                <c:pt idx="30">
                  <c:v>2003</c:v>
                </c:pt>
                <c:pt idx="31">
                  <c:v>2003</c:v>
                </c:pt>
                <c:pt idx="32">
                  <c:v>2003</c:v>
                </c:pt>
                <c:pt idx="33">
                  <c:v>2003</c:v>
                </c:pt>
                <c:pt idx="34">
                  <c:v>2003</c:v>
                </c:pt>
                <c:pt idx="35">
                  <c:v>2003</c:v>
                </c:pt>
                <c:pt idx="36">
                  <c:v>2004</c:v>
                </c:pt>
                <c:pt idx="37">
                  <c:v>2004</c:v>
                </c:pt>
                <c:pt idx="38">
                  <c:v>2004</c:v>
                </c:pt>
                <c:pt idx="39">
                  <c:v>2004</c:v>
                </c:pt>
                <c:pt idx="40">
                  <c:v>2004</c:v>
                </c:pt>
                <c:pt idx="41">
                  <c:v>2004</c:v>
                </c:pt>
                <c:pt idx="42">
                  <c:v>2004</c:v>
                </c:pt>
                <c:pt idx="43">
                  <c:v>2004</c:v>
                </c:pt>
                <c:pt idx="44">
                  <c:v>2004</c:v>
                </c:pt>
                <c:pt idx="45">
                  <c:v>2004</c:v>
                </c:pt>
                <c:pt idx="46">
                  <c:v>2004</c:v>
                </c:pt>
                <c:pt idx="47">
                  <c:v>2004</c:v>
                </c:pt>
                <c:pt idx="48">
                  <c:v>2005</c:v>
                </c:pt>
                <c:pt idx="49">
                  <c:v>2005</c:v>
                </c:pt>
                <c:pt idx="50">
                  <c:v>2005</c:v>
                </c:pt>
                <c:pt idx="51">
                  <c:v>2005</c:v>
                </c:pt>
                <c:pt idx="52">
                  <c:v>2005</c:v>
                </c:pt>
                <c:pt idx="53">
                  <c:v>2005</c:v>
                </c:pt>
                <c:pt idx="54">
                  <c:v>2005</c:v>
                </c:pt>
                <c:pt idx="55">
                  <c:v>2005</c:v>
                </c:pt>
                <c:pt idx="56">
                  <c:v>2005</c:v>
                </c:pt>
                <c:pt idx="57">
                  <c:v>2005</c:v>
                </c:pt>
                <c:pt idx="58">
                  <c:v>2005</c:v>
                </c:pt>
                <c:pt idx="59">
                  <c:v>2005</c:v>
                </c:pt>
              </c:numCache>
            </c:numRef>
          </c:cat>
          <c:val>
            <c:numRef>
              <c:f>Sheet1!$G$106:$G$165</c:f>
              <c:numCache>
                <c:formatCode>General</c:formatCode>
                <c:ptCount val="60"/>
                <c:pt idx="0">
                  <c:v>90.867167299740771</c:v>
                </c:pt>
                <c:pt idx="1">
                  <c:v>83.800264070886229</c:v>
                </c:pt>
                <c:pt idx="2">
                  <c:v>68.173476280288227</c:v>
                </c:pt>
                <c:pt idx="3">
                  <c:v>62.35072219419353</c:v>
                </c:pt>
                <c:pt idx="4">
                  <c:v>49.36689430389324</c:v>
                </c:pt>
                <c:pt idx="5">
                  <c:v>51.184671443633611</c:v>
                </c:pt>
                <c:pt idx="6">
                  <c:v>50.472369726285635</c:v>
                </c:pt>
                <c:pt idx="7">
                  <c:v>53.879432304137687</c:v>
                </c:pt>
                <c:pt idx="8">
                  <c:v>71.460891029376768</c:v>
                </c:pt>
                <c:pt idx="9">
                  <c:v>84.241948678898211</c:v>
                </c:pt>
                <c:pt idx="10">
                  <c:v>103.92693845925577</c:v>
                </c:pt>
                <c:pt idx="11">
                  <c:v>114.55480816608201</c:v>
                </c:pt>
                <c:pt idx="12">
                  <c:v>94.126334682853923</c:v>
                </c:pt>
                <c:pt idx="13">
                  <c:v>86.797003039312401</c:v>
                </c:pt>
                <c:pt idx="14">
                  <c:v>70.604150065583099</c:v>
                </c:pt>
                <c:pt idx="15">
                  <c:v>64.567204498703674</c:v>
                </c:pt>
                <c:pt idx="16">
                  <c:v>51.116635999286991</c:v>
                </c:pt>
                <c:pt idx="17">
                  <c:v>52.993499132987765</c:v>
                </c:pt>
                <c:pt idx="18">
                  <c:v>52.250787880408851</c:v>
                </c:pt>
                <c:pt idx="19">
                  <c:v>55.77234181104312</c:v>
                </c:pt>
                <c:pt idx="20">
                  <c:v>73.964149214035686</c:v>
                </c:pt>
                <c:pt idx="21">
                  <c:v>87.184335044790203</c:v>
                </c:pt>
                <c:pt idx="22">
                  <c:v>107.54634348907736</c:v>
                </c:pt>
                <c:pt idx="23">
                  <c:v>118.53279909858861</c:v>
                </c:pt>
                <c:pt idx="24">
                  <c:v>97.385502065967074</c:v>
                </c:pt>
                <c:pt idx="25">
                  <c:v>89.793742007738587</c:v>
                </c:pt>
                <c:pt idx="26">
                  <c:v>73.03482385087797</c:v>
                </c:pt>
                <c:pt idx="27">
                  <c:v>66.783686803213811</c:v>
                </c:pt>
                <c:pt idx="28">
                  <c:v>52.86637769468075</c:v>
                </c:pt>
                <c:pt idx="29">
                  <c:v>54.802326822341918</c:v>
                </c:pt>
                <c:pt idx="30">
                  <c:v>54.029206034532066</c:v>
                </c:pt>
                <c:pt idx="31">
                  <c:v>57.665251317948552</c:v>
                </c:pt>
                <c:pt idx="32">
                  <c:v>76.467407398694604</c:v>
                </c:pt>
                <c:pt idx="33">
                  <c:v>90.12672141068218</c:v>
                </c:pt>
                <c:pt idx="34">
                  <c:v>111.16574851889895</c:v>
                </c:pt>
                <c:pt idx="35">
                  <c:v>122.51079003109521</c:v>
                </c:pt>
                <c:pt idx="36">
                  <c:v>100.64466944908023</c:v>
                </c:pt>
                <c:pt idx="37">
                  <c:v>92.790480976164773</c:v>
                </c:pt>
                <c:pt idx="38">
                  <c:v>75.465497636172842</c:v>
                </c:pt>
                <c:pt idx="39">
                  <c:v>69.000169107723949</c:v>
                </c:pt>
                <c:pt idx="40">
                  <c:v>54.616119390074516</c:v>
                </c:pt>
                <c:pt idx="41">
                  <c:v>56.611154511696071</c:v>
                </c:pt>
                <c:pt idx="42">
                  <c:v>55.807624188655282</c:v>
                </c:pt>
                <c:pt idx="43">
                  <c:v>59.558160824853978</c:v>
                </c:pt>
                <c:pt idx="44">
                  <c:v>78.970665583353522</c:v>
                </c:pt>
                <c:pt idx="45">
                  <c:v>93.069107776574157</c:v>
                </c:pt>
                <c:pt idx="46">
                  <c:v>114.78515354872054</c:v>
                </c:pt>
                <c:pt idx="47">
                  <c:v>126.48878096360181</c:v>
                </c:pt>
                <c:pt idx="48">
                  <c:v>103.63223955026729</c:v>
                </c:pt>
                <c:pt idx="49">
                  <c:v>95.537491697222123</c:v>
                </c:pt>
                <c:pt idx="50">
                  <c:v>77.693615272693137</c:v>
                </c:pt>
                <c:pt idx="51">
                  <c:v>71.031944553524923</c:v>
                </c:pt>
                <c:pt idx="52">
                  <c:v>56.220049277518783</c:v>
                </c:pt>
                <c:pt idx="53">
                  <c:v>58.269246560270709</c:v>
                </c:pt>
                <c:pt idx="54">
                  <c:v>57.437840829934899</c:v>
                </c:pt>
                <c:pt idx="55">
                  <c:v>61.293327872850625</c:v>
                </c:pt>
                <c:pt idx="56">
                  <c:v>81.265318919290863</c:v>
                </c:pt>
                <c:pt idx="57">
                  <c:v>95.76629527864182</c:v>
                </c:pt>
                <c:pt idx="58">
                  <c:v>118.10294149272369</c:v>
                </c:pt>
                <c:pt idx="59">
                  <c:v>130.13527265173286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292608"/>
        <c:axId val="196294144"/>
      </c:lineChart>
      <c:catAx>
        <c:axId val="19629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6294144"/>
        <c:crosses val="autoZero"/>
        <c:auto val="1"/>
        <c:lblAlgn val="ctr"/>
        <c:lblOffset val="100"/>
        <c:noMultiLvlLbl val="0"/>
      </c:catAx>
      <c:valAx>
        <c:axId val="19629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29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15</cp:revision>
  <cp:lastPrinted>2020-09-27T17:00:00Z</cp:lastPrinted>
  <dcterms:created xsi:type="dcterms:W3CDTF">2020-09-27T08:55:00Z</dcterms:created>
  <dcterms:modified xsi:type="dcterms:W3CDTF">2020-10-01T21:25:00Z</dcterms:modified>
</cp:coreProperties>
</file>