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ADA44" w14:textId="77777777" w:rsidR="00656935" w:rsidRPr="00530E96" w:rsidRDefault="00656935" w:rsidP="00656935">
      <w:pPr>
        <w:spacing w:before="100" w:beforeAutospacing="1" w:after="100" w:afterAutospacing="1"/>
        <w:rPr>
          <w:rFonts w:ascii="Times New Roman" w:hAnsi="Times New Roman"/>
        </w:rPr>
      </w:pPr>
      <w:r w:rsidRPr="00530E96">
        <w:rPr>
          <w:rFonts w:ascii="Times New Roman" w:hAnsi="Times New Roman"/>
          <w:b/>
          <w:bCs/>
        </w:rPr>
        <w:t>Business Continuity and Disaster Recovery Policy</w:t>
      </w:r>
    </w:p>
    <w:p w14:paraId="72741FD8" w14:textId="77777777" w:rsidR="00656935" w:rsidRPr="00530E96" w:rsidRDefault="00656935" w:rsidP="00656935">
      <w:pPr>
        <w:spacing w:before="100" w:beforeAutospacing="1" w:after="100" w:afterAutospacing="1"/>
        <w:rPr>
          <w:rFonts w:ascii="Times New Roman" w:hAnsi="Times New Roman"/>
        </w:rPr>
      </w:pPr>
      <w:r w:rsidRPr="00530E96">
        <w:rPr>
          <w:rFonts w:ascii="Times New Roman" w:hAnsi="Times New Roman"/>
          <w:b/>
          <w:bCs/>
        </w:rPr>
        <w:t>1. Introduction</w:t>
      </w:r>
    </w:p>
    <w:p w14:paraId="6BF683B3" w14:textId="77777777" w:rsidR="00656935" w:rsidRPr="00530E96" w:rsidRDefault="00656935" w:rsidP="00656935">
      <w:pPr>
        <w:spacing w:before="100" w:beforeAutospacing="1" w:after="100" w:afterAutospacing="1"/>
        <w:rPr>
          <w:rFonts w:ascii="Times New Roman" w:hAnsi="Times New Roman"/>
        </w:rPr>
      </w:pPr>
      <w:r w:rsidRPr="00530E96">
        <w:rPr>
          <w:rFonts w:ascii="Times New Roman" w:hAnsi="Times New Roman"/>
        </w:rPr>
        <w:t>This Business Continuity and Disaster Recovery (BCDR) Policy outlines the strategies and procedures to ensure the continuity of business operations in the event of disruptions, such as natural disasters, cyberattacks, or system failures. The goal of this policy is to minimize business downtime, protect critical data, and maintain customer satisfaction.</w:t>
      </w:r>
    </w:p>
    <w:p w14:paraId="6B275FE3" w14:textId="77777777" w:rsidR="00656935" w:rsidRPr="00530E96" w:rsidRDefault="00656935" w:rsidP="00656935">
      <w:pPr>
        <w:spacing w:before="100" w:beforeAutospacing="1" w:after="100" w:afterAutospacing="1"/>
        <w:rPr>
          <w:rFonts w:ascii="Times New Roman" w:hAnsi="Times New Roman"/>
        </w:rPr>
      </w:pPr>
      <w:r w:rsidRPr="00530E96">
        <w:rPr>
          <w:rFonts w:ascii="Times New Roman" w:hAnsi="Times New Roman"/>
          <w:b/>
          <w:bCs/>
        </w:rPr>
        <w:t>2. Business Impact Analysis (BIA)</w:t>
      </w:r>
    </w:p>
    <w:p w14:paraId="60967D07" w14:textId="77777777" w:rsidR="00656935" w:rsidRPr="00530E96" w:rsidRDefault="00656935" w:rsidP="00656935">
      <w:pPr>
        <w:spacing w:before="100" w:beforeAutospacing="1" w:after="100" w:afterAutospacing="1"/>
        <w:rPr>
          <w:rFonts w:ascii="Times New Roman" w:hAnsi="Times New Roman"/>
        </w:rPr>
      </w:pPr>
      <w:r w:rsidRPr="00530E96">
        <w:rPr>
          <w:rFonts w:ascii="Times New Roman" w:hAnsi="Times New Roman"/>
        </w:rPr>
        <w:t>A comprehensive Business Impact Analysis (BIA) will be conducted to identify critical business functions, assess potential risks, and determine recovery time objectives (RTOs) and recovery point objectives (RPOs).</w:t>
      </w:r>
    </w:p>
    <w:p w14:paraId="08474F3C" w14:textId="77777777" w:rsidR="00656935" w:rsidRPr="00530E96" w:rsidRDefault="00656935" w:rsidP="00656935">
      <w:pPr>
        <w:spacing w:before="100" w:beforeAutospacing="1" w:after="100" w:afterAutospacing="1"/>
        <w:rPr>
          <w:rFonts w:ascii="Times New Roman" w:hAnsi="Times New Roman"/>
        </w:rPr>
      </w:pPr>
      <w:r w:rsidRPr="00530E96">
        <w:rPr>
          <w:rFonts w:ascii="Times New Roman" w:hAnsi="Times New Roman"/>
          <w:b/>
          <w:bCs/>
        </w:rPr>
        <w:t>3. Disaster Recovery Plan (DRP)</w:t>
      </w:r>
    </w:p>
    <w:p w14:paraId="32B77488" w14:textId="77777777" w:rsidR="00656935" w:rsidRPr="00530E96" w:rsidRDefault="00656935" w:rsidP="00656935">
      <w:pPr>
        <w:spacing w:before="100" w:beforeAutospacing="1" w:after="100" w:afterAutospacing="1"/>
        <w:rPr>
          <w:rFonts w:ascii="Times New Roman" w:hAnsi="Times New Roman"/>
        </w:rPr>
      </w:pPr>
      <w:r w:rsidRPr="00530E96">
        <w:rPr>
          <w:rFonts w:ascii="Times New Roman" w:hAnsi="Times New Roman"/>
        </w:rPr>
        <w:t>A detailed Disaster Recovery Plan (DRP) will be developed to outline the steps to be taken in the event of a disaster. The DRP will include:</w:t>
      </w:r>
    </w:p>
    <w:p w14:paraId="42FE670A" w14:textId="77777777" w:rsidR="00656935" w:rsidRPr="00530E96" w:rsidRDefault="00656935" w:rsidP="00656935">
      <w:pPr>
        <w:numPr>
          <w:ilvl w:val="0"/>
          <w:numId w:val="1"/>
        </w:numPr>
        <w:spacing w:before="100" w:beforeAutospacing="1" w:after="100" w:afterAutospacing="1"/>
        <w:rPr>
          <w:rFonts w:ascii="Times New Roman" w:hAnsi="Times New Roman"/>
        </w:rPr>
      </w:pPr>
      <w:r w:rsidRPr="00530E96">
        <w:rPr>
          <w:rFonts w:ascii="Times New Roman" w:hAnsi="Times New Roman"/>
          <w:b/>
          <w:bCs/>
        </w:rPr>
        <w:t>Incident Response Procedures:</w:t>
      </w:r>
      <w:r w:rsidRPr="00530E96">
        <w:rPr>
          <w:rFonts w:ascii="Times New Roman" w:hAnsi="Times New Roman"/>
        </w:rPr>
        <w:t xml:space="preserve"> Clear guidelines for detecting, reporting, and responding to incidents.</w:t>
      </w:r>
    </w:p>
    <w:p w14:paraId="34C3B81C" w14:textId="77777777" w:rsidR="00656935" w:rsidRPr="00530E96" w:rsidRDefault="00656935" w:rsidP="00656935">
      <w:pPr>
        <w:numPr>
          <w:ilvl w:val="0"/>
          <w:numId w:val="1"/>
        </w:numPr>
        <w:spacing w:before="100" w:beforeAutospacing="1" w:after="100" w:afterAutospacing="1"/>
        <w:rPr>
          <w:rFonts w:ascii="Times New Roman" w:hAnsi="Times New Roman"/>
        </w:rPr>
      </w:pPr>
      <w:r w:rsidRPr="00530E96">
        <w:rPr>
          <w:rFonts w:ascii="Times New Roman" w:hAnsi="Times New Roman"/>
          <w:b/>
          <w:bCs/>
        </w:rPr>
        <w:t>Data Backup and Recovery Procedures:</w:t>
      </w:r>
      <w:r w:rsidRPr="00530E96">
        <w:rPr>
          <w:rFonts w:ascii="Times New Roman" w:hAnsi="Times New Roman"/>
        </w:rPr>
        <w:t xml:space="preserve"> Regular backups of critical data, including system images, databases, and applications.</w:t>
      </w:r>
    </w:p>
    <w:p w14:paraId="537ADCF7" w14:textId="77777777" w:rsidR="00656935" w:rsidRPr="00530E96" w:rsidRDefault="00656935" w:rsidP="00656935">
      <w:pPr>
        <w:numPr>
          <w:ilvl w:val="0"/>
          <w:numId w:val="1"/>
        </w:numPr>
        <w:spacing w:before="100" w:beforeAutospacing="1" w:after="100" w:afterAutospacing="1"/>
        <w:rPr>
          <w:rFonts w:ascii="Times New Roman" w:hAnsi="Times New Roman"/>
        </w:rPr>
      </w:pPr>
      <w:r w:rsidRPr="00530E96">
        <w:rPr>
          <w:rFonts w:ascii="Times New Roman" w:hAnsi="Times New Roman"/>
          <w:b/>
          <w:bCs/>
        </w:rPr>
        <w:t>Disaster Recovery Site:</w:t>
      </w:r>
      <w:r w:rsidRPr="00530E96">
        <w:rPr>
          <w:rFonts w:ascii="Times New Roman" w:hAnsi="Times New Roman"/>
        </w:rPr>
        <w:t xml:space="preserve"> A designated off-site location for backup systems and data, which can be activated in case of a disaster.</w:t>
      </w:r>
    </w:p>
    <w:p w14:paraId="2B7BE4EB" w14:textId="77777777" w:rsidR="00656935" w:rsidRPr="00530E96" w:rsidRDefault="00656935" w:rsidP="00656935">
      <w:pPr>
        <w:numPr>
          <w:ilvl w:val="0"/>
          <w:numId w:val="1"/>
        </w:numPr>
        <w:spacing w:before="100" w:beforeAutospacing="1" w:after="100" w:afterAutospacing="1"/>
        <w:rPr>
          <w:rFonts w:ascii="Times New Roman" w:hAnsi="Times New Roman"/>
        </w:rPr>
      </w:pPr>
      <w:r w:rsidRPr="00530E96">
        <w:rPr>
          <w:rFonts w:ascii="Times New Roman" w:hAnsi="Times New Roman"/>
          <w:b/>
          <w:bCs/>
        </w:rPr>
        <w:t>Business Continuity Plan:</w:t>
      </w:r>
      <w:r w:rsidRPr="00530E96">
        <w:rPr>
          <w:rFonts w:ascii="Times New Roman" w:hAnsi="Times New Roman"/>
        </w:rPr>
        <w:t xml:space="preserve"> Strategies to maintain critical business functions during a disaster, such as remote work arrangements, alternative suppliers, and contingency plans.</w:t>
      </w:r>
    </w:p>
    <w:p w14:paraId="4B09E882" w14:textId="77777777" w:rsidR="00656935" w:rsidRPr="00530E96" w:rsidRDefault="00656935" w:rsidP="00656935">
      <w:pPr>
        <w:spacing w:before="100" w:beforeAutospacing="1" w:after="100" w:afterAutospacing="1"/>
        <w:rPr>
          <w:rFonts w:ascii="Times New Roman" w:hAnsi="Times New Roman"/>
        </w:rPr>
      </w:pPr>
      <w:r w:rsidRPr="00530E96">
        <w:rPr>
          <w:rFonts w:ascii="Times New Roman" w:hAnsi="Times New Roman"/>
          <w:b/>
          <w:bCs/>
        </w:rPr>
        <w:t>4. Technology Recovery</w:t>
      </w:r>
    </w:p>
    <w:p w14:paraId="56299499" w14:textId="77777777" w:rsidR="00656935" w:rsidRPr="00530E96" w:rsidRDefault="00656935" w:rsidP="00656935">
      <w:pPr>
        <w:numPr>
          <w:ilvl w:val="0"/>
          <w:numId w:val="2"/>
        </w:numPr>
        <w:spacing w:before="100" w:beforeAutospacing="1" w:after="100" w:afterAutospacing="1"/>
        <w:rPr>
          <w:rFonts w:ascii="Times New Roman" w:hAnsi="Times New Roman"/>
        </w:rPr>
      </w:pPr>
      <w:r w:rsidRPr="00530E96">
        <w:rPr>
          <w:rFonts w:ascii="Times New Roman" w:hAnsi="Times New Roman"/>
          <w:b/>
          <w:bCs/>
        </w:rPr>
        <w:t>Server and Network Recovery:</w:t>
      </w:r>
      <w:r w:rsidRPr="00530E96">
        <w:rPr>
          <w:rFonts w:ascii="Times New Roman" w:hAnsi="Times New Roman"/>
        </w:rPr>
        <w:t xml:space="preserve"> Procedures for restoring servers, network devices, and virtual infrastructure.</w:t>
      </w:r>
    </w:p>
    <w:p w14:paraId="14369577" w14:textId="77777777" w:rsidR="00656935" w:rsidRPr="00530E96" w:rsidRDefault="00656935" w:rsidP="00656935">
      <w:pPr>
        <w:numPr>
          <w:ilvl w:val="0"/>
          <w:numId w:val="2"/>
        </w:numPr>
        <w:spacing w:before="100" w:beforeAutospacing="1" w:after="100" w:afterAutospacing="1"/>
        <w:rPr>
          <w:rFonts w:ascii="Times New Roman" w:hAnsi="Times New Roman"/>
        </w:rPr>
      </w:pPr>
      <w:r w:rsidRPr="00530E96">
        <w:rPr>
          <w:rFonts w:ascii="Times New Roman" w:hAnsi="Times New Roman"/>
          <w:b/>
          <w:bCs/>
        </w:rPr>
        <w:t>Data Recovery:</w:t>
      </w:r>
      <w:r w:rsidRPr="00530E96">
        <w:rPr>
          <w:rFonts w:ascii="Times New Roman" w:hAnsi="Times New Roman"/>
        </w:rPr>
        <w:t xml:space="preserve"> Procedures for recovering lost or corrupted data from backups.</w:t>
      </w:r>
    </w:p>
    <w:p w14:paraId="0D10AE94" w14:textId="77777777" w:rsidR="00656935" w:rsidRPr="00530E96" w:rsidRDefault="00656935" w:rsidP="00656935">
      <w:pPr>
        <w:numPr>
          <w:ilvl w:val="0"/>
          <w:numId w:val="2"/>
        </w:numPr>
        <w:spacing w:before="100" w:beforeAutospacing="1" w:after="100" w:afterAutospacing="1"/>
        <w:rPr>
          <w:rFonts w:ascii="Times New Roman" w:hAnsi="Times New Roman"/>
        </w:rPr>
      </w:pPr>
      <w:r w:rsidRPr="00530E96">
        <w:rPr>
          <w:rFonts w:ascii="Times New Roman" w:hAnsi="Times New Roman"/>
          <w:b/>
          <w:bCs/>
        </w:rPr>
        <w:t>Application Recovery:</w:t>
      </w:r>
      <w:r w:rsidRPr="00530E96">
        <w:rPr>
          <w:rFonts w:ascii="Times New Roman" w:hAnsi="Times New Roman"/>
        </w:rPr>
        <w:t xml:space="preserve"> Procedures for restoring critical applications and databases.</w:t>
      </w:r>
    </w:p>
    <w:p w14:paraId="54062E05" w14:textId="77777777" w:rsidR="00656935" w:rsidRPr="00530E96" w:rsidRDefault="00656935" w:rsidP="00656935">
      <w:pPr>
        <w:spacing w:before="100" w:beforeAutospacing="1" w:after="100" w:afterAutospacing="1"/>
        <w:rPr>
          <w:rFonts w:ascii="Times New Roman" w:hAnsi="Times New Roman"/>
        </w:rPr>
      </w:pPr>
      <w:r w:rsidRPr="00530E96">
        <w:rPr>
          <w:rFonts w:ascii="Times New Roman" w:hAnsi="Times New Roman"/>
          <w:b/>
          <w:bCs/>
        </w:rPr>
        <w:t>5. Communication Plan</w:t>
      </w:r>
    </w:p>
    <w:p w14:paraId="0C204FE2" w14:textId="77777777" w:rsidR="00656935" w:rsidRPr="00530E96" w:rsidRDefault="00656935" w:rsidP="00656935">
      <w:pPr>
        <w:numPr>
          <w:ilvl w:val="0"/>
          <w:numId w:val="3"/>
        </w:numPr>
        <w:spacing w:before="100" w:beforeAutospacing="1" w:after="100" w:afterAutospacing="1"/>
        <w:rPr>
          <w:rFonts w:ascii="Times New Roman" w:hAnsi="Times New Roman"/>
        </w:rPr>
      </w:pPr>
      <w:r w:rsidRPr="00530E96">
        <w:rPr>
          <w:rFonts w:ascii="Times New Roman" w:hAnsi="Times New Roman"/>
          <w:b/>
          <w:bCs/>
        </w:rPr>
        <w:t>Internal Communication:</w:t>
      </w:r>
      <w:r w:rsidRPr="00530E96">
        <w:rPr>
          <w:rFonts w:ascii="Times New Roman" w:hAnsi="Times New Roman"/>
        </w:rPr>
        <w:t xml:space="preserve"> A communication plan to inform employees about the incident and provide updates on recovery efforts.</w:t>
      </w:r>
    </w:p>
    <w:p w14:paraId="4EA55151" w14:textId="77777777" w:rsidR="00656935" w:rsidRPr="00530E96" w:rsidRDefault="00656935" w:rsidP="00656935">
      <w:pPr>
        <w:numPr>
          <w:ilvl w:val="0"/>
          <w:numId w:val="3"/>
        </w:numPr>
        <w:spacing w:before="100" w:beforeAutospacing="1" w:after="100" w:afterAutospacing="1"/>
        <w:rPr>
          <w:rFonts w:ascii="Times New Roman" w:hAnsi="Times New Roman"/>
        </w:rPr>
      </w:pPr>
      <w:r w:rsidRPr="00530E96">
        <w:rPr>
          <w:rFonts w:ascii="Times New Roman" w:hAnsi="Times New Roman"/>
          <w:b/>
          <w:bCs/>
        </w:rPr>
        <w:t>External Communication:</w:t>
      </w:r>
      <w:r w:rsidRPr="00530E96">
        <w:rPr>
          <w:rFonts w:ascii="Times New Roman" w:hAnsi="Times New Roman"/>
        </w:rPr>
        <w:t xml:space="preserve"> A communication plan to inform customers, suppliers, and other stakeholders about any disruptions and the steps being taken to restore services.</w:t>
      </w:r>
    </w:p>
    <w:p w14:paraId="372D5D74" w14:textId="77777777" w:rsidR="00656935" w:rsidRPr="00530E96" w:rsidRDefault="00656935" w:rsidP="00656935">
      <w:pPr>
        <w:spacing w:before="100" w:beforeAutospacing="1" w:after="100" w:afterAutospacing="1"/>
        <w:rPr>
          <w:rFonts w:ascii="Times New Roman" w:hAnsi="Times New Roman"/>
        </w:rPr>
      </w:pPr>
      <w:r w:rsidRPr="00530E96">
        <w:rPr>
          <w:rFonts w:ascii="Times New Roman" w:hAnsi="Times New Roman"/>
          <w:b/>
          <w:bCs/>
        </w:rPr>
        <w:t>6. Testing and Maintenance</w:t>
      </w:r>
    </w:p>
    <w:p w14:paraId="6266FA7D" w14:textId="77777777" w:rsidR="00656935" w:rsidRPr="00530E96" w:rsidRDefault="00656935" w:rsidP="00656935">
      <w:pPr>
        <w:numPr>
          <w:ilvl w:val="0"/>
          <w:numId w:val="4"/>
        </w:numPr>
        <w:spacing w:before="100" w:beforeAutospacing="1" w:after="100" w:afterAutospacing="1"/>
        <w:rPr>
          <w:rFonts w:ascii="Times New Roman" w:hAnsi="Times New Roman"/>
        </w:rPr>
      </w:pPr>
      <w:r w:rsidRPr="00530E96">
        <w:rPr>
          <w:rFonts w:ascii="Times New Roman" w:hAnsi="Times New Roman"/>
          <w:b/>
          <w:bCs/>
        </w:rPr>
        <w:lastRenderedPageBreak/>
        <w:t>Regular Testing:</w:t>
      </w:r>
      <w:r w:rsidRPr="00530E96">
        <w:rPr>
          <w:rFonts w:ascii="Times New Roman" w:hAnsi="Times New Roman"/>
        </w:rPr>
        <w:t xml:space="preserve"> Regular testing of the DRP to ensure its effectiveness and identify any gaps.</w:t>
      </w:r>
    </w:p>
    <w:p w14:paraId="23A474F7" w14:textId="77777777" w:rsidR="00656935" w:rsidRPr="00530E96" w:rsidRDefault="00656935" w:rsidP="00656935">
      <w:pPr>
        <w:numPr>
          <w:ilvl w:val="0"/>
          <w:numId w:val="4"/>
        </w:numPr>
        <w:spacing w:before="100" w:beforeAutospacing="1" w:after="100" w:afterAutospacing="1"/>
        <w:rPr>
          <w:rFonts w:ascii="Times New Roman" w:hAnsi="Times New Roman"/>
        </w:rPr>
      </w:pPr>
      <w:r w:rsidRPr="00530E96">
        <w:rPr>
          <w:rFonts w:ascii="Times New Roman" w:hAnsi="Times New Roman"/>
          <w:b/>
          <w:bCs/>
        </w:rPr>
        <w:t>Maintenance:</w:t>
      </w:r>
      <w:r w:rsidRPr="00530E96">
        <w:rPr>
          <w:rFonts w:ascii="Times New Roman" w:hAnsi="Times New Roman"/>
        </w:rPr>
        <w:t xml:space="preserve"> Regular maintenance of backup systems, disaster recovery sites, and recovery procedures.</w:t>
      </w:r>
    </w:p>
    <w:p w14:paraId="7727DC41" w14:textId="77777777" w:rsidR="00656935" w:rsidRPr="00530E96" w:rsidRDefault="00656935" w:rsidP="00656935">
      <w:pPr>
        <w:spacing w:before="100" w:beforeAutospacing="1" w:after="100" w:afterAutospacing="1"/>
        <w:rPr>
          <w:rFonts w:ascii="Times New Roman" w:hAnsi="Times New Roman"/>
        </w:rPr>
      </w:pPr>
      <w:r w:rsidRPr="00530E96">
        <w:rPr>
          <w:rFonts w:ascii="Times New Roman" w:hAnsi="Times New Roman"/>
          <w:b/>
          <w:bCs/>
        </w:rPr>
        <w:t>7. Security and Compliance</w:t>
      </w:r>
    </w:p>
    <w:p w14:paraId="4F39901D" w14:textId="77777777" w:rsidR="00656935" w:rsidRPr="00530E96" w:rsidRDefault="00656935" w:rsidP="00656935">
      <w:pPr>
        <w:numPr>
          <w:ilvl w:val="0"/>
          <w:numId w:val="5"/>
        </w:numPr>
        <w:spacing w:before="100" w:beforeAutospacing="1" w:after="100" w:afterAutospacing="1"/>
        <w:rPr>
          <w:rFonts w:ascii="Times New Roman" w:hAnsi="Times New Roman"/>
        </w:rPr>
      </w:pPr>
      <w:r w:rsidRPr="00530E96">
        <w:rPr>
          <w:rFonts w:ascii="Times New Roman" w:hAnsi="Times New Roman"/>
          <w:b/>
          <w:bCs/>
        </w:rPr>
        <w:t>Security Measures:</w:t>
      </w:r>
      <w:r w:rsidRPr="00530E96">
        <w:rPr>
          <w:rFonts w:ascii="Times New Roman" w:hAnsi="Times New Roman"/>
        </w:rPr>
        <w:t xml:space="preserve"> Strong security measures to protect critical data and systems, including encryption, access controls, and security awareness training.</w:t>
      </w:r>
    </w:p>
    <w:p w14:paraId="6E5A94F4" w14:textId="77777777" w:rsidR="00656935" w:rsidRPr="00530E96" w:rsidRDefault="00656935" w:rsidP="00656935">
      <w:pPr>
        <w:numPr>
          <w:ilvl w:val="0"/>
          <w:numId w:val="5"/>
        </w:numPr>
        <w:spacing w:before="100" w:beforeAutospacing="1" w:after="100" w:afterAutospacing="1"/>
        <w:rPr>
          <w:rFonts w:ascii="Times New Roman" w:hAnsi="Times New Roman"/>
        </w:rPr>
      </w:pPr>
      <w:r w:rsidRPr="00530E96">
        <w:rPr>
          <w:rFonts w:ascii="Times New Roman" w:hAnsi="Times New Roman"/>
          <w:b/>
          <w:bCs/>
        </w:rPr>
        <w:t>Compliance:</w:t>
      </w:r>
      <w:r w:rsidRPr="00530E96">
        <w:rPr>
          <w:rFonts w:ascii="Times New Roman" w:hAnsi="Times New Roman"/>
        </w:rPr>
        <w:t xml:space="preserve"> Adherence to industry standards and regulations, such as PCI DSS, HIPAA, and GDPR.</w:t>
      </w:r>
    </w:p>
    <w:p w14:paraId="24114E7A" w14:textId="77777777" w:rsidR="00656935" w:rsidRPr="00530E96" w:rsidRDefault="00656935" w:rsidP="00656935">
      <w:pPr>
        <w:spacing w:before="100" w:beforeAutospacing="1" w:after="100" w:afterAutospacing="1"/>
        <w:rPr>
          <w:rFonts w:ascii="Times New Roman" w:hAnsi="Times New Roman"/>
        </w:rPr>
      </w:pPr>
      <w:r w:rsidRPr="00530E96">
        <w:rPr>
          <w:rFonts w:ascii="Times New Roman" w:hAnsi="Times New Roman"/>
          <w:b/>
          <w:bCs/>
        </w:rPr>
        <w:t>8. Review and Updates</w:t>
      </w:r>
    </w:p>
    <w:p w14:paraId="46FC5F48" w14:textId="77777777" w:rsidR="00656935" w:rsidRPr="00530E96" w:rsidRDefault="00656935" w:rsidP="00656935">
      <w:pPr>
        <w:spacing w:before="100" w:beforeAutospacing="1" w:after="100" w:afterAutospacing="1"/>
        <w:rPr>
          <w:rFonts w:ascii="Times New Roman" w:hAnsi="Times New Roman"/>
        </w:rPr>
      </w:pPr>
      <w:r w:rsidRPr="00530E96">
        <w:rPr>
          <w:rFonts w:ascii="Times New Roman" w:hAnsi="Times New Roman"/>
        </w:rPr>
        <w:t>This BCDR Policy will be reviewed and updated annually or as needed to reflect changes in the business environment and emerging threats.</w:t>
      </w:r>
    </w:p>
    <w:p w14:paraId="7B40D79F" w14:textId="2E8C265E" w:rsidR="00656935" w:rsidRPr="00656935" w:rsidRDefault="00656935" w:rsidP="00656935">
      <w:pPr>
        <w:rPr>
          <w:rFonts w:ascii="Times New Roman" w:hAnsi="Times New Roman"/>
        </w:rPr>
      </w:pPr>
      <w:r w:rsidRPr="00530E96">
        <w:rPr>
          <w:rFonts w:ascii="Times New Roman" w:hAnsi="Times New Roman"/>
        </w:rPr>
        <w:t xml:space="preserve">By implementing a robust BCDR plan, the company can minimize the impact of disruptions, maintain business continuity, and protect its </w:t>
      </w:r>
      <w:r w:rsidRPr="00530E96">
        <w:rPr>
          <w:rFonts w:ascii="Times New Roman" w:hAnsi="Times New Roman"/>
        </w:rPr>
        <w:t>reputation.</w:t>
      </w:r>
    </w:p>
    <w:sectPr w:rsidR="00656935" w:rsidRPr="00656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45CAE"/>
    <w:multiLevelType w:val="multilevel"/>
    <w:tmpl w:val="927E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E2247"/>
    <w:multiLevelType w:val="multilevel"/>
    <w:tmpl w:val="84D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11B71"/>
    <w:multiLevelType w:val="multilevel"/>
    <w:tmpl w:val="0E7E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54ED7"/>
    <w:multiLevelType w:val="multilevel"/>
    <w:tmpl w:val="A9B4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E595E"/>
    <w:multiLevelType w:val="multilevel"/>
    <w:tmpl w:val="81B6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806599">
    <w:abstractNumId w:val="4"/>
  </w:num>
  <w:num w:numId="2" w16cid:durableId="1849757988">
    <w:abstractNumId w:val="2"/>
  </w:num>
  <w:num w:numId="3" w16cid:durableId="660348785">
    <w:abstractNumId w:val="1"/>
  </w:num>
  <w:num w:numId="4" w16cid:durableId="315229390">
    <w:abstractNumId w:val="3"/>
  </w:num>
  <w:num w:numId="5" w16cid:durableId="15815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35"/>
    <w:rsid w:val="00656935"/>
    <w:rsid w:val="00D0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5E6B"/>
  <w15:chartTrackingRefBased/>
  <w15:docId w15:val="{249658E2-A038-4CCE-AF51-495A4248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656935"/>
    <w:pPr>
      <w:spacing w:before="240" w:after="240" w:line="240" w:lineRule="auto"/>
    </w:pPr>
    <w:rPr>
      <w:rFonts w:eastAsia="Times New Roman" w:cs="Times New Roman"/>
      <w:color w:val="444444"/>
      <w:kern w:val="0"/>
      <w:lang w:val="en-GB"/>
      <w14:ligatures w14:val="none"/>
    </w:rPr>
  </w:style>
  <w:style w:type="paragraph" w:styleId="Heading1">
    <w:name w:val="heading 1"/>
    <w:basedOn w:val="Normal"/>
    <w:next w:val="Normal"/>
    <w:link w:val="Heading1Char"/>
    <w:uiPriority w:val="9"/>
    <w:qFormat/>
    <w:rsid w:val="00656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935"/>
    <w:rPr>
      <w:rFonts w:eastAsiaTheme="majorEastAsia" w:cstheme="majorBidi"/>
      <w:color w:val="272727" w:themeColor="text1" w:themeTint="D8"/>
    </w:rPr>
  </w:style>
  <w:style w:type="paragraph" w:styleId="Title">
    <w:name w:val="Title"/>
    <w:basedOn w:val="Normal"/>
    <w:next w:val="Normal"/>
    <w:link w:val="TitleChar"/>
    <w:uiPriority w:val="10"/>
    <w:qFormat/>
    <w:rsid w:val="00656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935"/>
    <w:pPr>
      <w:spacing w:before="160"/>
      <w:jc w:val="center"/>
    </w:pPr>
    <w:rPr>
      <w:i/>
      <w:iCs/>
      <w:color w:val="404040" w:themeColor="text1" w:themeTint="BF"/>
    </w:rPr>
  </w:style>
  <w:style w:type="character" w:customStyle="1" w:styleId="QuoteChar">
    <w:name w:val="Quote Char"/>
    <w:basedOn w:val="DefaultParagraphFont"/>
    <w:link w:val="Quote"/>
    <w:uiPriority w:val="29"/>
    <w:rsid w:val="00656935"/>
    <w:rPr>
      <w:i/>
      <w:iCs/>
      <w:color w:val="404040" w:themeColor="text1" w:themeTint="BF"/>
    </w:rPr>
  </w:style>
  <w:style w:type="paragraph" w:styleId="ListParagraph">
    <w:name w:val="List Paragraph"/>
    <w:basedOn w:val="Normal"/>
    <w:uiPriority w:val="34"/>
    <w:qFormat/>
    <w:rsid w:val="00656935"/>
    <w:pPr>
      <w:ind w:left="720"/>
      <w:contextualSpacing/>
    </w:pPr>
  </w:style>
  <w:style w:type="character" w:styleId="IntenseEmphasis">
    <w:name w:val="Intense Emphasis"/>
    <w:basedOn w:val="DefaultParagraphFont"/>
    <w:uiPriority w:val="21"/>
    <w:qFormat/>
    <w:rsid w:val="00656935"/>
    <w:rPr>
      <w:i/>
      <w:iCs/>
      <w:color w:val="0F4761" w:themeColor="accent1" w:themeShade="BF"/>
    </w:rPr>
  </w:style>
  <w:style w:type="paragraph" w:styleId="IntenseQuote">
    <w:name w:val="Intense Quote"/>
    <w:basedOn w:val="Normal"/>
    <w:next w:val="Normal"/>
    <w:link w:val="IntenseQuoteChar"/>
    <w:uiPriority w:val="30"/>
    <w:qFormat/>
    <w:rsid w:val="00656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935"/>
    <w:rPr>
      <w:i/>
      <w:iCs/>
      <w:color w:val="0F4761" w:themeColor="accent1" w:themeShade="BF"/>
    </w:rPr>
  </w:style>
  <w:style w:type="character" w:styleId="IntenseReference">
    <w:name w:val="Intense Reference"/>
    <w:basedOn w:val="DefaultParagraphFont"/>
    <w:uiPriority w:val="32"/>
    <w:qFormat/>
    <w:rsid w:val="00656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Radtke</dc:creator>
  <cp:keywords/>
  <dc:description/>
  <cp:lastModifiedBy>Gage Radtke</cp:lastModifiedBy>
  <cp:revision>1</cp:revision>
  <dcterms:created xsi:type="dcterms:W3CDTF">2025-01-12T19:32:00Z</dcterms:created>
  <dcterms:modified xsi:type="dcterms:W3CDTF">2025-01-12T19:33:00Z</dcterms:modified>
</cp:coreProperties>
</file>