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FDE0E0" w14:textId="77777777" w:rsidR="0051638B" w:rsidRPr="008B0693" w:rsidRDefault="0051638B" w:rsidP="0051638B">
      <w:pPr>
        <w:autoSpaceDE w:val="0"/>
        <w:autoSpaceDN w:val="0"/>
        <w:adjustRightInd w:val="0"/>
        <w:spacing w:before="100" w:after="100" w:line="240" w:lineRule="auto"/>
        <w:rPr>
          <w:rFonts w:ascii="Cambria" w:hAnsi="Cambria"/>
          <w:b/>
          <w:bCs/>
        </w:rPr>
      </w:pPr>
      <w:r w:rsidRPr="00FB493F">
        <w:rPr>
          <w:rFonts w:ascii="Cambria" w:hAnsi="Cambria"/>
          <w:b/>
          <w:bCs/>
        </w:rPr>
        <w:t>Chapter 2</w:t>
      </w:r>
    </w:p>
    <w:p w14:paraId="54A8A7D9" w14:textId="77777777" w:rsidR="0051638B" w:rsidRPr="00FB493F" w:rsidRDefault="0051638B" w:rsidP="0051638B">
      <w:pPr>
        <w:autoSpaceDE w:val="0"/>
        <w:autoSpaceDN w:val="0"/>
        <w:adjustRightInd w:val="0"/>
        <w:spacing w:before="100" w:after="100" w:line="240" w:lineRule="auto"/>
        <w:rPr>
          <w:rFonts w:ascii="Cambria" w:hAnsi="Cambria"/>
        </w:rPr>
      </w:pPr>
      <w:r w:rsidRPr="00FB493F">
        <w:rPr>
          <w:rFonts w:ascii="Cambria" w:hAnsi="Cambria"/>
          <w:b/>
          <w:bCs/>
        </w:rPr>
        <w:t xml:space="preserve">Title: </w:t>
      </w:r>
      <w:r w:rsidRPr="00FB493F">
        <w:rPr>
          <w:rFonts w:ascii="Cambria" w:hAnsi="Cambria"/>
        </w:rPr>
        <w:t>Seasonal</w:t>
      </w:r>
      <w:r w:rsidRPr="00FB493F">
        <w:rPr>
          <w:rFonts w:ascii="Cambria" w:hAnsi="Cambria"/>
          <w:b/>
          <w:bCs/>
        </w:rPr>
        <w:t xml:space="preserve"> </w:t>
      </w:r>
      <w:r w:rsidRPr="00FB493F">
        <w:rPr>
          <w:rFonts w:ascii="Cambria" w:hAnsi="Cambria"/>
        </w:rPr>
        <w:t>Influence of Soil Disturbance in Restoration of Southeastern Pine Savannas</w:t>
      </w:r>
    </w:p>
    <w:p w14:paraId="653C0BB1" w14:textId="77777777" w:rsidR="0051638B" w:rsidRPr="00FB493F" w:rsidRDefault="0051638B" w:rsidP="0051638B">
      <w:pPr>
        <w:widowControl w:val="0"/>
        <w:spacing w:before="100" w:after="100" w:line="240" w:lineRule="auto"/>
        <w:ind w:right="60"/>
        <w:rPr>
          <w:rFonts w:ascii="Cambria" w:eastAsia="Calibri" w:hAnsi="Cambria" w:cs="Times New Roman"/>
          <w:b/>
          <w:bCs/>
          <w:spacing w:val="-1"/>
        </w:rPr>
      </w:pPr>
      <w:r w:rsidRPr="00FB493F">
        <w:rPr>
          <w:rFonts w:ascii="Cambria" w:eastAsia="Calibri" w:hAnsi="Cambria" w:cs="Times New Roman"/>
          <w:b/>
          <w:bCs/>
          <w:spacing w:val="-1"/>
        </w:rPr>
        <w:t>Background</w:t>
      </w:r>
    </w:p>
    <w:p w14:paraId="4B9979AA" w14:textId="77777777" w:rsidR="0051638B" w:rsidRDefault="0051638B" w:rsidP="0051638B">
      <w:pPr>
        <w:widowControl w:val="0"/>
        <w:spacing w:before="100" w:after="100" w:line="240" w:lineRule="auto"/>
        <w:ind w:right="60" w:firstLine="360"/>
        <w:rPr>
          <w:rFonts w:ascii="Cambria" w:eastAsia="Calibri" w:hAnsi="Cambria" w:cs="Times New Roman"/>
          <w:spacing w:val="-1"/>
        </w:rPr>
      </w:pPr>
      <w:r w:rsidRPr="00FB493F">
        <w:rPr>
          <w:rFonts w:ascii="Cambria" w:eastAsia="Calibri" w:hAnsi="Cambria" w:cs="Times New Roman"/>
          <w:spacing w:val="-1"/>
        </w:rPr>
        <w:t>Disturbances have shaped the evolution of plant communities across the world</w:t>
      </w:r>
      <w:r>
        <w:rPr>
          <w:rFonts w:ascii="Cambria" w:eastAsia="Calibri" w:hAnsi="Cambria" w:cs="Times New Roman"/>
          <w:spacing w:val="-1"/>
        </w:rPr>
        <w:t xml:space="preserve"> </w:t>
      </w:r>
      <w:r>
        <w:rPr>
          <w:rFonts w:ascii="Cambria" w:eastAsia="Calibri" w:hAnsi="Cambria" w:cs="Times New Roman"/>
          <w:spacing w:val="-1"/>
        </w:rPr>
        <w:fldChar w:fldCharType="begin" w:fldLock="1"/>
      </w:r>
      <w:r>
        <w:rPr>
          <w:rFonts w:ascii="Cambria" w:eastAsia="Calibri" w:hAnsi="Cambria" w:cs="Times New Roman"/>
          <w:spacing w:val="-1"/>
        </w:rPr>
        <w:instrText>ADDIN CSL_CITATION {"citationItems":[{"id":"ITEM-1","itemData":{"DOI":"10.1002/9781118223246","ISBN":"9781118223246","ISSN":"0717-6163","PMID":"15003161","abstract":"Pdf is just a section of the book","author":[{"dropping-particle":"","family":"Grime","given":"J. Philip","non-dropping-particle":"","parse-names":false,"suffix":""},{"dropping-particle":"","family":"Pierce","given":"Simon","non-dropping-particle":"","parse-names":false,"suffix":""}],"container-title":"Wiley-Blackwell","id":"ITEM-1","issued":{"date-parts":[["2012"]]},"number-of-pages":"1-240","publisher":"Wiley-Blackwell","title":"The Evolutionary Strategies that Shape Ecosystems","type":"book"},"uris":["http://www.mendeley.com/documents/?uuid=ba2ee5c8-d2fe-46e0-ab53-50d00a8e025d"]},{"id":"ITEM-2","itemData":{"DOI":"10.1146/annurev.es.15.110184.002033","ISSN":"0066-4162","abstract":"Disturbance is both a major source of temporal and spatial heterogeneity in the structure and dynamics of natural communities and an agent of natural selection in the evolution of life histories. This review emphasises the impact of disturbance on the numerical abundance of populations and on the relative abundance of species in guilds and communities. Disturbance also has an important influence on ecosystem-level processes, eg primary and secondary production, biomass accumulation, energetics, and nutrient cycling. Assemblages of sessile and mobile organisms are subject to disturbance with rather different responses.","author":[{"dropping-particle":"","family":"Sousa","given":"W P","non-dropping-particle":"","parse-names":false,"suffix":""}],"container-title":"Annual Review of Ecology and Systematics","id":"ITEM-2","issue":"1","issued":{"date-parts":[["2003"]]},"page":"353-391","title":"The Role of Disturbance in Natural Communities","type":"article-journal","volume":"15"},"uris":["http://www.mendeley.com/documents/?uuid=e7e96061-87fb-41fc-84d9-0b0011307dc4"]}],"mendeley":{"formattedCitation":"(Grime and Pierce, 2012; Sousa, 2003)","plainTextFormattedCitation":"(Grime and Pierce, 2012; Sousa, 2003)","previouslyFormattedCitation":"(Grime and Pierce, 2012; Sousa, 2003)"},"properties":{"noteIndex":0},"schema":"https://github.com/citation-style-language/schema/raw/master/csl-citation.json"}</w:instrText>
      </w:r>
      <w:r>
        <w:rPr>
          <w:rFonts w:ascii="Cambria" w:eastAsia="Calibri" w:hAnsi="Cambria" w:cs="Times New Roman"/>
          <w:spacing w:val="-1"/>
        </w:rPr>
        <w:fldChar w:fldCharType="separate"/>
      </w:r>
      <w:r w:rsidRPr="00734C31">
        <w:rPr>
          <w:rFonts w:ascii="Cambria" w:eastAsia="Calibri" w:hAnsi="Cambria" w:cs="Times New Roman"/>
          <w:noProof/>
          <w:spacing w:val="-1"/>
        </w:rPr>
        <w:t>(Grime and Pierce, 2012; Sousa, 2003)</w:t>
      </w:r>
      <w:r>
        <w:rPr>
          <w:rFonts w:ascii="Cambria" w:eastAsia="Calibri" w:hAnsi="Cambria" w:cs="Times New Roman"/>
          <w:spacing w:val="-1"/>
        </w:rPr>
        <w:fldChar w:fldCharType="end"/>
      </w:r>
      <w:r w:rsidRPr="00FB493F">
        <w:rPr>
          <w:rFonts w:ascii="Cambria" w:eastAsia="Calibri" w:hAnsi="Cambria" w:cs="Times New Roman"/>
          <w:spacing w:val="-1"/>
        </w:rPr>
        <w:t xml:space="preserve">. Accordingly, many plant species feature </w:t>
      </w:r>
      <w:r>
        <w:rPr>
          <w:rFonts w:ascii="Cambria" w:eastAsia="Calibri" w:hAnsi="Cambria" w:cs="Times New Roman"/>
          <w:spacing w:val="-1"/>
        </w:rPr>
        <w:t>survival</w:t>
      </w:r>
      <w:r w:rsidRPr="00FB493F">
        <w:rPr>
          <w:rFonts w:ascii="Cambria" w:eastAsia="Calibri" w:hAnsi="Cambria" w:cs="Times New Roman"/>
          <w:spacing w:val="-1"/>
        </w:rPr>
        <w:t xml:space="preserve"> strategies that allow them to </w:t>
      </w:r>
      <w:r>
        <w:rPr>
          <w:rFonts w:ascii="Cambria" w:eastAsia="Calibri" w:hAnsi="Cambria" w:cs="Times New Roman"/>
          <w:spacing w:val="-1"/>
        </w:rPr>
        <w:t>proliferate</w:t>
      </w:r>
      <w:r w:rsidRPr="00FB493F">
        <w:rPr>
          <w:rFonts w:ascii="Cambria" w:eastAsia="Calibri" w:hAnsi="Cambria" w:cs="Times New Roman"/>
          <w:spacing w:val="-1"/>
        </w:rPr>
        <w:t xml:space="preserve"> after events that destroy existing vegetation and disturb the soil </w:t>
      </w:r>
      <w:r w:rsidRPr="00FB493F">
        <w:rPr>
          <w:rFonts w:ascii="Cambria" w:eastAsia="Calibri" w:hAnsi="Cambria" w:cs="Times New Roman"/>
          <w:spacing w:val="-1"/>
        </w:rPr>
        <w:fldChar w:fldCharType="begin" w:fldLock="1"/>
      </w:r>
      <w:r w:rsidRPr="00FB493F">
        <w:rPr>
          <w:rFonts w:ascii="Cambria" w:eastAsia="Calibri" w:hAnsi="Cambria" w:cs="Times New Roman"/>
          <w:spacing w:val="-1"/>
        </w:rPr>
        <w:instrText>ADDIN CSL_CITATION {"citationItems":[{"id":"ITEM-1","itemData":{"DOI":"10.2307/3237067","author":[{"dropping-particle":"","family":"Prach","given":"Karel","non-dropping-particle":"","parse-names":false,"suffix":""},{"dropping-particle":"","family":"Pyšek","given":"Petr","non-dropping-particle":"","parse-names":false,"suffix":""}],"container-title":"Journal of Vegetation Science","id":"ITEM-1","issue":"3","issued":{"date-parts":[["1999","6"]]},"page":"383-392","publisher":"Wiley","title":"How do species dominating in succession differ from others?","type":"article-journal","volume":"10"},"uris":["http://www.mendeley.com/documents/?uuid=6ee7c60c-1901-4ad9-adc3-8a4d7d76c226"]},{"id":"ITEM-2","itemData":{"author":[{"dropping-particle":"","family":"Grime","given":"J. Philip","non-dropping-particle":"","parse-names":false,"suffix":""}],"container-title":"The American Naturalist","id":"ITEM-2","issue":"982","issued":{"date-parts":[["1977"]]},"page":"1169-1194","title":"Evidence for the Existence of Three Primary Strategies in Plants and Its Relevance to Ecological and Evolutionary Theory Author ( s ): J . P . Grime Source : The American Naturalist , Vol . 111 , No . 982 ( Nov . - Dec ., 1977 ), pp . 1169-1194 Published","type":"article-journal","volume":"111"},"uris":["http://www.mendeley.com/documents/?uuid=6a2e850c-74a7-41b6-bedf-6e977da868e8"]}],"mendeley":{"formattedCitation":"(Grime, 1977; Prach and Pyšek, 1999a)","plainTextFormattedCitation":"(Grime, 1977; Prach and Pyšek, 1999a)","previouslyFormattedCitation":"(Grime, 1977; Prach and Pyšek, 1999a)"},"properties":{"noteIndex":0},"schema":"https://github.com/citation-style-language/schema/raw/master/csl-citation.json"}</w:instrText>
      </w:r>
      <w:r w:rsidRPr="00FB493F">
        <w:rPr>
          <w:rFonts w:ascii="Cambria" w:eastAsia="Calibri" w:hAnsi="Cambria" w:cs="Times New Roman"/>
          <w:spacing w:val="-1"/>
        </w:rPr>
        <w:fldChar w:fldCharType="separate"/>
      </w:r>
      <w:r w:rsidRPr="00FB493F">
        <w:rPr>
          <w:rFonts w:ascii="Cambria" w:eastAsia="Calibri" w:hAnsi="Cambria" w:cs="Times New Roman"/>
          <w:noProof/>
          <w:spacing w:val="-1"/>
        </w:rPr>
        <w:t>(Grime, 1977; Prach and Pyšek, 1999a)</w:t>
      </w:r>
      <w:r w:rsidRPr="00FB493F">
        <w:rPr>
          <w:rFonts w:ascii="Cambria" w:eastAsia="Calibri" w:hAnsi="Cambria" w:cs="Times New Roman"/>
          <w:spacing w:val="-1"/>
        </w:rPr>
        <w:fldChar w:fldCharType="end"/>
      </w:r>
      <w:r w:rsidRPr="00FB493F">
        <w:rPr>
          <w:rFonts w:ascii="Cambria" w:eastAsia="Calibri" w:hAnsi="Cambria" w:cs="Times New Roman"/>
          <w:spacing w:val="-1"/>
        </w:rPr>
        <w:t xml:space="preserve">. Prior to humans, soil disturbing events </w:t>
      </w:r>
      <w:r>
        <w:rPr>
          <w:rFonts w:ascii="Cambria" w:eastAsia="Calibri" w:hAnsi="Cambria" w:cs="Times New Roman"/>
          <w:spacing w:val="-1"/>
        </w:rPr>
        <w:t>may have</w:t>
      </w:r>
      <w:r w:rsidRPr="00FB493F">
        <w:rPr>
          <w:rFonts w:ascii="Cambria" w:eastAsia="Calibri" w:hAnsi="Cambria" w:cs="Times New Roman"/>
          <w:spacing w:val="-1"/>
        </w:rPr>
        <w:t xml:space="preserve"> b</w:t>
      </w:r>
      <w:r w:rsidRPr="00FB493F">
        <w:rPr>
          <w:rFonts w:ascii="Cambria" w:eastAsia="Calibri" w:hAnsi="Cambria" w:cs="Times New Roman"/>
        </w:rPr>
        <w:t>een semi-</w:t>
      </w:r>
      <w:r w:rsidRPr="00FB493F">
        <w:rPr>
          <w:rFonts w:ascii="Cambria" w:eastAsia="Calibri" w:hAnsi="Cambria" w:cs="Times New Roman"/>
          <w:spacing w:val="-1"/>
        </w:rPr>
        <w:t>infrequent</w:t>
      </w:r>
      <w:r w:rsidRPr="00FB493F">
        <w:rPr>
          <w:rFonts w:ascii="Cambria" w:eastAsia="Calibri" w:hAnsi="Cambria" w:cs="Times New Roman"/>
        </w:rPr>
        <w:t xml:space="preserve"> and seasonal, like those resulting from the</w:t>
      </w:r>
      <w:r w:rsidRPr="00FB493F">
        <w:rPr>
          <w:rFonts w:ascii="Cambria" w:eastAsia="Calibri" w:hAnsi="Cambria" w:cs="Times New Roman"/>
          <w:spacing w:val="-1"/>
        </w:rPr>
        <w:t xml:space="preserve"> wallowing </w:t>
      </w:r>
      <w:r w:rsidRPr="00FB493F">
        <w:rPr>
          <w:rFonts w:ascii="Cambria" w:eastAsia="Calibri" w:hAnsi="Cambria" w:cs="Times New Roman"/>
        </w:rPr>
        <w:t>of</w:t>
      </w:r>
      <w:r w:rsidRPr="00FB493F">
        <w:rPr>
          <w:rFonts w:ascii="Cambria" w:eastAsia="Calibri" w:hAnsi="Cambria" w:cs="Times New Roman"/>
          <w:spacing w:val="-1"/>
        </w:rPr>
        <w:t xml:space="preserve"> megafauna as they migrated</w:t>
      </w:r>
      <w:r>
        <w:rPr>
          <w:rFonts w:ascii="Cambria" w:eastAsia="Calibri" w:hAnsi="Cambria" w:cs="Times New Roman"/>
          <w:spacing w:val="-1"/>
        </w:rPr>
        <w:t>, or from uprooted trees during high wind hurricanes</w:t>
      </w:r>
      <w:r w:rsidRPr="00FB493F">
        <w:rPr>
          <w:rFonts w:ascii="Cambria" w:eastAsia="Calibri" w:hAnsi="Cambria" w:cs="Times New Roman"/>
          <w:spacing w:val="-1"/>
        </w:rPr>
        <w:t xml:space="preserve"> </w:t>
      </w:r>
      <w:r w:rsidRPr="00FB493F">
        <w:rPr>
          <w:rFonts w:ascii="Cambria" w:eastAsia="Calibri" w:hAnsi="Cambria" w:cs="Times New Roman"/>
          <w:spacing w:val="-1"/>
        </w:rPr>
        <w:fldChar w:fldCharType="begin" w:fldLock="1"/>
      </w:r>
      <w:r>
        <w:rPr>
          <w:rFonts w:ascii="Cambria" w:eastAsia="Calibri" w:hAnsi="Cambria" w:cs="Times New Roman"/>
          <w:spacing w:val="-1"/>
        </w:rPr>
        <w:instrText>ADDIN CSL_CITATION {"citationItems":[{"id":"ITEM-1","itemData":{"DOI":"10.1098/rspb.2008.1921","ISSN":"14712970","abstract":"Large herbivorous vertebrates have strong interactions with vegetation, affecting the structure, composition and dynamics of plant communities in many ways. Living large herbivores are a small remnant of the assemblages of giants that existed in most terrestrial ecosystems 50,000 years ago. The extinction of so many large herbivores may well have triggered large changes in plant communities. In several parts of the world, palaeoecological studies suggest that extinct megafauna once maintained vegetation openness, and in wooded landscapes created mosaics of different structural types of vegetation with high habitat and species diversity. Following megafaunal extinction, these habitats reverted to more dense and uniform formations. Megafaunal extinction also led to changes in fire regimes and increased fire frequency due to accumulation of uncropped plant material, but there is a great deal of variation in post-extinction changes in fire. Plant communities that once interacted with extinct large herbivores still contain many species with obsolete defences against browsing and non-functional adaptations for seed dispersal. Such plants may be in decline, and, as a result, many plant communities may be in various stages of a process of relaxation from megafauna-conditioned to megafauna-naive states. Understanding the past role of giant herbivores provides fundamental insight into the history, dynamics and conservation of contemporary plant communities.","author":[{"dropping-particle":"","family":"Johnson","given":"C N","non-dropping-particle":"","parse-names":false,"suffix":""}],"container-title":"Proceedings of the Royal Society B: Biological Sciences","id":"ITEM-1","issue":"1667","issued":{"date-parts":[["2009"]]},"page":"2509-2519","title":"Ecological consequences of late quaternary extinctions of megafauna","type":"article","volume":"276"},"uris":["http://www.mendeley.com/documents/?uuid=5dd5bd88-272b-4597-98f7-9b17a14aca42"]},{"id":"ITEM-2","itemData":{"DOI":"10.1111/brv.12374","author":[{"dropping-particle":"","family":"Galetti","given":"Mauro","non-dropping-particle":"","parse-names":false,"suffix":""},{"dropping-particle":"","family":"Moleón","given":"Marcos","non-dropping-particle":"","parse-names":false,"suffix":""},{"dropping-particle":"","family":"Jordano","given":"Pedro","non-dropping-particle":"","parse-names":false,"suffix":""},{"dropping-particle":"","family":"Pires","given":"Mathias M","non-dropping-particle":"","parse-names":false,"suffix":""},{"dropping-particle":"","family":"Guimarães","given":"Paulo R","non-dropping-particle":"","parse-names":false,"suffix":""},{"dropping-particle":"","family":"Pape","given":"Thomas","non-dropping-particle":"","parse-names":false,"suffix":""},{"dropping-particle":"","family":"Nichols","given":"Elizabeth","non-dropping-particle":"","parse-names":false,"suffix":""},{"dropping-particle":"","family":"Hansen","given":"Dennis","non-dropping-particle":"","parse-names":false,"suffix":""},{"dropping-particle":"","family":"Olesen","given":"Jens M","non-dropping-particle":"","parse-names":false,"suffix":""},{"dropping-particle":"","family":"Munk","given":"Michael","non-dropping-particle":"","parse-names":false,"suffix":""},{"dropping-particle":"","family":"Mattos","given":"Jacqueline S","non-dropping-particle":"de","parse-names":false,"suffix":""},{"dropping-particle":"","family":"Schweiger","given":"Andreas H","non-dropping-particle":"","parse-names":false,"suffix":""},{"dropping-particle":"","family":"Owen-Smith","given":"Norman","non-dropping-particle":"","parse-names":false,"suffix":""},{"dropping-particle":"","family":"Johnson","given":"Christopher N","non-dropping-particle":"","parse-names":false,"suffix":""},{"dropping-particle":"","family":"Marquis","given":"Robert J","non-dropping-particle":"","parse-names":false,"suffix":""},{"dropping-particle":"","family":"Svenning","given":"Jens-Christian","non-dropping-particle":"","parse-names":false,"suffix":""}],"container-title":"Biological Reviews","id":"ITEM-2","issue":"2","issued":{"date-parts":[["2017","10"]]},"page":"845-862","publisher":"Wiley","title":"Ecological and evolutionary legacy of megafauna extinctions","type":"article-journal","volume":"93"},"uris":["http://www.mendeley.com/documents/?uuid=13d5c8a3-34e2-4783-9fd8-37ee3351419d"]},{"id":"ITEM-3","itemData":{"DOI":"10.1111/ele.12203","ISSN":"14610248","PMID":"24382356","abstract":"The giant tortoises of the Galápagos have become greatly depleted since European discovery of the islands in the 16th Century, with populations declining from an estimated 250 000 to between 8000 and 14 000 in the 1970s. Successful tortoise conservation efforts have focused on species recovery, but ecosystem conservation and restoration requires a better understanding of the wider ecological consequences of this drastic reduction in the archipelago's only large native herbivore. We report the first evidence from palaeoecological records of coprophilous fungal spores of the formerly more extensive geographical range of giant tortoises in the highlands of Santa Cruz Island. Upland tortoise populations on Santa Cruz declined 500-700 years ago, likely the result of human impact or possible climatic change. Former freshwater wetlands, a now limited habitat-type, were found to have converted to Sphagnum bogs concomitant with tortoise loss, subsequently leading to the decline of several now-rare or extinct plant species. © 2013 John Wiley &amp; Sons Ltd/CNRS.","author":[{"dropping-particle":"","family":"Froyd","given":"Cynthia A.","non-dropping-particle":"","parse-names":false,"suffix":""},{"dropping-particle":"","family":"Coffey","given":"Emily E.D.","non-dropping-particle":"","parse-names":false,"suffix":""},{"dropping-particle":"","family":"Knaap","given":"Willem O.","non-dropping-particle":"van der","parse-names":false,"suffix":""},{"dropping-particle":"","family":"Leeuwen","given":"Jacqueline F.N.","non-dropping-particle":"van","parse-names":false,"suffix":""},{"dropping-particle":"","family":"Tye","given":"Alan","non-dropping-particle":"","parse-names":false,"suffix":""},{"dropping-particle":"","family":"Willis","given":"Katherine J.","non-dropping-particle":"","parse-names":false,"suffix":""}],"container-title":"Ecology Letters","id":"ITEM-3","issue":"2","issued":{"date-parts":[["2014"]]},"page":"144-154","title":"The ecological consequences of megafaunal loss: Giant tortoises and wetland biodiversity","type":"article-journal","volume":"17"},"uris":["http://www.mendeley.com/documents/?uuid=28013501-707f-4e57-9b53-87d39f39c990"]}],"mendeley":{"formattedCitation":"(Froyd et al., 2014; Galetti et al., 2017; Johnson, 2009)","plainTextFormattedCitation":"(Froyd et al., 2014; Galetti et al., 2017; Johnson, 2009)","previouslyFormattedCitation":"(Froyd et al., 2014; Galetti et al., 2017; Johnson, 2009)"},"properties":{"noteIndex":0},"schema":"https://github.com/citation-style-language/schema/raw/master/csl-citation.json"}</w:instrText>
      </w:r>
      <w:r w:rsidRPr="00FB493F">
        <w:rPr>
          <w:rFonts w:ascii="Cambria" w:eastAsia="Calibri" w:hAnsi="Cambria" w:cs="Times New Roman"/>
          <w:spacing w:val="-1"/>
        </w:rPr>
        <w:fldChar w:fldCharType="separate"/>
      </w:r>
      <w:r w:rsidRPr="003B150E">
        <w:rPr>
          <w:rFonts w:ascii="Cambria" w:eastAsia="Calibri" w:hAnsi="Cambria" w:cs="Times New Roman"/>
          <w:noProof/>
          <w:spacing w:val="-1"/>
        </w:rPr>
        <w:t>(Froyd et al., 2014; Galetti et al., 2017; Johnson, 2009)</w:t>
      </w:r>
      <w:r w:rsidRPr="00FB493F">
        <w:rPr>
          <w:rFonts w:ascii="Cambria" w:eastAsia="Calibri" w:hAnsi="Cambria" w:cs="Times New Roman"/>
          <w:spacing w:val="-1"/>
        </w:rPr>
        <w:fldChar w:fldCharType="end"/>
      </w:r>
      <w:r w:rsidRPr="00FB493F">
        <w:rPr>
          <w:rFonts w:ascii="Cambria" w:eastAsia="Calibri" w:hAnsi="Cambria" w:cs="Times New Roman"/>
          <w:spacing w:val="-1"/>
        </w:rPr>
        <w:t xml:space="preserve">. Today however, anthropogenic soil disturbance </w:t>
      </w:r>
      <w:r>
        <w:rPr>
          <w:rFonts w:ascii="Cambria" w:eastAsia="Calibri" w:hAnsi="Cambria" w:cs="Times New Roman"/>
          <w:spacing w:val="-1"/>
        </w:rPr>
        <w:t>from</w:t>
      </w:r>
      <w:r w:rsidRPr="00FB493F">
        <w:rPr>
          <w:rFonts w:ascii="Cambria" w:eastAsia="Calibri" w:hAnsi="Cambria" w:cs="Times New Roman"/>
          <w:spacing w:val="-1"/>
        </w:rPr>
        <w:t xml:space="preserve"> agricultur</w:t>
      </w:r>
      <w:r>
        <w:rPr>
          <w:rFonts w:ascii="Cambria" w:eastAsia="Calibri" w:hAnsi="Cambria" w:cs="Times New Roman"/>
          <w:spacing w:val="-1"/>
        </w:rPr>
        <w:t>e</w:t>
      </w:r>
      <w:r w:rsidRPr="00FB493F">
        <w:rPr>
          <w:rFonts w:ascii="Cambria" w:eastAsia="Calibri" w:hAnsi="Cambria" w:cs="Times New Roman"/>
          <w:spacing w:val="-1"/>
        </w:rPr>
        <w:t xml:space="preserve"> and silvicultur</w:t>
      </w:r>
      <w:r>
        <w:rPr>
          <w:rFonts w:ascii="Cambria" w:eastAsia="Calibri" w:hAnsi="Cambria" w:cs="Times New Roman"/>
          <w:spacing w:val="-1"/>
        </w:rPr>
        <w:t>e</w:t>
      </w:r>
      <w:r w:rsidRPr="00FB493F">
        <w:rPr>
          <w:rFonts w:ascii="Cambria" w:eastAsia="Calibri" w:hAnsi="Cambria" w:cs="Times New Roman"/>
          <w:spacing w:val="-1"/>
        </w:rPr>
        <w:t xml:space="preserve"> activities are ubiquitous, and </w:t>
      </w:r>
      <w:r>
        <w:rPr>
          <w:rFonts w:ascii="Cambria" w:eastAsia="Calibri" w:hAnsi="Cambria" w:cs="Times New Roman"/>
          <w:spacing w:val="-1"/>
        </w:rPr>
        <w:t xml:space="preserve">likely </w:t>
      </w:r>
      <w:r w:rsidRPr="00FB493F">
        <w:rPr>
          <w:rFonts w:ascii="Cambria" w:eastAsia="Calibri" w:hAnsi="Cambria" w:cs="Times New Roman"/>
          <w:spacing w:val="-1"/>
        </w:rPr>
        <w:t xml:space="preserve">occur at </w:t>
      </w:r>
      <w:r>
        <w:rPr>
          <w:rFonts w:ascii="Cambria" w:eastAsia="Calibri" w:hAnsi="Cambria" w:cs="Times New Roman"/>
          <w:spacing w:val="-1"/>
        </w:rPr>
        <w:t>higher</w:t>
      </w:r>
      <w:r w:rsidRPr="00FB493F">
        <w:rPr>
          <w:rFonts w:ascii="Cambria" w:eastAsia="Calibri" w:hAnsi="Cambria" w:cs="Times New Roman"/>
          <w:spacing w:val="-1"/>
        </w:rPr>
        <w:t xml:space="preserve"> intensities, frequencies, and scales </w:t>
      </w:r>
      <w:r>
        <w:rPr>
          <w:rFonts w:ascii="Cambria" w:eastAsia="Calibri" w:hAnsi="Cambria" w:cs="Times New Roman"/>
          <w:spacing w:val="-1"/>
        </w:rPr>
        <w:t>throughout</w:t>
      </w:r>
      <w:r w:rsidRPr="00FB493F">
        <w:rPr>
          <w:rFonts w:ascii="Cambria" w:eastAsia="Calibri" w:hAnsi="Cambria" w:cs="Times New Roman"/>
          <w:spacing w:val="-1"/>
        </w:rPr>
        <w:t xml:space="preserve"> all seasons. Soil disturbance events caused by humans have been shown to increase the abundance and range of many ruderal species </w:t>
      </w:r>
      <w:r w:rsidRPr="00FB493F">
        <w:rPr>
          <w:rFonts w:ascii="Cambria" w:eastAsia="Calibri" w:hAnsi="Cambria" w:cs="Times New Roman"/>
        </w:rPr>
        <w:fldChar w:fldCharType="begin" w:fldLock="1"/>
      </w:r>
      <w:r w:rsidRPr="00FB493F">
        <w:rPr>
          <w:rFonts w:ascii="Cambria" w:eastAsia="Calibri" w:hAnsi="Cambria" w:cs="Times New Roman"/>
        </w:rPr>
        <w:instrText>ADDIN CSL_CITATION {"citationItems":[{"id":"ITEM-1","itemData":{"DOI":"10.1111/j.1365-2486.2012.02713.x","ISSN":"13541013","abstract":"Whilst global environmental change in the 21st century will undoubtedly have direct impacts on built heritage, it will also have important indirect effects through its influence on microbial, plant and animal life on heritage sites. Environmental change will affect both the structure of biotic communities and the function of such communities. Both impacts will, in turn, influence the deterioration and conservation of heritage sites. Changes in precipitation will exert a major, but as yet poorly understood, control on heritage biotas, whilst changes in atmospheric composition may also be important. Climatic changes will cause range shifts for some taxa, further influencing community composition. Whilst there are many unknowns, making prediction difficult, some scenarios can be proposed based on ecological response to stress and disturbance. This approach indicates some 'hotspots' at risk of experiencing dramatic shifts in biotic communities and their impacts, which may switch from biodeteriogenic to bioprotective or vice versa. Such hotspots include vulnerable sandstone and limestone heritage structures in areas of the Mediterranean, Middle East, Caribbean and Southern Africa. © 2012 Blackwell Publishing Ltd.","author":[{"dropping-particle":"","family":"Viles","given":"Heather A.","non-dropping-particle":"","parse-names":false,"suffix":""},{"dropping-particle":"","family":"Cutler","given":"Nick A.","non-dropping-particle":"","parse-names":false,"suffix":""}],"container-title":"Global Change Biology","id":"ITEM-1","issue":"8","issued":{"date-parts":[["2012"]]},"page":"2406-2418","title":"Global environmental change and the biology of heritage structures","type":"article-journal","volume":"18"},"uris":["http://www.mendeley.com/documents/?uuid=8d09ac66-afc9-4a1f-87ca-fb32b04d898b"]}],"mendeley":{"formattedCitation":"(Viles and Cutler, 2012)","plainTextFormattedCitation":"(Viles and Cutler, 2012)","previouslyFormattedCitation":"(Viles and Cutler, 2012)"},"properties":{"noteIndex":0},"schema":"https://github.com/citation-style-language/schema/raw/master/csl-citation.json"}</w:instrText>
      </w:r>
      <w:r w:rsidRPr="00FB493F">
        <w:rPr>
          <w:rFonts w:ascii="Cambria" w:eastAsia="Calibri" w:hAnsi="Cambria" w:cs="Times New Roman"/>
        </w:rPr>
        <w:fldChar w:fldCharType="separate"/>
      </w:r>
      <w:r w:rsidRPr="00FB493F">
        <w:rPr>
          <w:rFonts w:ascii="Cambria" w:eastAsia="Calibri" w:hAnsi="Cambria" w:cs="Times New Roman"/>
          <w:noProof/>
        </w:rPr>
        <w:t>(Viles and Cutler, 2012)</w:t>
      </w:r>
      <w:r w:rsidRPr="00FB493F">
        <w:rPr>
          <w:rFonts w:ascii="Cambria" w:eastAsia="Calibri" w:hAnsi="Cambria" w:cs="Times New Roman"/>
        </w:rPr>
        <w:fldChar w:fldCharType="end"/>
      </w:r>
      <w:r w:rsidRPr="00FB493F">
        <w:rPr>
          <w:rFonts w:ascii="Cambria" w:eastAsia="Calibri" w:hAnsi="Cambria" w:cs="Times New Roman"/>
        </w:rPr>
        <w:t>,</w:t>
      </w:r>
      <w:r w:rsidRPr="00FB493F">
        <w:rPr>
          <w:rFonts w:ascii="Cambria" w:eastAsia="Calibri" w:hAnsi="Cambria" w:cs="Times New Roman"/>
          <w:spacing w:val="-1"/>
        </w:rPr>
        <w:t xml:space="preserve"> making their ecological roles unclear </w:t>
      </w:r>
      <w:r w:rsidRPr="00FB493F">
        <w:rPr>
          <w:rFonts w:ascii="Cambria" w:eastAsia="Calibri" w:hAnsi="Cambria" w:cs="Times New Roman"/>
          <w:spacing w:val="-1"/>
        </w:rPr>
        <w:fldChar w:fldCharType="begin" w:fldLock="1"/>
      </w:r>
      <w:r w:rsidRPr="00FB493F">
        <w:rPr>
          <w:rFonts w:ascii="Cambria" w:eastAsia="Calibri" w:hAnsi="Cambria" w:cs="Times New Roman"/>
          <w:spacing w:val="-1"/>
        </w:rPr>
        <w:instrText>ADDIN CSL_CITATION {"citationItems":[{"id":"ITEM-1","itemData":{"DOI":"10.1002/9781118223246","ISBN":"9781118223246","ISSN":"0717-6163","PMID":"15003161","abstract":"Pdf is just a section of the book","author":[{"dropping-particle":"","family":"Grime","given":"J. Philip","non-dropping-particle":"","parse-names":false,"suffix":""},{"dropping-particle":"","family":"Pierce","given":"Simon","non-dropping-particle":"","parse-names":false,"suffix":""}],"container-title":"Wiley-Blackwell","id":"ITEM-1","issued":{"date-parts":[["2012"]]},"number-of-pages":"1-240","publisher":"Wiley-Blackwell","title":"The Evolutionary Strategies that Shape Ecosystems","type":"book"},"uris":["http://www.mendeley.com/documents/?uuid=ba2ee5c8-d2fe-46e0-ab53-50d00a8e025d"]}],"mendeley":{"formattedCitation":"(Grime and Pierce, 2012)","plainTextFormattedCitation":"(Grime and Pierce, 2012)","previouslyFormattedCitation":"(Grime and Pierce, 2012)"},"properties":{"noteIndex":0},"schema":"https://github.com/citation-style-language/schema/raw/master/csl-citation.json"}</w:instrText>
      </w:r>
      <w:r w:rsidRPr="00FB493F">
        <w:rPr>
          <w:rFonts w:ascii="Cambria" w:eastAsia="Calibri" w:hAnsi="Cambria" w:cs="Times New Roman"/>
          <w:spacing w:val="-1"/>
        </w:rPr>
        <w:fldChar w:fldCharType="separate"/>
      </w:r>
      <w:r w:rsidRPr="00FB493F">
        <w:rPr>
          <w:rFonts w:ascii="Cambria" w:eastAsia="Calibri" w:hAnsi="Cambria" w:cs="Times New Roman"/>
          <w:noProof/>
          <w:spacing w:val="-1"/>
        </w:rPr>
        <w:t>(Grime and Pierce, 2012)</w:t>
      </w:r>
      <w:r w:rsidRPr="00FB493F">
        <w:rPr>
          <w:rFonts w:ascii="Cambria" w:eastAsia="Calibri" w:hAnsi="Cambria" w:cs="Times New Roman"/>
          <w:spacing w:val="-1"/>
        </w:rPr>
        <w:fldChar w:fldCharType="end"/>
      </w:r>
      <w:r w:rsidRPr="00FB493F">
        <w:rPr>
          <w:rFonts w:ascii="Cambria" w:eastAsia="Calibri" w:hAnsi="Cambria" w:cs="Times New Roman"/>
          <w:spacing w:val="-1"/>
        </w:rPr>
        <w:t>.</w:t>
      </w:r>
    </w:p>
    <w:p w14:paraId="59DD4BF8" w14:textId="77777777" w:rsidR="0051638B" w:rsidRPr="00FB493F" w:rsidRDefault="0051638B" w:rsidP="0051638B">
      <w:pPr>
        <w:widowControl w:val="0"/>
        <w:spacing w:before="100" w:after="100" w:line="240" w:lineRule="auto"/>
        <w:ind w:right="60" w:firstLine="360"/>
        <w:rPr>
          <w:rFonts w:ascii="Cambria" w:eastAsia="Calibri" w:hAnsi="Cambria" w:cs="Times New Roman"/>
          <w:spacing w:val="-1"/>
        </w:rPr>
      </w:pPr>
      <w:r w:rsidRPr="00FB493F">
        <w:rPr>
          <w:rFonts w:ascii="Cambria" w:eastAsia="Calibri" w:hAnsi="Cambria" w:cs="Times New Roman"/>
          <w:spacing w:val="-1"/>
        </w:rPr>
        <w:t xml:space="preserve">The dominant influx of ruderal species across disturbed areas can alter </w:t>
      </w:r>
      <w:r>
        <w:rPr>
          <w:rFonts w:ascii="Cambria" w:eastAsia="Calibri" w:hAnsi="Cambria" w:cs="Times New Roman"/>
          <w:spacing w:val="-1"/>
        </w:rPr>
        <w:t xml:space="preserve">plant community assembly </w:t>
      </w:r>
      <w:r w:rsidRPr="00FB493F">
        <w:rPr>
          <w:rFonts w:ascii="Cambria" w:eastAsia="Calibri" w:hAnsi="Cambria" w:cs="Times New Roman"/>
          <w:spacing w:val="-1"/>
        </w:rPr>
        <w:fldChar w:fldCharType="begin" w:fldLock="1"/>
      </w:r>
      <w:r>
        <w:rPr>
          <w:rFonts w:ascii="Cambria" w:eastAsia="Calibri" w:hAnsi="Cambria" w:cs="Times New Roman"/>
          <w:spacing w:val="-1"/>
        </w:rPr>
        <w:instrText>ADDIN CSL_CITATION {"citationItems":[{"id":"ITEM-1","itemData":{"DOI":"10.2307/3237067","ISSN":"1100-9233","abstract":"Data on succession were collected from 15 seres starting on bare ground in man-made habitats (i.e. sites disturbed by various mining activities, bulldozed sites, ruderal urban sites, the exposed bottom of a destroyed water reservoir, and abandoned fields), all in the western part of the Czech Republic, Central Europe. The period for which the data on succession were available ranged from 12 to 60 yr. 56 species reaching dominance in some period of succession were selected (the criterion being: at least 25% cover in at least one year in any sere); they were compared for biological and ecological traits with other species participating in the seres (167 species with at least 25% cover in at least one year in any sere), and with the Central European flora as a whole. Significant differences between the species dominating in succession and others were found for the following traits: life form, life strategy, pollination mode, and ability of lateral spread. Dominant species differed from the regional flora in distribution of life strategies, pollination mode and immigration status. The results suggest that an 'ideal successional dominant' is a tall, wind-pollinated plant, often a geophyte capable of intensive lateral spread, requiring high nutrient supply and sufficient site moisture. The set of traits contributing to achieving dominance by a species in human-made habitats includes both features occurring independently of phylogenies (life strategy, pollination mode, plant height, moisture demands) and those which dominant species probably share due to their common ancestors (nutrient demands, capability of extensive lateral spread).","author":[{"dropping-particle":"","family":"Prach","given":"Karel","non-dropping-particle":"","parse-names":false,"suffix":""},{"dropping-particle":"","family":"Pyšek","given":"Petr","non-dropping-particle":"","parse-names":false,"suffix":""}],"container-title":"Journal of Vegetation Science","id":"ITEM-1","issue":"3","issued":{"date-parts":[["1999"]]},"page":"383-392","title":"How do species dominating in succession differ from others?","type":"article-journal","volume":"10"},"uris":["http://www.mendeley.com/documents/?uuid=b33bb093-aa40-4c54-b983-d316cf77f0ee"]},{"id":"ITEM-2","itemData":{"DOI":"10.2179/16-099","ISSN":"0008-7475","abstract":"In response to widespread losses of savanna ecosystems worldwide, many restoration efforts are underway. For savannas degraded by fire suppression and hardwood invasion, a first step towards restoration typically involves removal of unwanted trees and shrubs, but after invasive nonnative woody plants are top-killed, savanna restoration is often impeded by their resprouts. To evaluate patterns of vegetative recovery following clear-cuts and to explore their implications for ecosystem restoration, we determined the origins of the vegetation that develops after a clear-cut in hardwood-invaded sites being restored to pine savanna in Florida. We excavated stumps and other sprout sources, characterized the soil seed bank, and estimated seed production by early-to-mature species during the first growing season after treatment. In twenty 100-m(2) plots, there was approximately one source of woody plant sprouts per square meter. Root sprouts were more abundant than sprouted stumps, and most of the stumps that did sprout were small (&lt;10 cm diameter). Plants that emerged from seeds were only abundant in a previously disturbed area where Vitis rotundifolia Michx. seedlings were common. The soil seed bank was dominated by herbaceous ruderal species. During the first year after the hardwood clear-cut, seed production was dominated by the ruderal Phytolacca americana L. and the short-lived shrub Callicarpa americana L. Hardwood removal is a reasonable first step towards savanna restoration, but managers should be aware that the removal of invasive nonnative woody species will not shift the restoration sites toward savanna if needle-shedding pines and ground layer species that carry fire are not abundant.","author":[{"dropping-particle":"","family":"Diaz-Toribio","given":"Milton H.","non-dropping-particle":"","parse-names":false,"suffix":""},{"dropping-particle":"","family":"Putz","given":"Francis E.","non-dropping-particle":"","parse-names":false,"suffix":""}],"container-title":"Castanea","id":"ITEM-2","issue":"2","issued":{"date-parts":[["2017"]]},"page":"58-68","title":"Clear-cuts are not clean slates: residual vegetation impediments to savanna restoration","type":"article-journal","volume":"82"},"uris":["http://www.mendeley.com/documents/?uuid=560c8964-4c60-483c-b813-4a2380512544"]},{"id":"ITEM-3","itemData":{"author":[{"dropping-particle":"","family":"Mizell","given":"Greg","non-dropping-particle":"","parse-names":false,"suffix":""},{"dropping-particle":"","family":"Seamon","given":"Elizabeth","non-dropping-particle":"","parse-names":false,"suffix":""}],"container-title":"Proceedings of the Fourth Eastern Native Grass Symposium","id":"ITEM-3","issue":"1","issued":{"date-parts":[["2004"]]},"page":"121-126","title":"Sandhill restoration: structure and process","type":"article-journal","volume":"4"},"uris":["http://www.mendeley.com/documents/?uuid=e7c349a6-41ce-4787-8fae-384477b69c07"]},{"id":"ITEM-4","itemData":{"author":[{"dropping-particle":"","family":"Crawley","given":"Michael J","non-dropping-particle":"","parse-names":false,"suffix":""}],"container-title":"Ecological Society of America","id":"ITEM-4","issue":"12","issued":{"date-parts":[["2010"]]},"page":"3277-3288","title":"Timing of disturbance and coexistence in a species-rich ruderal plant community","type":"article-journal","volume":"85"},"uris":["http://www.mendeley.com/documents/?uuid=3f2763a1-bcdb-4a83-b34a-4b269c8a8fe6"]},{"id":"ITEM-5","itemData":{"DOI":"10.1111/j.1600-0706.2012.20546.x","ISSN":"00301299","abstract":"Assembly history, including the order in which species arrive into a community, can influence long-term community structure; however we know less about how timing of species arrival may alter assembly especially under varying resource conditions. To explore how the timing of species arrival interacts with resource availability to alter community assembly, we constructed experimental plant communities and manipulated the interval between plantings of groups of seedlings (0, 5, 10, 15 or 20 days) at low and high levels of soil nutrient supply. To see if community changes influenced ecosystem-scale processes, we measured parameters across the plant-soil continuum (e.g. plant biomass and net ecosystem carbon dioxide exchange). We found that the timing of species arrival had a large impact on community assembly, but the size of the effect depended on soil fertility. As planting interval increased, plant communities diverged further from the control, but the divergence was stronger at high than at low nutrient supply. Our data suggest that at high nutrient supply, early-planted species preempted light resources more quickly, thus preventing the successful establishment of later arriving species even at short planting intervals. Finally, we found that assembly related divergence in plant communities scaled to impact ecosystem-level characteristics such as green leaf chemistry, but had little effect on total community biomass and net ecosystem exchange of CO2 and water vapor. Our data indicate that the effect of a stochastic factor, here the timing of species arrival on community composition, depends on the resource level under which the community assembles. © 2012 The Authors. Oikos © 2012 Nordic Society Oikos.","author":[{"dropping-particle":"","family":"Kardol","given":"Paul","non-dropping-particle":"","parse-names":false,"suffix":""},{"dropping-particle":"","family":"Souza","given":"Lara","non-dropping-particle":"","parse-names":false,"suffix":""},{"dropping-particle":"","family":"Classen","given":"Aimée T.","non-dropping-particle":"","parse-names":false,"suffix":""}],"container-title":"Oikos","id":"ITEM-5","issue":"1","issued":{"date-parts":[["2013"]]},"page":"84-94","title":"Resource availability mediates the importance of priority effects in plant community assembly and ecosystem function","type":"article-journal","volume":"122"},"uris":["http://www.mendeley.com/documents/?uuid=d324aef4-3936-480b-898f-fbf150cf3070"]}],"mendeley":{"formattedCitation":"(Crawley, 2010; Diaz-Toribio and Putz, 2017; Kardol et al., 2013; Mizell and Seamon, 2004; Prach and Pyšek, 1999b)","plainTextFormattedCitation":"(Crawley, 2010; Diaz-Toribio and Putz, 2017; Kardol et al., 2013; Mizell and Seamon, 2004; Prach and Pyšek, 1999b)","previouslyFormattedCitation":"(Crawley, 2010; Diaz-Toribio and Putz, 2017; Kardol et al., 2013; Mizell and Seamon, 2004; Prach and Pyšek, 1999b)"},"properties":{"noteIndex":0},"schema":"https://github.com/citation-style-language/schema/raw/master/csl-citation.json"}</w:instrText>
      </w:r>
      <w:r w:rsidRPr="00FB493F">
        <w:rPr>
          <w:rFonts w:ascii="Cambria" w:eastAsia="Calibri" w:hAnsi="Cambria" w:cs="Times New Roman"/>
          <w:spacing w:val="-1"/>
        </w:rPr>
        <w:fldChar w:fldCharType="separate"/>
      </w:r>
      <w:r w:rsidRPr="00FB493F">
        <w:rPr>
          <w:rFonts w:ascii="Cambria" w:eastAsia="Calibri" w:hAnsi="Cambria" w:cs="Times New Roman"/>
          <w:noProof/>
          <w:spacing w:val="-1"/>
        </w:rPr>
        <w:t>(Crawley, 2010; Diaz-Toribio and Putz, 2017; Kardol et al., 2013; Mizell and Seamon, 2004; Prach and Pyšek, 1999b)</w:t>
      </w:r>
      <w:r w:rsidRPr="00FB493F">
        <w:rPr>
          <w:rFonts w:ascii="Cambria" w:eastAsia="Calibri" w:hAnsi="Cambria" w:cs="Times New Roman"/>
          <w:spacing w:val="-1"/>
        </w:rPr>
        <w:fldChar w:fldCharType="end"/>
      </w:r>
      <w:r w:rsidRPr="00FB493F">
        <w:rPr>
          <w:rFonts w:ascii="Cambria" w:eastAsia="Calibri" w:hAnsi="Cambria" w:cs="Times New Roman"/>
        </w:rPr>
        <w:t>.</w:t>
      </w:r>
      <w:r w:rsidRPr="00FB493F">
        <w:rPr>
          <w:rFonts w:ascii="Cambria" w:eastAsia="Calibri" w:hAnsi="Cambria" w:cs="Times New Roman"/>
          <w:spacing w:val="-1"/>
        </w:rPr>
        <w:t xml:space="preserve"> In the </w:t>
      </w:r>
      <w:r>
        <w:rPr>
          <w:rFonts w:ascii="Cambria" w:eastAsia="Calibri" w:hAnsi="Cambria" w:cs="Times New Roman"/>
          <w:spacing w:val="-1"/>
        </w:rPr>
        <w:t>S</w:t>
      </w:r>
      <w:r w:rsidRPr="00FB493F">
        <w:rPr>
          <w:rFonts w:ascii="Cambria" w:eastAsia="Calibri" w:hAnsi="Cambria" w:cs="Times New Roman"/>
          <w:spacing w:val="-1"/>
        </w:rPr>
        <w:t>outheast U.S.A. for example</w:t>
      </w:r>
      <w:r>
        <w:rPr>
          <w:rFonts w:ascii="Cambria" w:eastAsia="Calibri" w:hAnsi="Cambria" w:cs="Times New Roman"/>
          <w:spacing w:val="-1"/>
        </w:rPr>
        <w:t>, the</w:t>
      </w:r>
      <w:r w:rsidRPr="00FB493F">
        <w:rPr>
          <w:rFonts w:ascii="Cambria" w:eastAsia="Calibri" w:hAnsi="Cambria" w:cs="Times New Roman"/>
          <w:spacing w:val="-1"/>
        </w:rPr>
        <w:t xml:space="preserve"> prolific ruderal species </w:t>
      </w:r>
      <w:r w:rsidRPr="00FB493F">
        <w:rPr>
          <w:rFonts w:ascii="Cambria" w:eastAsia="Calibri" w:hAnsi="Cambria" w:cs="Times New Roman"/>
          <w:i/>
          <w:spacing w:val="-1"/>
        </w:rPr>
        <w:t xml:space="preserve">Eupatorium compositifolium </w:t>
      </w:r>
      <w:r w:rsidRPr="00FB493F">
        <w:rPr>
          <w:rFonts w:ascii="Cambria" w:eastAsia="Calibri" w:hAnsi="Cambria" w:cs="Times New Roman"/>
          <w:spacing w:val="-1"/>
        </w:rPr>
        <w:t xml:space="preserve">(dogfennel) </w:t>
      </w:r>
      <w:r w:rsidRPr="00FB493F">
        <w:rPr>
          <w:rFonts w:ascii="Cambria" w:eastAsia="Calibri" w:hAnsi="Cambria" w:cs="Times New Roman"/>
          <w:spacing w:val="-1"/>
        </w:rPr>
        <w:fldChar w:fldCharType="begin" w:fldLock="1"/>
      </w:r>
      <w:r w:rsidRPr="00FB493F">
        <w:rPr>
          <w:rFonts w:ascii="Cambria" w:eastAsia="Calibri" w:hAnsi="Cambria" w:cs="Times New Roman"/>
          <w:spacing w:val="-1"/>
        </w:rPr>
        <w:instrText>ADDIN CSL_CITATION {"citationItems":[{"id":"ITEM-1","itemData":{"ISBN":"0813035430","author":[{"dropping-particle":"","family":"Wunderlin","given":"R. P.","non-dropping-particle":"","parse-names":false,"suffix":""},{"dropping-particle":"","family":"Hansen","given":"B. F.","non-dropping-particle":"","parse-names":false,"suffix":""}],"edition":"3","id":"ITEM-1","issued":{"date-parts":[["2011"]]},"number-of-pages":"783","publisher":"University Press of Florida","title":"Guide to the vascular plants of Florida","type":"book"},"uris":["http://www.mendeley.com/documents/?uuid=18de980e-fa8b-4164-b49b-01b7134254b0"]}],"mendeley":{"formattedCitation":"(Wunderlin and Hansen, 2011)","plainTextFormattedCitation":"(Wunderlin and Hansen, 2011)","previouslyFormattedCitation":"(Wunderlin and Hansen, 2011)"},"properties":{"noteIndex":0},"schema":"https://github.com/citation-style-language/schema/raw/master/csl-citation.json"}</w:instrText>
      </w:r>
      <w:r w:rsidRPr="00FB493F">
        <w:rPr>
          <w:rFonts w:ascii="Cambria" w:eastAsia="Calibri" w:hAnsi="Cambria" w:cs="Times New Roman"/>
          <w:spacing w:val="-1"/>
        </w:rPr>
        <w:fldChar w:fldCharType="separate"/>
      </w:r>
      <w:r w:rsidRPr="00FB493F">
        <w:rPr>
          <w:rFonts w:ascii="Cambria" w:eastAsia="Calibri" w:hAnsi="Cambria" w:cs="Times New Roman"/>
          <w:noProof/>
          <w:spacing w:val="-1"/>
        </w:rPr>
        <w:t>(Wunderlin and Hansen, 2011)</w:t>
      </w:r>
      <w:r w:rsidRPr="00FB493F">
        <w:rPr>
          <w:rFonts w:ascii="Cambria" w:eastAsia="Calibri" w:hAnsi="Cambria" w:cs="Times New Roman"/>
          <w:spacing w:val="-1"/>
        </w:rPr>
        <w:fldChar w:fldCharType="end"/>
      </w:r>
      <w:r w:rsidRPr="00FB493F">
        <w:rPr>
          <w:rFonts w:ascii="Cambria" w:eastAsia="Calibri" w:hAnsi="Cambria" w:cs="Times New Roman"/>
          <w:spacing w:val="-1"/>
        </w:rPr>
        <w:t xml:space="preserve"> is thought to negatively affect restoration of fire dependent pine savannas by inhibiting fire, increasing competition and limiting the seed dispersal spread of desirable species </w:t>
      </w:r>
      <w:r w:rsidRPr="00FB493F">
        <w:rPr>
          <w:rFonts w:ascii="Cambria" w:eastAsia="Calibri" w:hAnsi="Cambria" w:cs="Times New Roman"/>
          <w:spacing w:val="-1"/>
        </w:rPr>
        <w:fldChar w:fldCharType="begin" w:fldLock="1"/>
      </w:r>
      <w:r w:rsidRPr="00FB493F">
        <w:rPr>
          <w:rFonts w:ascii="Cambria" w:eastAsia="Calibri" w:hAnsi="Cambria" w:cs="Times New Roman"/>
          <w:spacing w:val="-1"/>
        </w:rPr>
        <w:instrText>ADDIN CSL_CITATION {"citationItems":[{"id":"ITEM-1","itemData":{"DOI":"10.2307/3237067","ISSN":"1100-9233","abstract":"Data on succession were collected from 15 seres starting on bare ground in man-made habitats (i.e. sites disturbed by various mining activities, bulldozed sites, ruderal urban sites, the exposed bottom of a destroyed water reservoir, and abandoned fields), all in the western part of the Czech Republic, Central Europe. The period for which the data on succession were available ranged from 12 to 60 yr. 56 species reaching dominance in some period of succession were selected (the criterion being: at least 25% cover in at least one year in any sere); they were compared for biological and ecological traits with other species participating in the seres (167 species with at least 25% cover in at least one year in any sere), and with the Central European flora as a whole. Significant differences between the species dominating in succession and others were found for the following traits: life form, life strategy, pollination mode, and ability of lateral spread. Dominant species differed from the regional flora in distribution of life strategies, pollination mode and immigration status. The results suggest that an 'ideal successional dominant' is a tall, wind-pollinated plant, often a geophyte capable of intensive lateral spread, requiring high nutrient supply and sufficient site moisture. The set of traits contributing to achieving dominance by a species in human-made habitats includes both features occurring independently of phylogenies (life strategy, pollination mode, plant height, moisture demands) and those which dominant species probably share due to their common ancestors (nutrient demands, capability of extensive lateral spread).","author":[{"dropping-particle":"","family":"Prach","given":"Karel","non-dropping-particle":"","parse-names":false,"suffix":""},{"dropping-particle":"","family":"Pyšek","given":"Petr","non-dropping-particle":"","parse-names":false,"suffix":""}],"container-title":"Journal of Vegetation Science","id":"ITEM-1","issue":"3","issued":{"date-parts":[["1999"]]},"page":"383-392","title":"How do species dominating in succession differ from others?","type":"article-journal","volume":"10"},"uris":["http://www.mendeley.com/documents/?uuid=b33bb093-aa40-4c54-b983-d316cf77f0ee"]},{"id":"ITEM-2","itemData":{"DOI":"10.2179/16-099","ISSN":"0008-7475","abstract":"In response to widespread losses of savanna ecosystems worldwide, many restoration efforts are underway. For savannas degraded by fire suppression and hardwood invasion, a first step towards restoration typically involves removal of unwanted trees and shrubs, but after invasive nonnative woody plants are top-killed, savanna restoration is often impeded by their resprouts. To evaluate patterns of vegetative recovery following clear-cuts and to explore their implications for ecosystem restoration, we determined the origins of the vegetation that develops after a clear-cut in hardwood-invaded sites being restored to pine savanna in Florida. We excavated stumps and other sprout sources, characterized the soil seed bank, and estimated seed production by early-to-mature species during the first growing season after treatment. In twenty 100-m(2) plots, there was approximately one source of woody plant sprouts per square meter. Root sprouts were more abundant than sprouted stumps, and most of the stumps that did sprout were small (&lt;10 cm diameter). Plants that emerged from seeds were only abundant in a previously disturbed area where Vitis rotundifolia Michx. seedlings were common. The soil seed bank was dominated by herbaceous ruderal species. During the first year after the hardwood clear-cut, seed production was dominated by the ruderal Phytolacca americana L. and the short-lived shrub Callicarpa americana L. Hardwood removal is a reasonable first step towards savanna restoration, but managers should be aware that the removal of invasive nonnative woody species will not shift the restoration sites toward savanna if needle-shedding pines and ground layer species that carry fire are not abundant.","author":[{"dropping-particle":"","family":"Diaz-Toribio","given":"Milton H.","non-dropping-particle":"","parse-names":false,"suffix":""},{"dropping-particle":"","family":"Putz","given":"Francis E.","non-dropping-particle":"","parse-names":false,"suffix":""}],"container-title":"Castanea","id":"ITEM-2","issue":"2","issued":{"date-parts":[["2017"]]},"page":"58-68","title":"Clear-cuts are not clean slates: residual vegetation impediments to savanna restoration","type":"article-journal","volume":"82"},"uris":["http://www.mendeley.com/documents/?uuid=560c8964-4c60-483c-b813-4a2380512544"]},{"id":"ITEM-3","itemData":{"author":[{"dropping-particle":"","family":"Mizell","given":"Greg","non-dropping-particle":"","parse-names":false,"suffix":""},{"dropping-particle":"","family":"Seamon","given":"Elizabeth","non-dropping-particle":"","parse-names":false,"suffix":""}],"container-title":"Proceedings of the Fourth Eastern Native Grass Symposium","id":"ITEM-3","issue":"1","issued":{"date-parts":[["2004"]]},"page":"121-126","title":"Sandhill restoration: structure and process","type":"article-journal","volume":"4"},"uris":["http://www.mendeley.com/documents/?uuid=e7c349a6-41ce-4787-8fae-384477b69c07"]},{"id":"ITEM-4","itemData":{"author":[{"dropping-particle":"","family":"Crawley","given":"Michael J","non-dropping-particle":"","parse-names":false,"suffix":""}],"container-title":"Ecological Society of America","id":"ITEM-4","issue":"12","issued":{"date-parts":[["2010"]]},"page":"3277-3288","title":"Timing of disturbance and coexistence in a species-rich ruderal plant community","type":"article-journal","volume":"85"},"uris":["http://www.mendeley.com/documents/?uuid=3f2763a1-bcdb-4a83-b34a-4b269c8a8fe6"]}],"mendeley":{"formattedCitation":"(Crawley, 2010; Diaz-Toribio and Putz, 2017; Mizell and Seamon, 2004; Prach and Pyšek, 1999b)","plainTextFormattedCitation":"(Crawley, 2010; Diaz-Toribio and Putz, 2017; Mizell and Seamon, 2004; Prach and Pyšek, 1999b)","previouslyFormattedCitation":"(Crawley, 2010; Diaz-Toribio and Putz, 2017; Mizell and Seamon, 2004; Prach and Pyšek, 1999b)"},"properties":{"noteIndex":0},"schema":"https://github.com/citation-style-language/schema/raw/master/csl-citation.json"}</w:instrText>
      </w:r>
      <w:r w:rsidRPr="00FB493F">
        <w:rPr>
          <w:rFonts w:ascii="Cambria" w:eastAsia="Calibri" w:hAnsi="Cambria" w:cs="Times New Roman"/>
          <w:spacing w:val="-1"/>
        </w:rPr>
        <w:fldChar w:fldCharType="separate"/>
      </w:r>
      <w:r w:rsidRPr="00FB493F">
        <w:rPr>
          <w:rFonts w:ascii="Cambria" w:eastAsia="Calibri" w:hAnsi="Cambria" w:cs="Times New Roman"/>
          <w:noProof/>
          <w:spacing w:val="-1"/>
        </w:rPr>
        <w:t>(Crawley, 2010; Diaz-Toribio and Putz, 2017; Mizell and Seamon, 2004; Prach and Pyšek, 1999b)</w:t>
      </w:r>
      <w:r w:rsidRPr="00FB493F">
        <w:rPr>
          <w:rFonts w:ascii="Cambria" w:eastAsia="Calibri" w:hAnsi="Cambria" w:cs="Times New Roman"/>
          <w:spacing w:val="-1"/>
        </w:rPr>
        <w:fldChar w:fldCharType="end"/>
      </w:r>
      <w:r w:rsidRPr="00FB493F">
        <w:rPr>
          <w:rFonts w:ascii="Cambria" w:eastAsia="Calibri" w:hAnsi="Cambria" w:cs="Times New Roman"/>
          <w:spacing w:val="-1"/>
        </w:rPr>
        <w:t xml:space="preserve">. In contrast, field observations in the region suggest that ruderal grasses like </w:t>
      </w:r>
      <w:r w:rsidRPr="00FB493F">
        <w:rPr>
          <w:rFonts w:ascii="Cambria" w:eastAsia="Calibri" w:hAnsi="Cambria" w:cs="Times New Roman"/>
          <w:i/>
          <w:iCs/>
          <w:spacing w:val="-1"/>
        </w:rPr>
        <w:t xml:space="preserve">Andropogon </w:t>
      </w:r>
      <w:proofErr w:type="spellStart"/>
      <w:r w:rsidRPr="00FB493F">
        <w:rPr>
          <w:rFonts w:ascii="Cambria" w:eastAsia="Calibri" w:hAnsi="Cambria" w:cs="Times New Roman"/>
          <w:i/>
          <w:iCs/>
          <w:spacing w:val="-1"/>
        </w:rPr>
        <w:t>virginicus</w:t>
      </w:r>
      <w:proofErr w:type="spellEnd"/>
      <w:r w:rsidRPr="00FB493F">
        <w:rPr>
          <w:rFonts w:ascii="Cambria" w:eastAsia="Calibri" w:hAnsi="Cambria" w:cs="Times New Roman"/>
          <w:spacing w:val="-1"/>
        </w:rPr>
        <w:t xml:space="preserve"> (</w:t>
      </w:r>
      <w:proofErr w:type="spellStart"/>
      <w:r w:rsidRPr="00FB493F">
        <w:rPr>
          <w:rFonts w:ascii="Cambria" w:eastAsia="Calibri" w:hAnsi="Cambria" w:cs="Times New Roman"/>
          <w:spacing w:val="-1"/>
        </w:rPr>
        <w:t>broomsedge</w:t>
      </w:r>
      <w:proofErr w:type="spellEnd"/>
      <w:r w:rsidRPr="00FB493F">
        <w:rPr>
          <w:rFonts w:ascii="Cambria" w:eastAsia="Calibri" w:hAnsi="Cambria" w:cs="Times New Roman"/>
          <w:spacing w:val="-1"/>
        </w:rPr>
        <w:t>) promotes the spread of fire, which</w:t>
      </w:r>
      <w:r>
        <w:rPr>
          <w:rFonts w:ascii="Cambria" w:eastAsia="Calibri" w:hAnsi="Cambria" w:cs="Times New Roman"/>
          <w:spacing w:val="-1"/>
        </w:rPr>
        <w:t>,</w:t>
      </w:r>
      <w:r w:rsidRPr="00FB493F">
        <w:rPr>
          <w:rFonts w:ascii="Cambria" w:eastAsia="Calibri" w:hAnsi="Cambria" w:cs="Times New Roman"/>
          <w:spacing w:val="-1"/>
        </w:rPr>
        <w:t xml:space="preserve"> in turn</w:t>
      </w:r>
      <w:r>
        <w:rPr>
          <w:rFonts w:ascii="Cambria" w:eastAsia="Calibri" w:hAnsi="Cambria" w:cs="Times New Roman"/>
          <w:spacing w:val="-1"/>
        </w:rPr>
        <w:t>,</w:t>
      </w:r>
      <w:r w:rsidRPr="00FB493F">
        <w:rPr>
          <w:rFonts w:ascii="Cambria" w:eastAsia="Calibri" w:hAnsi="Cambria" w:cs="Times New Roman"/>
          <w:spacing w:val="-1"/>
        </w:rPr>
        <w:t xml:space="preserve"> may encourage the proliferation of desirable fire dependent species. </w:t>
      </w:r>
      <w:r w:rsidRPr="00FB493F">
        <w:rPr>
          <w:rFonts w:ascii="Cambria" w:eastAsia="Calibri" w:hAnsi="Cambria" w:cs="Times New Roman"/>
        </w:rPr>
        <w:t xml:space="preserve">This positive or negative influence of different types of dominant ruderal species may ultimately alter the timelines of management goals when restoring </w:t>
      </w:r>
      <w:r>
        <w:rPr>
          <w:rFonts w:ascii="Cambria" w:eastAsia="Calibri" w:hAnsi="Cambria" w:cs="Times New Roman"/>
        </w:rPr>
        <w:t xml:space="preserve">disturbed </w:t>
      </w:r>
      <w:r w:rsidRPr="00FB493F">
        <w:rPr>
          <w:rFonts w:ascii="Cambria" w:eastAsia="Calibri" w:hAnsi="Cambria" w:cs="Times New Roman"/>
        </w:rPr>
        <w:t>sites.</w:t>
      </w:r>
    </w:p>
    <w:p w14:paraId="19B84170" w14:textId="77777777" w:rsidR="0051638B" w:rsidRPr="00FB493F" w:rsidRDefault="0051638B" w:rsidP="0051638B">
      <w:pPr>
        <w:widowControl w:val="0"/>
        <w:spacing w:before="100" w:after="100" w:line="240" w:lineRule="auto"/>
        <w:ind w:right="60" w:firstLine="360"/>
        <w:rPr>
          <w:rFonts w:ascii="Cambria" w:eastAsia="Calibri" w:hAnsi="Cambria" w:cs="Times New Roman"/>
          <w:spacing w:val="-1"/>
        </w:rPr>
      </w:pPr>
      <w:r>
        <w:rPr>
          <w:rFonts w:ascii="Cambria" w:eastAsia="Calibri" w:hAnsi="Cambria" w:cs="Times New Roman"/>
          <w:spacing w:val="-1"/>
        </w:rPr>
        <w:t>V</w:t>
      </w:r>
      <w:r w:rsidRPr="00FB493F">
        <w:rPr>
          <w:rFonts w:ascii="Cambria" w:eastAsia="Calibri" w:hAnsi="Cambria" w:cs="Times New Roman"/>
          <w:spacing w:val="-1"/>
        </w:rPr>
        <w:t xml:space="preserve">ariation in the dominance of different </w:t>
      </w:r>
      <w:r>
        <w:rPr>
          <w:rFonts w:ascii="Cambria" w:eastAsia="Calibri" w:hAnsi="Cambria" w:cs="Times New Roman"/>
          <w:spacing w:val="-1"/>
        </w:rPr>
        <w:t>classes</w:t>
      </w:r>
      <w:r w:rsidRPr="00FB493F">
        <w:rPr>
          <w:rFonts w:ascii="Cambria" w:eastAsia="Calibri" w:hAnsi="Cambria" w:cs="Times New Roman"/>
          <w:spacing w:val="-1"/>
        </w:rPr>
        <w:t xml:space="preserve"> of ruderal species exist</w:t>
      </w:r>
      <w:r>
        <w:rPr>
          <w:rFonts w:ascii="Cambria" w:eastAsia="Calibri" w:hAnsi="Cambria" w:cs="Times New Roman"/>
          <w:spacing w:val="-1"/>
        </w:rPr>
        <w:t>s</w:t>
      </w:r>
      <w:r w:rsidRPr="00FB493F">
        <w:rPr>
          <w:rFonts w:ascii="Cambria" w:eastAsia="Calibri" w:hAnsi="Cambria" w:cs="Times New Roman"/>
          <w:spacing w:val="-1"/>
        </w:rPr>
        <w:t xml:space="preserve"> across disturbed sites, </w:t>
      </w:r>
      <w:r>
        <w:rPr>
          <w:rFonts w:ascii="Cambria" w:eastAsia="Calibri" w:hAnsi="Cambria" w:cs="Times New Roman"/>
          <w:spacing w:val="-1"/>
        </w:rPr>
        <w:t>although</w:t>
      </w:r>
      <w:r w:rsidRPr="00FB493F">
        <w:rPr>
          <w:rFonts w:ascii="Cambria" w:eastAsia="Calibri" w:hAnsi="Cambria" w:cs="Times New Roman"/>
          <w:spacing w:val="-1"/>
        </w:rPr>
        <w:t xml:space="preserve"> it is not clear what contributes to these differences. </w:t>
      </w:r>
      <w:r w:rsidRPr="00FB493F">
        <w:rPr>
          <w:rFonts w:ascii="Cambria" w:eastAsia="Calibri" w:hAnsi="Cambria" w:cs="Times New Roman"/>
        </w:rPr>
        <w:t xml:space="preserve">The seasonal timing of soil disturbance events is known to alter the recruitment patterns of ruderal species across old-field environments, primarily because species germinate under different </w:t>
      </w:r>
      <w:r>
        <w:rPr>
          <w:rFonts w:ascii="Cambria" w:eastAsia="Calibri" w:hAnsi="Cambria" w:cs="Times New Roman"/>
        </w:rPr>
        <w:t>climactic conditions</w:t>
      </w:r>
      <w:r w:rsidRPr="00FB493F">
        <w:rPr>
          <w:rFonts w:ascii="Cambria" w:eastAsia="Calibri" w:hAnsi="Cambria" w:cs="Times New Roman"/>
        </w:rPr>
        <w:t xml:space="preserve"> </w:t>
      </w:r>
      <w:r w:rsidRPr="00FB493F">
        <w:rPr>
          <w:rFonts w:ascii="Cambria" w:eastAsia="Calibri" w:hAnsi="Cambria" w:cs="Times New Roman"/>
        </w:rPr>
        <w:fldChar w:fldCharType="begin" w:fldLock="1"/>
      </w:r>
      <w:r w:rsidRPr="00FB493F">
        <w:rPr>
          <w:rFonts w:ascii="Cambria" w:eastAsia="Calibri" w:hAnsi="Cambria" w:cs="Times New Roman"/>
        </w:rPr>
        <w:instrText>ADDIN CSL_CITATION {"citationItems":[{"id":"ITEM-1","itemData":{"DOI":"10.1111/j.1654-1103.2001.tb02620.x","ISSN":"11009233","abstract":"The number of annual weeds were recorded in 752 field experiments in spring-sown cereal crops conducted in Sweden 1972-1993. Two null hypotheses were tested regarding how the sowing date influenced the weed flora. 1. There is no relationship between the weed flora composition and sowing date. A pCCA (with geographic regions, crop species and soil types as covariables) clearly refuted this hypothesis. Hence, the composition of the weed flora varied depending on sowing date. 2. Species classified as summer annuals, winter annuals and germination generalists (that can germinate substantially in both spring and autumn) do not differ in their placement along the first ordination axis in the pCCA, i.e. according to sowing date. An ANOVA was unable to reject this hypothesis. Hence, germination syndrome classification did not explain the observed community differences related to sowing date. These results illustrate the importance of the date of disturbance for any secondary succession involving a seed bank and also the importance of annual dormancy cycles in seed banks.","author":[{"dropping-particle":"","family":"Milberg","given":"P.","non-dropping-particle":"","parse-names":false,"suffix":""},{"dropping-particle":"","family":"Hallgren","given":"E.","non-dropping-particle":"","parse-names":false,"suffix":""},{"dropping-particle":"","family":"Palmer","given":"M. W.","non-dropping-particle":"","parse-names":false,"suffix":""}],"container-title":"Journal of Vegetation Science","id":"ITEM-1","issue":"1","issued":{"date-parts":[["2001"]]},"page":"93-98","title":"Timing of disturbance and vegetation development: How sowing date affects the weed flora in spring-sown crops","type":"article-journal","volume":"12"},"uris":["http://www.mendeley.com/documents/?uuid=fba13424-3193-4d04-b53e-0fa9d2765d4b"]},{"id":"ITEM-2","itemData":{"DOI":"10.2307/2996625","author":[{"dropping-particle":"","family":"Squiers","given":"Edwin R","non-dropping-particle":"","parse-names":false,"suffix":""}],"container-title":"Bulletin of the Torrey Botanical Club","id":"ITEM-2","issue":"4","issued":{"date-parts":[["1989","10"]]},"page":"356","publisher":"JSTOR","title":"The Effects of Seasonal Timing of Disturbance on Species Composition in a First-Year Oldfield","type":"article-journal","volume":"116"},"uris":["http://www.mendeley.com/documents/?uuid=cc9a98fd-83cb-4f95-88ac-32b87f17cf1a"]},{"id":"ITEM-3","itemData":{"DOI":"10.2307/2996183","ISSN":"00409618","author":[{"dropping-particle":"","family":"Busing","given":"R. T.","non-dropping-particle":"","parse-names":false,"suffix":""},{"dropping-particle":"","family":"Clebsch","given":"E. E. C.","non-dropping-particle":"","parse-names":false,"suffix":""}],"container-title":"Bulletin of the Torrey Botanical Club","id":"ITEM-3","issue":"3","issued":{"date-parts":[["1986"]]},"page":"304","title":"Species Composition and Species Richness in First-Year Old Fields: Responses to Season of Soil Distrubance","type":"article-journal","volume":"110"},"uris":["http://www.mendeley.com/documents/?uuid=a1951ef1-3572-4deb-8c36-20bb96a2f3b4"]}],"mendeley":{"formattedCitation":"(Busing and Clebsch, 1986; Milberg et al., 2001; Squiers, 1989)","plainTextFormattedCitation":"(Busing and Clebsch, 1986; Milberg et al., 2001; Squiers, 1989)","previouslyFormattedCitation":"(Busing and Clebsch, 1986; Milberg et al., 2001; Squiers, 1989)"},"properties":{"noteIndex":0},"schema":"https://github.com/citation-style-language/schema/raw/master/csl-citation.json"}</w:instrText>
      </w:r>
      <w:r w:rsidRPr="00FB493F">
        <w:rPr>
          <w:rFonts w:ascii="Cambria" w:eastAsia="Calibri" w:hAnsi="Cambria" w:cs="Times New Roman"/>
        </w:rPr>
        <w:fldChar w:fldCharType="separate"/>
      </w:r>
      <w:r w:rsidRPr="00FB493F">
        <w:rPr>
          <w:rFonts w:ascii="Cambria" w:eastAsia="Calibri" w:hAnsi="Cambria" w:cs="Times New Roman"/>
          <w:noProof/>
        </w:rPr>
        <w:t>(Busing and Clebsch, 1986; Milberg et al., 2001; Squiers, 1989)</w:t>
      </w:r>
      <w:r w:rsidRPr="00FB493F">
        <w:rPr>
          <w:rFonts w:ascii="Cambria" w:eastAsia="Calibri" w:hAnsi="Cambria" w:cs="Times New Roman"/>
        </w:rPr>
        <w:fldChar w:fldCharType="end"/>
      </w:r>
      <w:r w:rsidRPr="00FB493F">
        <w:rPr>
          <w:rFonts w:ascii="Cambria" w:eastAsia="Calibri" w:hAnsi="Cambria" w:cs="Times New Roman"/>
        </w:rPr>
        <w:t>. Large‐seeded species</w:t>
      </w:r>
      <w:r>
        <w:rPr>
          <w:rFonts w:ascii="Cambria" w:eastAsia="Calibri" w:hAnsi="Cambria" w:cs="Times New Roman"/>
        </w:rPr>
        <w:t>,</w:t>
      </w:r>
      <w:r w:rsidRPr="00FB493F">
        <w:rPr>
          <w:rFonts w:ascii="Cambria" w:eastAsia="Calibri" w:hAnsi="Cambria" w:cs="Times New Roman"/>
        </w:rPr>
        <w:t xml:space="preserve"> for example</w:t>
      </w:r>
      <w:r>
        <w:rPr>
          <w:rFonts w:ascii="Cambria" w:eastAsia="Calibri" w:hAnsi="Cambria" w:cs="Times New Roman"/>
        </w:rPr>
        <w:t>,</w:t>
      </w:r>
      <w:r w:rsidRPr="00FB493F">
        <w:rPr>
          <w:rFonts w:ascii="Cambria" w:eastAsia="Calibri" w:hAnsi="Cambria" w:cs="Times New Roman"/>
        </w:rPr>
        <w:t xml:space="preserve"> have been shown to be more adversely affected by tilling disturbances during favorable germination conditions than smaller seeded species </w:t>
      </w:r>
      <w:r w:rsidRPr="00FB493F">
        <w:rPr>
          <w:rFonts w:ascii="Cambria" w:eastAsia="Calibri" w:hAnsi="Cambria" w:cs="Times New Roman"/>
        </w:rPr>
        <w:fldChar w:fldCharType="begin" w:fldLock="1"/>
      </w:r>
      <w:r w:rsidRPr="00FB493F">
        <w:rPr>
          <w:rFonts w:ascii="Cambria" w:eastAsia="Calibri" w:hAnsi="Cambria" w:cs="Times New Roman"/>
        </w:rPr>
        <w:instrText>ADDIN CSL_CITATION {"citationItems":[{"id":"ITEM-1","itemData":{"author":[{"dropping-particle":"","family":"Crawley","given":"Michael J","non-dropping-particle":"","parse-names":false,"suffix":""}],"container-title":"Ecological Society of America","id":"ITEM-1","issue":"12","issued":{"date-parts":[["2010"]]},"page":"3277-3288","title":"Timing of disturbance and coexistence in a species-rich ruderal plant community","type":"article-journal","volume":"85"},"uris":["http://www.mendeley.com/documents/?uuid=3f2763a1-bcdb-4a83-b34a-4b269c8a8fe6"]}],"mendeley":{"formattedCitation":"(Crawley, 2010)","plainTextFormattedCitation":"(Crawley, 2010)","previouslyFormattedCitation":"(Crawley, 2010)"},"properties":{"noteIndex":0},"schema":"https://github.com/citation-style-language/schema/raw/master/csl-citation.json"}</w:instrText>
      </w:r>
      <w:r w:rsidRPr="00FB493F">
        <w:rPr>
          <w:rFonts w:ascii="Cambria" w:eastAsia="Calibri" w:hAnsi="Cambria" w:cs="Times New Roman"/>
        </w:rPr>
        <w:fldChar w:fldCharType="separate"/>
      </w:r>
      <w:r w:rsidRPr="00FB493F">
        <w:rPr>
          <w:rFonts w:ascii="Cambria" w:eastAsia="Calibri" w:hAnsi="Cambria" w:cs="Times New Roman"/>
          <w:noProof/>
        </w:rPr>
        <w:t>(Crawley, 2010)</w:t>
      </w:r>
      <w:r w:rsidRPr="00FB493F">
        <w:rPr>
          <w:rFonts w:ascii="Cambria" w:eastAsia="Calibri" w:hAnsi="Cambria" w:cs="Times New Roman"/>
        </w:rPr>
        <w:fldChar w:fldCharType="end"/>
      </w:r>
      <w:r w:rsidRPr="00FB493F">
        <w:rPr>
          <w:rFonts w:ascii="Cambria" w:eastAsia="Calibri" w:hAnsi="Cambria" w:cs="Times New Roman"/>
        </w:rPr>
        <w:t>. In contrast</w:t>
      </w:r>
      <w:r>
        <w:rPr>
          <w:rFonts w:ascii="Cambria" w:eastAsia="Calibri" w:hAnsi="Cambria" w:cs="Times New Roman"/>
        </w:rPr>
        <w:t>,</w:t>
      </w:r>
      <w:r w:rsidRPr="00FB493F">
        <w:rPr>
          <w:rFonts w:ascii="Cambria" w:eastAsia="Calibri" w:hAnsi="Cambria" w:cs="Times New Roman"/>
        </w:rPr>
        <w:t xml:space="preserve"> there is evidence that illustrates that this variation in ruderal recruitment patterns can be explained by differences in the abundance of ruderal species along adjacent sites that spread via wind dispersed seed. However, the arrival and establishment of seed from adjacent sites will inevitably be influenced to a degree by the timing of when sites are cleared and disturbed. Thus, the role that seasonal timing of soil disturbance plays is critical to understanding ruderal recruitment patterns.  </w:t>
      </w:r>
    </w:p>
    <w:p w14:paraId="4CB31F15" w14:textId="77777777" w:rsidR="0051638B" w:rsidRPr="00FB493F" w:rsidRDefault="0051638B" w:rsidP="0051638B">
      <w:pPr>
        <w:widowControl w:val="0"/>
        <w:spacing w:before="100" w:after="100" w:line="240" w:lineRule="auto"/>
        <w:ind w:right="60" w:firstLine="360"/>
        <w:rPr>
          <w:rFonts w:ascii="Cambria" w:eastAsia="Calibri" w:hAnsi="Cambria" w:cs="Times New Roman"/>
        </w:rPr>
      </w:pPr>
      <w:r>
        <w:rPr>
          <w:rFonts w:ascii="Cambria" w:eastAsia="Calibri" w:hAnsi="Cambria" w:cs="Times New Roman"/>
        </w:rPr>
        <w:t>Determining</w:t>
      </w:r>
      <w:r w:rsidRPr="00FB493F">
        <w:rPr>
          <w:rFonts w:ascii="Cambria" w:eastAsia="Calibri" w:hAnsi="Cambria" w:cs="Times New Roman"/>
        </w:rPr>
        <w:t xml:space="preserve"> </w:t>
      </w:r>
      <w:r>
        <w:rPr>
          <w:rFonts w:ascii="Cambria" w:eastAsia="Calibri" w:hAnsi="Cambria" w:cs="Times New Roman"/>
        </w:rPr>
        <w:t>the</w:t>
      </w:r>
      <w:r w:rsidRPr="00FB493F">
        <w:rPr>
          <w:rFonts w:ascii="Cambria" w:eastAsia="Calibri" w:hAnsi="Cambria" w:cs="Times New Roman"/>
        </w:rPr>
        <w:t xml:space="preserve"> influence </w:t>
      </w:r>
      <w:r>
        <w:rPr>
          <w:rFonts w:ascii="Cambria" w:eastAsia="Calibri" w:hAnsi="Cambria" w:cs="Times New Roman"/>
        </w:rPr>
        <w:t>that the</w:t>
      </w:r>
      <w:r w:rsidRPr="00FB493F">
        <w:rPr>
          <w:rFonts w:ascii="Cambria" w:eastAsia="Calibri" w:hAnsi="Cambria" w:cs="Times New Roman"/>
        </w:rPr>
        <w:t xml:space="preserve"> seasonal timing of soil disturbance has on early recruitment of ruderal species will help ecologists</w:t>
      </w:r>
      <w:r>
        <w:rPr>
          <w:rFonts w:ascii="Cambria" w:eastAsia="Calibri" w:hAnsi="Cambria" w:cs="Times New Roman"/>
        </w:rPr>
        <w:t xml:space="preserve"> more accurately </w:t>
      </w:r>
      <w:r w:rsidRPr="00FB493F">
        <w:rPr>
          <w:rFonts w:ascii="Cambria" w:eastAsia="Calibri" w:hAnsi="Cambria" w:cs="Times New Roman"/>
        </w:rPr>
        <w:t xml:space="preserve">model community assembly in restoration. </w:t>
      </w:r>
      <w:r>
        <w:rPr>
          <w:rFonts w:ascii="Cambria" w:eastAsia="Calibri" w:hAnsi="Cambria" w:cs="Times New Roman"/>
        </w:rPr>
        <w:t>The information generated in this study</w:t>
      </w:r>
      <w:r w:rsidRPr="00FB493F">
        <w:rPr>
          <w:rFonts w:ascii="Cambria" w:eastAsia="Calibri" w:hAnsi="Cambria" w:cs="Times New Roman"/>
        </w:rPr>
        <w:t xml:space="preserve"> can </w:t>
      </w:r>
      <w:r>
        <w:rPr>
          <w:rFonts w:ascii="Cambria" w:eastAsia="Calibri" w:hAnsi="Cambria" w:cs="Times New Roman"/>
        </w:rPr>
        <w:t>improve restoration results by equipping</w:t>
      </w:r>
      <w:r w:rsidRPr="00FB493F">
        <w:rPr>
          <w:rFonts w:ascii="Cambria" w:eastAsia="Calibri" w:hAnsi="Cambria" w:cs="Times New Roman"/>
        </w:rPr>
        <w:t xml:space="preserve"> </w:t>
      </w:r>
      <w:r>
        <w:rPr>
          <w:rFonts w:ascii="Cambria" w:eastAsia="Calibri" w:hAnsi="Cambria" w:cs="Times New Roman"/>
        </w:rPr>
        <w:t xml:space="preserve">practitioners with critical information regarding how the timing of site disturbances can impact groundcover composition. </w:t>
      </w:r>
      <w:r w:rsidRPr="00FB493F">
        <w:rPr>
          <w:rFonts w:ascii="Cambria" w:eastAsia="Calibri" w:hAnsi="Cambria" w:cs="Times New Roman"/>
        </w:rPr>
        <w:t xml:space="preserve">Additionally, </w:t>
      </w:r>
      <w:r w:rsidRPr="00FB493F">
        <w:rPr>
          <w:rFonts w:ascii="Cambria" w:eastAsia="Calibri" w:hAnsi="Cambria" w:cs="Times New Roman"/>
          <w:spacing w:val="-1"/>
        </w:rPr>
        <w:t xml:space="preserve">clarifying the role seasonal timing of soil disturbance in ruderal recruitment will contribute to our understanding of the ecological role of different types of ruderal species. </w:t>
      </w:r>
    </w:p>
    <w:p w14:paraId="0EBC47B7" w14:textId="77777777" w:rsidR="0051638B" w:rsidRPr="00FB493F" w:rsidRDefault="0051638B" w:rsidP="0051638B">
      <w:pPr>
        <w:widowControl w:val="0"/>
        <w:spacing w:before="100" w:after="100" w:line="240" w:lineRule="auto"/>
        <w:ind w:right="60"/>
        <w:rPr>
          <w:rFonts w:ascii="Cambria" w:eastAsia="Calibri" w:hAnsi="Cambria" w:cs="Times New Roman"/>
          <w:spacing w:val="-1"/>
        </w:rPr>
      </w:pPr>
      <w:bookmarkStart w:id="0" w:name="_Hlk77011524"/>
      <w:r w:rsidRPr="00FB493F">
        <w:rPr>
          <w:rFonts w:ascii="Cambria" w:hAnsi="Cambria" w:cs="TimesNewRomanPS-BoldMT"/>
          <w:b/>
          <w:bCs/>
        </w:rPr>
        <w:t>Questions</w:t>
      </w:r>
    </w:p>
    <w:p w14:paraId="6817FE36" w14:textId="77777777" w:rsidR="0051638B" w:rsidRDefault="0051638B" w:rsidP="0051638B">
      <w:pPr>
        <w:pStyle w:val="ListParagraph"/>
        <w:numPr>
          <w:ilvl w:val="0"/>
          <w:numId w:val="1"/>
        </w:numPr>
        <w:spacing w:before="100" w:after="100" w:line="240" w:lineRule="auto"/>
        <w:rPr>
          <w:rFonts w:ascii="Cambria" w:hAnsi="Cambria"/>
          <w:i/>
          <w:iCs/>
        </w:rPr>
      </w:pPr>
      <w:r w:rsidRPr="00FB493F">
        <w:rPr>
          <w:rFonts w:ascii="Cambria" w:hAnsi="Cambria"/>
          <w:i/>
          <w:iCs/>
        </w:rPr>
        <w:lastRenderedPageBreak/>
        <w:t>How does seasonal timing of soil disturbance influence recruitment of ruderal species and plant community assembly?</w:t>
      </w:r>
    </w:p>
    <w:p w14:paraId="7B804970" w14:textId="77777777" w:rsidR="0051638B" w:rsidRDefault="0051638B" w:rsidP="0051638B">
      <w:pPr>
        <w:spacing w:before="100" w:after="100" w:line="240" w:lineRule="auto"/>
        <w:rPr>
          <w:rFonts w:ascii="Cambria" w:hAnsi="Cambria" w:cs="TimesNewRomanPS-BoldMT"/>
          <w:b/>
          <w:bCs/>
        </w:rPr>
      </w:pPr>
      <w:r w:rsidRPr="00FB493F">
        <w:rPr>
          <w:rFonts w:ascii="Cambria" w:hAnsi="Cambria" w:cs="TimesNewRomanPS-BoldMT"/>
          <w:b/>
          <w:bCs/>
        </w:rPr>
        <w:t>Objectives</w:t>
      </w:r>
    </w:p>
    <w:p w14:paraId="038E3624" w14:textId="77777777" w:rsidR="0051638B" w:rsidRPr="004340B7" w:rsidRDefault="0051638B" w:rsidP="0051638B">
      <w:pPr>
        <w:pStyle w:val="ListParagraph"/>
        <w:numPr>
          <w:ilvl w:val="0"/>
          <w:numId w:val="4"/>
        </w:numPr>
        <w:spacing w:before="100" w:after="100" w:line="240" w:lineRule="auto"/>
        <w:rPr>
          <w:rFonts w:ascii="Cambria" w:hAnsi="Cambria" w:cs="TimesNewRomanPS-BoldMT"/>
          <w:b/>
          <w:bCs/>
        </w:rPr>
      </w:pPr>
      <w:r w:rsidRPr="004340B7">
        <w:rPr>
          <w:rFonts w:ascii="Cambria" w:hAnsi="Cambria"/>
        </w:rPr>
        <w:t>Compare composition of plots featuring different soil disturbance timings after two years.</w:t>
      </w:r>
    </w:p>
    <w:p w14:paraId="01BFBEA6" w14:textId="77777777" w:rsidR="0051638B" w:rsidRPr="001544A3" w:rsidRDefault="0051638B" w:rsidP="0051638B">
      <w:pPr>
        <w:pStyle w:val="ListParagraph"/>
        <w:numPr>
          <w:ilvl w:val="0"/>
          <w:numId w:val="3"/>
        </w:numPr>
        <w:spacing w:before="100" w:after="100" w:line="240" w:lineRule="auto"/>
        <w:rPr>
          <w:rFonts w:ascii="Cambria" w:hAnsi="Cambria" w:cs="TimesNewRomanPS-BoldMT"/>
          <w:b/>
          <w:bCs/>
        </w:rPr>
      </w:pPr>
      <w:r w:rsidRPr="009F3F8B">
        <w:rPr>
          <w:rFonts w:ascii="Cambria" w:hAnsi="Cambria"/>
        </w:rPr>
        <w:t>Provide data on the presence or absence of ruderal recruitment patterns across different soil disturbance timings.</w:t>
      </w:r>
    </w:p>
    <w:p w14:paraId="3401A94B" w14:textId="77777777" w:rsidR="0051638B" w:rsidRPr="001544A3" w:rsidRDefault="0051638B" w:rsidP="0051638B">
      <w:pPr>
        <w:spacing w:before="100" w:after="100" w:line="240" w:lineRule="auto"/>
        <w:rPr>
          <w:rFonts w:ascii="Cambria" w:hAnsi="Cambria" w:cs="TimesNewRomanPS-BoldMT"/>
          <w:b/>
          <w:bCs/>
        </w:rPr>
      </w:pPr>
      <w:r w:rsidRPr="001544A3">
        <w:rPr>
          <w:rFonts w:ascii="Cambria" w:eastAsia="Calibri" w:hAnsi="Cambria" w:cs="Times New Roman"/>
          <w:b/>
          <w:bCs/>
        </w:rPr>
        <w:t>Methods</w:t>
      </w:r>
      <w:r>
        <w:rPr>
          <w:rFonts w:ascii="Cambria" w:eastAsia="Calibri" w:hAnsi="Cambria" w:cs="Times New Roman"/>
          <w:b/>
          <w:bCs/>
        </w:rPr>
        <w:t xml:space="preserve"> (Chapter 2 &amp; 3)</w:t>
      </w:r>
    </w:p>
    <w:p w14:paraId="3EC8648F" w14:textId="77777777" w:rsidR="0051638B" w:rsidRPr="001544A3" w:rsidRDefault="0051638B" w:rsidP="0051638B">
      <w:pPr>
        <w:spacing w:before="100" w:after="100" w:line="240" w:lineRule="auto"/>
        <w:rPr>
          <w:rFonts w:ascii="Cambria" w:eastAsia="Calibri" w:hAnsi="Cambria" w:cs="Times New Roman"/>
          <w:i/>
          <w:iCs/>
          <w:u w:val="single"/>
        </w:rPr>
      </w:pPr>
      <w:r w:rsidRPr="001544A3">
        <w:rPr>
          <w:rFonts w:ascii="Cambria" w:eastAsia="Calibri" w:hAnsi="Cambria" w:cs="Times New Roman"/>
          <w:i/>
          <w:iCs/>
          <w:u w:val="single"/>
        </w:rPr>
        <w:t>Experimental Design</w:t>
      </w:r>
    </w:p>
    <w:p w14:paraId="28C6A947" w14:textId="77777777" w:rsidR="0051638B" w:rsidRPr="001544A3" w:rsidRDefault="0051638B" w:rsidP="0051638B">
      <w:pPr>
        <w:spacing w:before="100" w:after="100" w:line="240" w:lineRule="auto"/>
        <w:ind w:firstLine="720"/>
        <w:rPr>
          <w:rFonts w:ascii="Cambria" w:eastAsia="Calibri" w:hAnsi="Cambria" w:cs="Times New Roman"/>
        </w:rPr>
      </w:pPr>
      <w:r w:rsidRPr="001544A3">
        <w:rPr>
          <w:rFonts w:ascii="Cambria" w:eastAsia="Calibri" w:hAnsi="Cambria" w:cs="Times New Roman"/>
        </w:rPr>
        <w:t>The three projects detailed above will include 98 plots (1m</w:t>
      </w:r>
      <w:r w:rsidRPr="001544A3">
        <w:rPr>
          <w:rFonts w:ascii="Cambria" w:eastAsia="Calibri" w:hAnsi="Cambria" w:cs="Times New Roman"/>
          <w:vertAlign w:val="superscript"/>
        </w:rPr>
        <w:t>2</w:t>
      </w:r>
      <w:r w:rsidRPr="001544A3">
        <w:rPr>
          <w:rFonts w:ascii="Cambria" w:eastAsia="Calibri" w:hAnsi="Cambria" w:cs="Times New Roman"/>
        </w:rPr>
        <w:t>) established across two replicated (30m x 100m) experimental blocks consisting of three (18m</w:t>
      </w:r>
      <w:r w:rsidRPr="001544A3">
        <w:rPr>
          <w:rFonts w:ascii="Cambria" w:eastAsia="Calibri" w:hAnsi="Cambria" w:cs="Times New Roman"/>
          <w:vertAlign w:val="superscript"/>
        </w:rPr>
        <w:t>2</w:t>
      </w:r>
      <w:r w:rsidRPr="001544A3">
        <w:rPr>
          <w:rFonts w:ascii="Cambria" w:eastAsia="Calibri" w:hAnsi="Cambria" w:cs="Times New Roman"/>
        </w:rPr>
        <w:t>) fire treatment areas (No Fire, Winter-Fire, Spring-Fire). Fire treatment areas will feature a 10m buffer between one another. Plots will be established with angle-iron corners featuring center points located on the southern boundary of each plot. All plots will feature both a 1m buffer surrounding each plot along with an additional 2m placement buffer from other plots.</w:t>
      </w:r>
      <w:r w:rsidRPr="001544A3">
        <w:rPr>
          <w:rFonts w:ascii="Cambria" w:eastAsia="Calibri" w:hAnsi="Cambria" w:cs="Times New Roman"/>
        </w:rPr>
        <w:tab/>
      </w:r>
      <w:r w:rsidRPr="001544A3">
        <w:rPr>
          <w:rFonts w:ascii="Cambria" w:eastAsia="Calibri" w:hAnsi="Cambria" w:cs="Times New Roman"/>
        </w:rPr>
        <w:tab/>
      </w:r>
      <w:r w:rsidRPr="001544A3">
        <w:rPr>
          <w:rFonts w:ascii="Cambria" w:eastAsia="Calibri" w:hAnsi="Cambria" w:cs="Times New Roman"/>
        </w:rPr>
        <w:tab/>
      </w:r>
      <w:r w:rsidRPr="001544A3">
        <w:rPr>
          <w:rFonts w:ascii="Cambria" w:eastAsia="Calibri" w:hAnsi="Cambria" w:cs="Times New Roman"/>
        </w:rPr>
        <w:tab/>
      </w:r>
      <w:r w:rsidRPr="001544A3">
        <w:rPr>
          <w:rFonts w:ascii="Cambria" w:eastAsia="Calibri" w:hAnsi="Cambria" w:cs="Times New Roman"/>
        </w:rPr>
        <w:tab/>
      </w:r>
      <w:r w:rsidRPr="001544A3">
        <w:rPr>
          <w:rFonts w:ascii="Cambria" w:eastAsia="Calibri" w:hAnsi="Cambria" w:cs="Times New Roman"/>
        </w:rPr>
        <w:tab/>
      </w:r>
      <w:r w:rsidRPr="001544A3">
        <w:rPr>
          <w:rFonts w:ascii="Cambria" w:eastAsia="Calibri" w:hAnsi="Cambria" w:cs="Times New Roman"/>
        </w:rPr>
        <w:tab/>
      </w:r>
    </w:p>
    <w:p w14:paraId="6858CEC6" w14:textId="77777777" w:rsidR="0051638B" w:rsidRPr="001544A3" w:rsidRDefault="0051638B" w:rsidP="0051638B">
      <w:pPr>
        <w:spacing w:before="100" w:after="100" w:line="240" w:lineRule="auto"/>
        <w:ind w:firstLine="720"/>
        <w:rPr>
          <w:rFonts w:ascii="Cambria" w:eastAsia="Calibri" w:hAnsi="Cambria" w:cs="Times New Roman"/>
        </w:rPr>
      </w:pPr>
      <w:r w:rsidRPr="001544A3">
        <w:rPr>
          <w:rFonts w:ascii="Cambria" w:eastAsia="Calibri" w:hAnsi="Cambria" w:cs="Times New Roman"/>
        </w:rPr>
        <w:t>To eliminate potential confounding matrix effects, the experiment will take place in the middle of a field dominated by bahiagrass (</w:t>
      </w:r>
      <w:r w:rsidRPr="001544A3">
        <w:rPr>
          <w:rFonts w:ascii="Cambria" w:eastAsia="Calibri" w:hAnsi="Cambria" w:cs="Times New Roman"/>
          <w:i/>
          <w:iCs/>
        </w:rPr>
        <w:t>Paspalum notatum</w:t>
      </w:r>
      <w:r w:rsidRPr="001544A3">
        <w:rPr>
          <w:rFonts w:ascii="Cambria" w:eastAsia="Calibri" w:hAnsi="Cambria" w:cs="Times New Roman"/>
        </w:rPr>
        <w:t xml:space="preserve">), featuring low species richness, and zero percent canopy coverage. To successfully remove the dominant exotic bahiagrass, herbicide using 4% glyphosate, at a rate of five quarts per acre, will be applied to all treatment areas four months preceding all treatments. In December, a prescribed burn will take place across both experimental blocks which will clear out dead bahiagrass. Plots will then be assigned to tilling or seeding treatment sub-blocks within fire treatment blocks. </w:t>
      </w:r>
    </w:p>
    <w:p w14:paraId="320174CC" w14:textId="77777777" w:rsidR="0051638B" w:rsidRDefault="0051638B" w:rsidP="0051638B">
      <w:pPr>
        <w:spacing w:before="100" w:after="100" w:line="240" w:lineRule="auto"/>
        <w:ind w:firstLine="720"/>
        <w:rPr>
          <w:rFonts w:ascii="Cambria" w:eastAsia="Calibri" w:hAnsi="Cambria" w:cs="Times New Roman"/>
        </w:rPr>
      </w:pPr>
      <w:r w:rsidRPr="001544A3">
        <w:rPr>
          <w:rFonts w:ascii="Cambria" w:eastAsia="Calibri" w:hAnsi="Cambria" w:cs="Times New Roman"/>
        </w:rPr>
        <w:t>Tilling treatments will be performed with a rear-tine rototiller. The use of a rototiller in this project is preferred because it is portable, easily controllable, and it minimizes soil disturbances elsewhere on the site. A tilling depth of 10cm was selected to reflect commonly referenced silvicultural soil disturbance depths in this region, along with successful recommendations across seeding studies. The biomass of all residual species will be removed directly after tilling to eliminate the effects of residual species that include rhizomes of bahiagrass. All soil disturbance treatments, and seed treatments, will be applied one to two days prior to a rainfall event of one inch or more.</w:t>
      </w:r>
    </w:p>
    <w:p w14:paraId="7CEA7B0A" w14:textId="77777777" w:rsidR="0051638B" w:rsidRDefault="0051638B" w:rsidP="0051638B">
      <w:pPr>
        <w:spacing w:before="100" w:after="100" w:line="240" w:lineRule="auto"/>
        <w:ind w:firstLine="720"/>
        <w:rPr>
          <w:rFonts w:ascii="Cambria" w:eastAsia="Calibri" w:hAnsi="Cambria" w:cs="Times New Roman"/>
        </w:rPr>
      </w:pPr>
      <w:r w:rsidRPr="001544A3">
        <w:rPr>
          <w:rFonts w:ascii="Cambria" w:eastAsia="Calibri" w:hAnsi="Cambria" w:cs="Times New Roman"/>
        </w:rPr>
        <w:t>Seed treatments will include twelve locally sourced sandhill selected species. Seed viability of will be verified using a standard bench test. Viability will then be used to adjust base seeding rates, which will be standardized to 25 seeds per 1m</w:t>
      </w:r>
      <w:r w:rsidRPr="001544A3">
        <w:rPr>
          <w:rFonts w:ascii="Cambria" w:eastAsia="Calibri" w:hAnsi="Cambria" w:cs="Times New Roman"/>
          <w:vertAlign w:val="superscript"/>
        </w:rPr>
        <w:t>2</w:t>
      </w:r>
      <w:r w:rsidRPr="001544A3">
        <w:rPr>
          <w:rFonts w:ascii="Cambria" w:eastAsia="Calibri" w:hAnsi="Cambria" w:cs="Times New Roman"/>
        </w:rPr>
        <w:t xml:space="preserve"> plot based on selected studies </w:t>
      </w:r>
      <w:r w:rsidRPr="001544A3">
        <w:rPr>
          <w:rFonts w:ascii="Cambria" w:eastAsia="Calibri" w:hAnsi="Cambria" w:cs="Times New Roman"/>
        </w:rPr>
        <w:fldChar w:fldCharType="begin" w:fldLock="1"/>
      </w:r>
      <w:r w:rsidRPr="001544A3">
        <w:rPr>
          <w:rFonts w:ascii="Cambria" w:eastAsia="Calibri" w:hAnsi="Cambria" w:cs="Times New Roman"/>
        </w:rPr>
        <w:instrText>ADDIN CSL_CITATION {"citationItems":[{"id":"ITEM-1","itemData":{"author":[{"dropping-particle":"","family":"Creech","given":"Michelle Nicole","non-dropping-particle":"","parse-names":false,"suffix":""}],"id":"ITEM-1","issued":{"date-parts":[["2009"]]},"title":"Michelle Creech","type":"thesis"},"uris":["http://www.mendeley.com/documents/?uuid=03f8c578-ed9b-435d-a9ca-e6a678867bdf"]},{"id":"ITEM-2","itemData":{"DOI":"10.1007/s00442-019-04348-6","ISBN":"0123456789","ISSN":"00298549","abstract":"Agricultural land use is a leading cause of habitat degradation, leaving a legacy of ecological impacts long after agriculture has ceased. Yet the mechanisms for legacy effects, such as altered plant community composition, are not well understood. In particular, whether plant community recovery is limited by an inability of populations to establish within post-agricultural areas, owing to altered environmental conditions within these areas, remains poorly known. We evaluated this hypothesis of post-agricultural establishment limitation through a field experiment within longleaf pine woodlands in South Carolina (USA) and a greenhouse experiment using field-collected soils from these sites. In the field, we sowed seeds of 12 understory plant species associated with remnants (no known history of agriculture) into 27 paired remnant and post-agricultural woodlands. We found that post-agricultural woodlands supported higher establishment, resulting in greater species richness of sown species. These results were context dependent, however, with higher establishment in post-agricultural woodlands only when sites were frequently burned, had less leaf litter, or had less sandy soils. In the greenhouse, we found that agricultural history had no impact on plant growth or survival, suggesting that establishment limitation is unlikely driven by differences in soils associated with agricultural history when environmental conditions are not stressful. Rather, the potential for establishment in post-agricultural habitats can be higher than in remnant habitats, with the strength of this effect determined by fire frequency and soil characteristics.","author":[{"dropping-particle":"","family":"Barker","given":"Carrie A.","non-dropping-particle":"","parse-names":false,"suffix":""},{"dropping-particle":"","family":"Turley","given":"Nash E.","non-dropping-particle":"","parse-names":false,"suffix":""},{"dropping-particle":"","family":"Orrock","given":"John L.","non-dropping-particle":"","parse-names":false,"suffix":""},{"dropping-particle":"","family":"Ledvina","given":"Joseph A.","non-dropping-particle":"","parse-names":false,"suffix":""},{"dropping-particle":"","family":"Brudvig","given":"Lars A.","non-dropping-particle":"","parse-names":false,"suffix":""}],"container-title":"Oecologia","id":"ITEM-2","issue":"4","issued":{"date-parts":[["2019"]]},"page":"1049-1060","publisher":"Springer Berlin Heidelberg","title":"Agricultural land-use history does not reduce woodland understory herb establishment","type":"article-journal","volume":"189"},"uris":["http://www.mendeley.com/documents/?uuid=ff37d329-9026-42a1-902e-ddc31742b0a5"]},{"id":"ITEM-3","itemData":{"DOI":"10.1111/rec.12271","ISSN":"1526100X","abstract":"Community assembly filters, which in theory determine the suite of species that arrive at and establish in a community, have tremendous conceptual relevance to restoration. However, the concept has remained largely theoretical, with a paucity of empirical tests. As such, the applicability of assembly filters theory to ecological restoration remains incompletely known. We tested the relative strengths of dispersal and establishment filters by comparing the plant species composition, measured by species' presence/absence, in 29 restored prairies with the seed mixes used to restore each prairie. We found that both establishment and dispersal filters limited prairie similarity to the seed mix. Sown species responded differentially to filters, with a few species limited only by dispersal (seed density), many others limited only by establishment conditions (i.e. organic matter and sand content of soils, land use history, and fire frequency), and others limited by both dispersal and establishment filters. A few species, typically those sown most often, were not restricted by dispersal or establishment filters, likely because they were sown in high enough densities and all sites had suitable environmental conditions. Finally, one group of species established poorly, but we could not attribute this to either dispersal or establishment filters. This information can help land managers select species likely to establish in restorations when sown at sufficient densities. These results illustrate that dispersal and establishment filters limit the establishment of species in restored communities and these filters are species-dependent. Identifying the most limiting filter(s) for species will inform strategies to increase their establishment success.","author":[{"dropping-particle":"","family":"Grman","given":"Emily","non-dropping-particle":"","parse-names":false,"suffix":""},{"dropping-particle":"","family":"Bassett","given":"Tyler","non-dropping-particle":"","parse-names":false,"suffix":""},{"dropping-particle":"","family":"Zirbel","given":"Chad R.","non-dropping-particle":"","parse-names":false,"suffix":""},{"dropping-particle":"","family":"Brudvig","given":"Lars A.","non-dropping-particle":"","parse-names":false,"suffix":""}],"container-title":"Restoration Ecology","id":"ITEM-3","issue":"6","issued":{"date-parts":[["2015"]]},"page":"892-899","title":"Dispersal and establishment filters influence the assembly of restored prairie plant communities","type":"article-journal","volume":"23"},"uris":["http://www.mendeley.com/documents/?uuid=ceac61e2-11eb-481a-9d47-318cbe436c45"]},{"id":"ITEM-4","itemData":{"DOI":"10.1111/1365-2664.13354","ISSN":"13652664","abstract":"Agricultural land is being increasingly abandoned on a global scale, with over 200 million hectares recovering from agricultural use. Plant community regeneration differs greatly in structure and composition after agricultural impacts, yet the mechanisms underpinning these dramatic changes are poorly understood. It is critical to determine the relative importance of abiotic and biotic factors that limit plant establishment and success during the recovery process. In particular, below-ground competition for resources in soils affected by former agricultural uses may play an important role in limiting plant establishment. Yet, below-ground competition is generally studied less than above-ground, especially in the context of land-use history. We compare plant establishment with and without below-ground competition in the context of a large-scale experiment manipulating land-use histories (i.e. with and without a history of agriculture) and restoration of historical vegetation structure (i.e. thinned and unthinned canopy trees) and determine how life stage and the local environment (e.g. soil water holding capacity, vegetation cover) influence this relationship. For three of our four target species, below-ground competition strongly limited establishment success, but did not interact with land-use history and canopy thinning directly. Instead, land-use history and canopy thinning interacted to affect establishment during germination and survival in spring, while below-ground competition limited growth during the summer. The strength of below-ground competition was affected by local resources, but the directionality of this relationship depended on agricultural history and canopy thinning. Synthesis and applications. Because adding seeds increased establishment in all cases, we recommend confronting land-use legacies by overcoming dispersal limitation with seed additions (even in degraded sites) and ensuring that below-ground structures are managed during restoration, especially in summer. In addition, managers should consider how the relationship between local resources and below-ground competition at individual sites might depend on land-use history or canopy thinning.","author":[{"dropping-particle":"","family":"Sorenson","given":"Quinn M.","non-dropping-particle":"","parse-names":false,"suffix":""},{"dropping-particle":"","family":"Damschen","given":"Ellen I.","non-dropping-particle":"","parse-names":false,"suffix":""}],"container-title":"Journal of Applied Ecology","id":"ITEM-4","issue":"5","issued":{"date-parts":[["2019"]]},"page":"1140-1151","title":"The mechanisms affecting seedling establishment in restored savanna understories are seasonally dependent","type":"article-journal","volume":"56"},"uris":["http://www.mendeley.com/documents/?uuid=473c742e-021c-4ef9-a7d9-35545ed2f439"]},{"id":"ITEM-5","itemData":{"author":[{"dropping-particle":"","family":"Bissett","given":"Nancy J","non-dropping-particle":"","parse-names":false,"suffix":""}],"container-title":"Proceedings of the Florida Dry Prairie Conference","id":"ITEM-5","issued":{"date-parts":[["2006"]]},"page":"231-237","title":"Restoration of dry prairie by direct seeding: methods and examples","type":"article-journal"},"uris":["http://www.mendeley.com/documents/?uuid=586a0e3b-47ff-4857-9662-da1fc273ffc5"]}],"mendeley":{"formattedCitation":"(Barker et al., 2019; Bissett, 2006; Creech, 2009; Grman et al., 2015; Sorenson and Damschen, 2019)","plainTextFormattedCitation":"(Barker et al., 2019; Bissett, 2006; Creech, 2009; Grman et al., 2015; Sorenson and Damschen, 2019)","previouslyFormattedCitation":"(Barker et al., 2019; Bissett, 2006; Creech, 2009; Grman et al., 2015; Sorenson and Damschen, 2019)"},"properties":{"noteIndex":0},"schema":"https://github.com/citation-style-language/schema/raw/master/csl-citation.json"}</w:instrText>
      </w:r>
      <w:r w:rsidRPr="001544A3">
        <w:rPr>
          <w:rFonts w:ascii="Cambria" w:eastAsia="Calibri" w:hAnsi="Cambria" w:cs="Times New Roman"/>
        </w:rPr>
        <w:fldChar w:fldCharType="separate"/>
      </w:r>
      <w:r w:rsidRPr="001544A3">
        <w:rPr>
          <w:rFonts w:ascii="Cambria" w:eastAsia="Calibri" w:hAnsi="Cambria" w:cs="Times New Roman"/>
          <w:noProof/>
        </w:rPr>
        <w:t>(Barker et al., 2019; Bissett, 2006; Creech, 2009; Grman et al., 2015; Sorenson and Damschen, 2019)</w:t>
      </w:r>
      <w:r w:rsidRPr="001544A3">
        <w:rPr>
          <w:rFonts w:ascii="Cambria" w:eastAsia="Calibri" w:hAnsi="Cambria" w:cs="Times New Roman"/>
        </w:rPr>
        <w:fldChar w:fldCharType="end"/>
      </w:r>
      <w:r w:rsidRPr="001544A3">
        <w:rPr>
          <w:rFonts w:ascii="Cambria" w:eastAsia="Calibri" w:hAnsi="Cambria" w:cs="Times New Roman"/>
        </w:rPr>
        <w:t xml:space="preserve">. After tilling, seeds will be sown using a hand-rake at a 1cm depth. A 120kg sod roller will be used to cover seeds immediately after sowing to prevent seed predation and to break seed dormancy as per established seeding methods </w:t>
      </w:r>
      <w:r w:rsidRPr="001544A3">
        <w:rPr>
          <w:rFonts w:ascii="Cambria" w:eastAsia="Calibri" w:hAnsi="Cambria" w:cs="Times New Roman"/>
        </w:rPr>
        <w:fldChar w:fldCharType="begin" w:fldLock="1"/>
      </w:r>
      <w:r w:rsidRPr="001544A3">
        <w:rPr>
          <w:rFonts w:ascii="Cambria" w:eastAsia="Calibri" w:hAnsi="Cambria" w:cs="Times New Roman"/>
        </w:rPr>
        <w:instrText>ADDIN CSL_CITATION {"citationItems":[{"id":"ITEM-1","itemData":{"author":[{"dropping-particle":"","family":"Bissett","given":"Nancy J","non-dropping-particle":"","parse-names":false,"suffix":""}],"container-title":"Proceedings of the Florida Dry Prairie Conference","id":"ITEM-1","issued":{"date-parts":[["2006"]]},"page":"231-237","title":"Restoration of dry prairie by direct seeding: methods and examples","type":"article-journal"},"uris":["http://www.mendeley.com/documents/?uuid=586a0e3b-47ff-4857-9662-da1fc273ffc5"]},{"id":"ITEM-2","itemData":{"DOI":"10.1111/avsc.12173","ISSN":"1654109X","abstract":"Questions: To select the best method to restore an ecosystem requires an understanding of the various outcomes commonly achieved through different restoration techniques. What method results in the most timely and cost-effective means of reinstating biodiversity and restoring ecosystem functions and services? Methods: We explored the efficacy and costs of two re-vegetation techniques commonly used in ecosystem restoration: direct seeding and planting of seedlings. Our analysis focused on 120 scientific peer-reviewed publications reporting on experiments using seeds or seedlings, and encompassed a range of ecosystems such as wetlands, savannas and forests. We examined current restoration issues, including species diversity, survival, species selection, costs and how future climate change may influence restoration efforts. Results: Direct seeding experiments used more species than seedling studies, yet showed lower survivorship. Species availability is the major constraint in the selection of which species were used, regardless of the approach employed. Although costs are extremely important when planning a restoration project, few published findings report on the economic aspects of ecosystem restoration. Further, we did not find any study addressing the impacts of global climate change on restoration programmes or how studies should consider future shifts in the environment. Conclusions: Our results highlight the need for restoration experiments to explore more species. Restoration efforts are in need of detailed reporting that includes time frames and costs. We need to consider future climate scenarios that will affect ecosystem restoration efforts.","author":[{"dropping-particle":"","family":"Palma","given":"Ana Cristina","non-dropping-particle":"","parse-names":false,"suffix":""},{"dropping-particle":"","family":"Laurance","given":"Susan G.W.","non-dropping-particle":"","parse-names":false,"suffix":""}],"container-title":"Applied Vegetation Science","id":"ITEM-2","issue":"4","issued":{"date-parts":[["2015"]]},"page":"561-568","title":"A review of the use of direct seeding and seedling plantings in restoration: What do we know and where should we go?","type":"article-journal","volume":"18"},"uris":["http://www.mendeley.com/documents/?uuid=e7269297-33cd-45dd-9774-21fc44f1a1b0"]},{"id":"ITEM-3","itemData":{"author":[{"dropping-particle":"","family":"Cox","given":"Anne","non-dropping-particle":"","parse-names":false,"suffix":""},{"dropping-particle":"","family":"Gordon","given":"Doria R.","non-dropping-particle":"","parse-names":false,"suffix":""},{"dropping-particle":"","family":"Slapcinsky","given":"Jodi","non-dropping-particle":"","parse-names":false,"suffix":""},{"dropping-particle":"","family":"Seamon","given":"Greg","non-dropping-particle":"","parse-names":false,"suffix":""}],"container-title":"Natural Areas Journal","id":"ITEM-3","issue":"1","issued":{"date-parts":[["2004"]]},"page":"4-14","title":"Understory restoration in longleaf pine sandhills","type":"article-journal","volume":"24"},"uris":["http://www.mendeley.com/documents/?uuid=ce17dcfc-327d-4f47-a54e-74139dcc6314"]}],"mendeley":{"formattedCitation":"(Bissett, 2006; Cox et al., 2004; Palma and Laurance, 2015b)","plainTextFormattedCitation":"(Bissett, 2006; Cox et al., 2004; Palma and Laurance, 2015b)","previouslyFormattedCitation":"(Bissett, 2006; Cox et al., 2004; Palma and Laurance, 2015b)"},"properties":{"noteIndex":0},"schema":"https://github.com/citation-style-language/schema/raw/master/csl-citation.json"}</w:instrText>
      </w:r>
      <w:r w:rsidRPr="001544A3">
        <w:rPr>
          <w:rFonts w:ascii="Cambria" w:eastAsia="Calibri" w:hAnsi="Cambria" w:cs="Times New Roman"/>
        </w:rPr>
        <w:fldChar w:fldCharType="separate"/>
      </w:r>
      <w:r w:rsidRPr="001544A3">
        <w:rPr>
          <w:rFonts w:ascii="Cambria" w:eastAsia="Calibri" w:hAnsi="Cambria" w:cs="Times New Roman"/>
          <w:noProof/>
        </w:rPr>
        <w:t>(Bissett, 2006; Cox et al., 2004; Palma and Laurance, 2015b)</w:t>
      </w:r>
      <w:r w:rsidRPr="001544A3">
        <w:rPr>
          <w:rFonts w:ascii="Cambria" w:eastAsia="Calibri" w:hAnsi="Cambria" w:cs="Times New Roman"/>
        </w:rPr>
        <w:fldChar w:fldCharType="end"/>
      </w:r>
      <w:r w:rsidRPr="001544A3">
        <w:rPr>
          <w:rFonts w:ascii="Cambria" w:eastAsia="Calibri" w:hAnsi="Cambria" w:cs="Times New Roman"/>
        </w:rPr>
        <w:t xml:space="preserve">. All seeding treatments will take place in December of 2020 with 48 hours of significant rainfall. The December sowing date was chosen because in the Southeast region many obligate savanna species are known to set seed in the late fall directly following spring or summer fires, and then germinate during later winter months following rain brought in by cold fronts </w:t>
      </w:r>
      <w:r w:rsidRPr="001544A3">
        <w:rPr>
          <w:rFonts w:ascii="Cambria" w:eastAsia="Calibri" w:hAnsi="Cambria" w:cs="Times New Roman"/>
        </w:rPr>
        <w:fldChar w:fldCharType="begin" w:fldLock="1"/>
      </w:r>
      <w:r w:rsidRPr="001544A3">
        <w:rPr>
          <w:rFonts w:ascii="Cambria" w:eastAsia="Calibri" w:hAnsi="Cambria" w:cs="Times New Roman"/>
        </w:rPr>
        <w:instrText>ADDIN CSL_CITATION {"citationItems":[{"id":"ITEM-1","itemData":{"author":[{"dropping-particle":"","family":"Bissett","given":"Nancy J","non-dropping-particle":"","parse-names":false,"suffix":""}],"container-title":"Proceedings of the Florida Dry Prairie Conference","id":"ITEM-1","issued":{"date-parts":[["2006"]]},"page":"231-237","title":"Restoration of dry prairie by direct seeding: methods and examples","type":"article-journal"},"uris":["http://www.mendeley.com/documents/?uuid=586a0e3b-47ff-4857-9662-da1fc273ffc5"]},{"id":"ITEM-2","itemData":{"author":[{"dropping-particle":"","family":"Parks","given":"Geoffrey Richmond","non-dropping-particle":"","parse-names":false,"suffix":""}],"id":"ITEM-2","issued":{"date-parts":[["2007"]]},"page":"74","title":"Longleaf pine sandhill seed banks and seedling emergence in relation to time since fire","type":"article-journal"},"uris":["http://www.mendeley.com/documents/?uuid=6392b845-5668-4903-a040-c408c2d6bae4"]},{"id":"ITEM-3","itemData":{"DOI":"10.3375/0885-8608(2006)26[289:sgsosw]2.0.co;2","ISSN":"0885-8608","abstract":"Seed germination phenology studies are important tools for determining\\nwhether seeds exhibit dormancy and what environmental conditions\\ntrigger germination. Within longleaf pine (Pinus palustris Miller)\\necosystems of the southeastern United States Coastal Plain, little is\\nknown about dormancy patterns and germination cues of the suite of\\nnative species composing the diverse fire-maintained ground cover\\nvegetation. We used two methods to determine if several dominant or\\nfunctionally important herbaceous species were capable of forming a\\npersistent soil seed bank, including: (1) a germination phenology study\\nand (2) a buried seed bag study. Results indicate that within species\\nstudied from three common families (Asteraceae, 2 species; Fabaceae, 8\\nspecies; and Poaceae, 3 species), species within the Fabaceae family\\nseem most capable of forming long-term persistent seed banks. Although\\nmost of the Poaceae and Asteraceae species examined exhibited little\\ndormancy in the germination phenology study, evidence from the buried\\nseed bag study indicates that several species may form transient or\\neven short-term persistent seed banks under favorable conditions. The\\nabsence of evidence of persistent seed banking potential for several\\ndominant species examined in this study suggests that seed\\nreintroduction will likely be a necessary component in restoration\\nefforts in longleaf pine ecosystems.","author":[{"dropping-particle":"","family":"Coffey","given":"Kim L.","non-dropping-particle":"","parse-names":false,"suffix":""},{"dropping-particle":"","family":"Kirkman","given":"L. Katherine","non-dropping-particle":"","parse-names":false,"suffix":""}],"container-title":"Natural Areas Journal","id":"ITEM-3","issue":"3","issued":{"date-parts":[["2006"]]},"page":"289-299","title":"Seed Germination Strategies of Species With Restoration Potential in a Fire-Maintained Pine Savanna","type":"article-journal","volume":"26"},"uris":["http://www.mendeley.com/documents/?uuid=328c101a-161a-4eae-b642-5e1962b9466e"]}],"mendeley":{"formattedCitation":"(Bissett, 2006; Coffey and Kirkman, 2006; Parks, 2007)","plainTextFormattedCitation":"(Bissett, 2006; Coffey and Kirkman, 2006; Parks, 2007)","previouslyFormattedCitation":"(Bissett, 2006; Coffey and Kirkman, 2006; Parks, 2007)"},"properties":{"noteIndex":0},"schema":"https://github.com/citation-style-language/schema/raw/master/csl-citation.json"}</w:instrText>
      </w:r>
      <w:r w:rsidRPr="001544A3">
        <w:rPr>
          <w:rFonts w:ascii="Cambria" w:eastAsia="Calibri" w:hAnsi="Cambria" w:cs="Times New Roman"/>
        </w:rPr>
        <w:fldChar w:fldCharType="separate"/>
      </w:r>
      <w:r w:rsidRPr="001544A3">
        <w:rPr>
          <w:rFonts w:ascii="Cambria" w:eastAsia="Calibri" w:hAnsi="Cambria" w:cs="Times New Roman"/>
          <w:noProof/>
        </w:rPr>
        <w:t>(Bissett, 2006; Coffey and Kirkman, 2006; Parks, 2007)</w:t>
      </w:r>
      <w:r w:rsidRPr="001544A3">
        <w:rPr>
          <w:rFonts w:ascii="Cambria" w:eastAsia="Calibri" w:hAnsi="Cambria" w:cs="Times New Roman"/>
        </w:rPr>
        <w:fldChar w:fldCharType="end"/>
      </w:r>
      <w:r w:rsidRPr="001544A3">
        <w:rPr>
          <w:rFonts w:ascii="Cambria" w:eastAsia="Calibri" w:hAnsi="Cambria" w:cs="Times New Roman"/>
        </w:rPr>
        <w:t>.</w:t>
      </w:r>
      <w:r w:rsidRPr="001544A3">
        <w:rPr>
          <w:rFonts w:ascii="Cambria" w:eastAsia="Calibri" w:hAnsi="Cambria" w:cs="Times New Roman"/>
        </w:rPr>
        <w:tab/>
      </w:r>
      <w:r w:rsidRPr="001544A3">
        <w:rPr>
          <w:rFonts w:ascii="Cambria" w:eastAsia="Calibri" w:hAnsi="Cambria" w:cs="Times New Roman"/>
        </w:rPr>
        <w:tab/>
      </w:r>
      <w:r w:rsidRPr="001544A3">
        <w:rPr>
          <w:rFonts w:ascii="Cambria" w:eastAsia="Calibri" w:hAnsi="Cambria" w:cs="Times New Roman"/>
        </w:rPr>
        <w:tab/>
      </w:r>
      <w:r w:rsidRPr="001544A3">
        <w:rPr>
          <w:rFonts w:ascii="Cambria" w:eastAsia="Calibri" w:hAnsi="Cambria" w:cs="Times New Roman"/>
        </w:rPr>
        <w:tab/>
      </w:r>
    </w:p>
    <w:p w14:paraId="4A7F3308" w14:textId="77777777" w:rsidR="0051638B" w:rsidRPr="001544A3" w:rsidRDefault="0051638B" w:rsidP="0051638B">
      <w:pPr>
        <w:spacing w:before="100" w:after="100" w:line="240" w:lineRule="auto"/>
        <w:ind w:firstLine="720"/>
        <w:rPr>
          <w:rFonts w:ascii="Cambria" w:eastAsia="Calibri" w:hAnsi="Cambria" w:cs="Times New Roman"/>
        </w:rPr>
      </w:pPr>
      <w:r w:rsidRPr="001544A3">
        <w:rPr>
          <w:rFonts w:ascii="Cambria" w:eastAsia="Calibri" w:hAnsi="Cambria" w:cs="Times New Roman"/>
        </w:rPr>
        <w:t xml:space="preserve">Finally, all fire treatments will take place in 2022 on a two-year fire cycle. Ignition of winter fire treatment areas will take place during the month of December, while ignition of late-spring fire treatment areas will take place during the month of May. Burns in fire treatment areas will use mowed fire breaks as opposed to tilled fire lines to avoid residual effects by tilled treatments. Burn conditions and ignition techniques will be provided and monitored across sites. </w:t>
      </w:r>
    </w:p>
    <w:p w14:paraId="0CD59240" w14:textId="77777777" w:rsidR="0051638B" w:rsidRDefault="0051638B" w:rsidP="0051638B">
      <w:pPr>
        <w:spacing w:before="100" w:after="100" w:line="240" w:lineRule="auto"/>
        <w:rPr>
          <w:rFonts w:ascii="Cambria" w:eastAsia="Calibri" w:hAnsi="Cambria" w:cs="Times New Roman"/>
          <w:i/>
          <w:iCs/>
          <w:u w:val="single"/>
        </w:rPr>
      </w:pPr>
    </w:p>
    <w:p w14:paraId="78585AA4" w14:textId="77777777" w:rsidR="0051638B" w:rsidRDefault="0051638B" w:rsidP="0051638B">
      <w:pPr>
        <w:spacing w:before="100" w:after="100" w:line="240" w:lineRule="auto"/>
        <w:rPr>
          <w:rFonts w:ascii="Cambria" w:eastAsia="Calibri" w:hAnsi="Cambria" w:cs="Times New Roman"/>
          <w:i/>
          <w:iCs/>
          <w:u w:val="single"/>
        </w:rPr>
      </w:pPr>
    </w:p>
    <w:p w14:paraId="709A4B06" w14:textId="77777777" w:rsidR="0051638B" w:rsidRDefault="0051638B" w:rsidP="0051638B">
      <w:pPr>
        <w:spacing w:before="100" w:after="100" w:line="240" w:lineRule="auto"/>
        <w:rPr>
          <w:rFonts w:ascii="Cambria" w:eastAsia="Calibri" w:hAnsi="Cambria" w:cs="Times New Roman"/>
          <w:u w:val="single"/>
        </w:rPr>
      </w:pPr>
      <w:r w:rsidRPr="001544A3">
        <w:rPr>
          <w:rFonts w:ascii="Cambria" w:eastAsia="Calibri" w:hAnsi="Cambria" w:cs="Times New Roman"/>
          <w:i/>
          <w:iCs/>
          <w:u w:val="single"/>
        </w:rPr>
        <w:t>Measurements</w:t>
      </w:r>
      <w:r w:rsidRPr="001544A3">
        <w:rPr>
          <w:u w:val="single"/>
        </w:rPr>
        <w:t xml:space="preserve"> &amp; </w:t>
      </w:r>
      <w:r w:rsidRPr="001544A3">
        <w:rPr>
          <w:rFonts w:ascii="Cambria" w:eastAsia="Calibri" w:hAnsi="Cambria" w:cs="Times New Roman"/>
          <w:i/>
          <w:iCs/>
          <w:u w:val="single"/>
        </w:rPr>
        <w:t>Statistical Methods</w:t>
      </w:r>
    </w:p>
    <w:p w14:paraId="6A3D1259" w14:textId="77777777" w:rsidR="0051638B" w:rsidRPr="001544A3" w:rsidRDefault="0051638B" w:rsidP="0051638B">
      <w:pPr>
        <w:spacing w:before="100" w:after="100" w:line="240" w:lineRule="auto"/>
        <w:ind w:firstLine="720"/>
        <w:rPr>
          <w:rFonts w:ascii="Cambria" w:eastAsia="Calibri" w:hAnsi="Cambria" w:cs="Times New Roman"/>
          <w:u w:val="single"/>
        </w:rPr>
      </w:pPr>
      <w:r w:rsidRPr="001544A3">
        <w:rPr>
          <w:rFonts w:ascii="Cambria" w:eastAsia="Calibri" w:hAnsi="Cambria" w:cs="Times New Roman"/>
        </w:rPr>
        <w:t>Plant community composition will be assessed using coverage and abundance data conducted prior to treatments (October 2020</w:t>
      </w:r>
      <w:proofErr w:type="gramStart"/>
      <w:r w:rsidRPr="001544A3">
        <w:rPr>
          <w:rFonts w:ascii="Cambria" w:eastAsia="Calibri" w:hAnsi="Cambria" w:cs="Times New Roman"/>
        </w:rPr>
        <w:t>), and</w:t>
      </w:r>
      <w:proofErr w:type="gramEnd"/>
      <w:r w:rsidRPr="001544A3">
        <w:rPr>
          <w:rFonts w:ascii="Cambria" w:eastAsia="Calibri" w:hAnsi="Cambria" w:cs="Times New Roman"/>
        </w:rPr>
        <w:t xml:space="preserve"> repeated each year in the fall (October-November) when most species on site are flowering. </w:t>
      </w:r>
      <w:r w:rsidRPr="001544A3">
        <w:rPr>
          <w:rFonts w:ascii="Cambria" w:eastAsia="Calibri" w:hAnsi="Cambria" w:cs="Calibri"/>
          <w:color w:val="000000"/>
        </w:rPr>
        <w:t>Percent cover of each species will be estimated at a 1m</w:t>
      </w:r>
      <w:r w:rsidRPr="001544A3">
        <w:rPr>
          <w:rFonts w:ascii="Cambria" w:eastAsia="Calibri" w:hAnsi="Cambria" w:cs="Calibri"/>
          <w:color w:val="000000"/>
          <w:vertAlign w:val="superscript"/>
        </w:rPr>
        <w:t>2</w:t>
      </w:r>
      <w:r w:rsidRPr="001544A3">
        <w:rPr>
          <w:rFonts w:ascii="Cambria" w:eastAsia="Calibri" w:hAnsi="Cambria" w:cs="Calibri"/>
          <w:color w:val="000000"/>
        </w:rPr>
        <w:t xml:space="preserve"> level in subplots using 10 cover values (1 = trace, 2 = &lt;1%, 3 = 1-2%, 4 = 2-5%, 5 = 5-10%, 6 = 10-25%, 7 = 25-50%, 8 = 50-75%, 9 = 75-95%, 10 = &gt;95%). Abundance data will be performed across 1m</w:t>
      </w:r>
      <w:r w:rsidRPr="001544A3">
        <w:rPr>
          <w:rFonts w:ascii="Cambria" w:eastAsia="Calibri" w:hAnsi="Cambria" w:cs="Calibri"/>
          <w:color w:val="000000"/>
          <w:vertAlign w:val="superscript"/>
        </w:rPr>
        <w:t>2</w:t>
      </w:r>
      <w:r w:rsidRPr="001544A3">
        <w:rPr>
          <w:rFonts w:ascii="Cambria" w:eastAsia="Calibri" w:hAnsi="Cambria" w:cs="Calibri"/>
          <w:color w:val="000000"/>
        </w:rPr>
        <w:t xml:space="preserve"> plots using an internal cardinal grid system (NE, NW, SE, SW) to accurately count all individual plants, stems, and new seedlings. Monthly aerial plot photos will be taken using a high-resolution camera on a tripod with an arm extender, at 1m height in the center of each plot. Photos will be utilized with software to assess and develop coverage and micro-geospatial relationships and patterns of different treatments overtime.</w:t>
      </w:r>
      <w:r w:rsidRPr="001544A3">
        <w:rPr>
          <w:rFonts w:ascii="Cambria" w:eastAsia="Calibri" w:hAnsi="Cambria" w:cs="Times New Roman"/>
        </w:rPr>
        <w:t xml:space="preserve"> </w:t>
      </w:r>
      <w:r w:rsidRPr="001544A3">
        <w:rPr>
          <w:rFonts w:ascii="Cambria" w:eastAsia="Calibri" w:hAnsi="Cambria" w:cs="Times New Roman"/>
          <w:i/>
          <w:iCs/>
        </w:rPr>
        <w:tab/>
      </w:r>
      <w:r w:rsidRPr="001544A3">
        <w:rPr>
          <w:rFonts w:ascii="Cambria" w:eastAsia="Calibri" w:hAnsi="Cambria" w:cs="Times New Roman"/>
          <w:i/>
          <w:iCs/>
        </w:rPr>
        <w:tab/>
      </w:r>
      <w:r w:rsidRPr="001544A3">
        <w:rPr>
          <w:rFonts w:ascii="Cambria" w:eastAsia="Calibri" w:hAnsi="Cambria" w:cs="Times New Roman"/>
          <w:i/>
          <w:iCs/>
        </w:rPr>
        <w:tab/>
      </w:r>
      <w:r w:rsidRPr="001544A3">
        <w:rPr>
          <w:rFonts w:ascii="Cambria" w:eastAsia="Calibri" w:hAnsi="Cambria" w:cs="Times New Roman"/>
          <w:i/>
          <w:iCs/>
        </w:rPr>
        <w:tab/>
      </w:r>
      <w:r w:rsidRPr="001544A3">
        <w:rPr>
          <w:rFonts w:ascii="Cambria" w:eastAsia="Calibri" w:hAnsi="Cambria" w:cs="Times New Roman"/>
          <w:i/>
          <w:iCs/>
        </w:rPr>
        <w:tab/>
      </w:r>
      <w:r w:rsidRPr="001544A3">
        <w:rPr>
          <w:rFonts w:ascii="Cambria" w:eastAsia="Calibri" w:hAnsi="Cambria" w:cs="Times New Roman"/>
          <w:i/>
          <w:iCs/>
        </w:rPr>
        <w:tab/>
      </w:r>
    </w:p>
    <w:p w14:paraId="43F5D332" w14:textId="77777777" w:rsidR="0051638B" w:rsidRPr="001544A3" w:rsidRDefault="0051638B" w:rsidP="0051638B">
      <w:pPr>
        <w:spacing w:before="100" w:after="100" w:line="240" w:lineRule="auto"/>
        <w:ind w:firstLine="720"/>
        <w:rPr>
          <w:rFonts w:ascii="Cambria" w:eastAsia="Calibri" w:hAnsi="Cambria" w:cs="Calibri"/>
          <w:i/>
          <w:iCs/>
          <w:color w:val="000000"/>
        </w:rPr>
      </w:pPr>
      <w:r w:rsidRPr="001544A3">
        <w:rPr>
          <w:rFonts w:ascii="Cambria" w:eastAsia="Calibri" w:hAnsi="Cambria" w:cs="Times New Roman"/>
        </w:rPr>
        <w:t xml:space="preserve">The seedbank will also be measured by sampling the soil of the buffer area of each plot, at a depth of 0 to 15 cm prior to treatments. Seed bank samples were collected using a soil profiler that extracted a 2.5 3 10 3 15–cm (depth) section </w:t>
      </w:r>
      <w:r w:rsidRPr="001544A3">
        <w:rPr>
          <w:rFonts w:ascii="Cambria" w:eastAsia="Calibri" w:hAnsi="Cambria" w:cs="Times New Roman"/>
        </w:rPr>
        <w:fldChar w:fldCharType="begin" w:fldLock="1"/>
      </w:r>
      <w:r w:rsidRPr="001544A3">
        <w:rPr>
          <w:rFonts w:ascii="Cambria" w:eastAsia="Calibri" w:hAnsi="Cambria" w:cs="Times New Roman"/>
        </w:rPr>
        <w:instrText>ADDIN CSL_CITATION {"citationItems":[{"id":"ITEM-1","itemData":{"author":[{"dropping-particle":"","family":"Andreu","given":"M. G.","non-dropping-particle":"","parse-names":false,"suffix":""},{"dropping-particle":"","family":"Hedman","given":"C. W.","non-dropping-particle":"","parse-names":false,"suffix":""},{"dropping-particle":"","family":"Friedman","given":"M. H.","non-dropping-particle":"","parse-names":false,"suffix":""},{"dropping-particle":"","family":"Andreu","given":"A. G.","non-dropping-particle":"","parse-names":false,"suffix":""}],"container-title":"Restoration Ecology","id":"ITEM-1","issue":"5","issued":{"date-parts":[["2009"]]},"page":"586-596","title":"Can managers bank on seed banks when restoring Pinus taeda L. plantations in Southwest Georgia?","type":"article-journal","volume":"17"},"uris":["http://www.mendeley.com/documents/?uuid=02c1aef1-e7e1-4663-873f-4b58270d25b0"]}],"mendeley":{"formattedCitation":"(Andreu et al., 2009)","plainTextFormattedCitation":"(Andreu et al., 2009)","previouslyFormattedCitation":"(Andreu et al., 2009)"},"properties":{"noteIndex":0},"schema":"https://github.com/citation-style-language/schema/raw/master/csl-citation.json"}</w:instrText>
      </w:r>
      <w:r w:rsidRPr="001544A3">
        <w:rPr>
          <w:rFonts w:ascii="Cambria" w:eastAsia="Calibri" w:hAnsi="Cambria" w:cs="Times New Roman"/>
        </w:rPr>
        <w:fldChar w:fldCharType="separate"/>
      </w:r>
      <w:r w:rsidRPr="001544A3">
        <w:rPr>
          <w:rFonts w:ascii="Cambria" w:eastAsia="Calibri" w:hAnsi="Cambria" w:cs="Times New Roman"/>
          <w:noProof/>
        </w:rPr>
        <w:t>(Andreu et al., 2009)</w:t>
      </w:r>
      <w:r w:rsidRPr="001544A3">
        <w:rPr>
          <w:rFonts w:ascii="Cambria" w:eastAsia="Calibri" w:hAnsi="Cambria" w:cs="Times New Roman"/>
        </w:rPr>
        <w:fldChar w:fldCharType="end"/>
      </w:r>
      <w:r w:rsidRPr="001544A3">
        <w:rPr>
          <w:rFonts w:ascii="Cambria" w:eastAsia="Calibri" w:hAnsi="Cambria" w:cs="Times New Roman"/>
        </w:rPr>
        <w:t xml:space="preserve">. Soil seedbank samples will then be germinated via lab bench using the following methods described in </w:t>
      </w:r>
      <w:r w:rsidRPr="001544A3">
        <w:rPr>
          <w:rFonts w:ascii="Cambria" w:eastAsia="Calibri" w:hAnsi="Cambria" w:cs="Times New Roman"/>
        </w:rPr>
        <w:fldChar w:fldCharType="begin" w:fldLock="1"/>
      </w:r>
      <w:r w:rsidRPr="001544A3">
        <w:rPr>
          <w:rFonts w:ascii="Cambria" w:eastAsia="Calibri" w:hAnsi="Cambria" w:cs="Times New Roman"/>
        </w:rPr>
        <w:instrText>ADDIN CSL_CITATION {"citationItems":[{"id":"ITEM-1","itemData":{"DOI":"10.3375/043.038.0105","ISSN":"0885-8608","abstract":"Pine flatwoods ecosystems of the Gulf Coastal Plains of the southeastern\nUnited States are known for their species richness, mainly contributed\nby herbaceous groundcover. However, intensive silvicultural operations\nand exclusion of fire over a large extent of these ecosystems in the\npast century has led to a serious depletion of groundcover diversity.\nConsequently, restoration of these ecosystems has become a high priority\nfor ecological management of forests in the area. The present study was\ncarried out at mesic-hydric flatwoods sites in northwest Florida to\nexamine the effects of restoration activities, including varying\nintensities of thinning and prescribed burning, on the dynamics of the\nvegetation and the soil seed bank composition and structure. Three site\nconditions-degraded, partially restored, and restored-representing a\nrestoration management gradient were sampled for aboveground vegetation\nand soil seed bank. Vegetation and seed bank composition changed\nfollowing restoration activities. However, there was little effect on\nthe seed bank structure across the site conditions. A total of 24, 59,\nand 124 species in the aboveground vegetation, and 26, 39, and 64\nspecies in the seed bank were observed in degraded, partially restored,\nand restored site conditions, respectively. Most of the species in the\nseed bank were ruderal, although native. The effect of site conditions\non seed density and seed species richness and diversity was not\nstatistically significant. However, these characteristics did vary\nsignificantly with the soil depth (main effect) where the soil sample\nwas taken. Higher seed densities were observed in top 0-5 and 5-10 cm\nthan 10-15 cm soil depths across all sites. Seed banks tended to\nresemble each other more than the vegetation and the vegetation and seed\nbank across all sites. The presence of mostly ruderal species in seed\nbank in degraded site indicates that seed bank is not a good source of\nregeneration of typical flatwoods communities.","author":[{"dropping-particle":"","family":"Sharma","given":"Ajay","non-dropping-particle":"","parse-names":false,"suffix":""},{"dropping-particle":"","family":"Bohn","given":"Kimberly K.","non-dropping-particle":"","parse-names":false,"suffix":""},{"dropping-particle":"","family":"Jose","given":"Shibu","non-dropping-particle":"","parse-names":false,"suffix":""},{"dropping-particle":"","family":"Miller","given":"Deborah L.","non-dropping-particle":"","parse-names":false,"suffix":""}],"container-title":"Natural Areas Journal","id":"ITEM-1","issue":"1","issued":{"date-parts":[["2018"]]},"page":"26-43","title":"Seed Bank—Vegetation Dynamics along a Restoration Management Gradient in Pine Flatwoods Ecosystems of the Florida Gulf Coast","type":"article-journal","volume":"38"},"uris":["http://www.mendeley.com/documents/?uuid=b022d625-c0d4-4f4a-866a-062f0e6d88e7"]}],"mendeley":{"formattedCitation":"(Sharma et al., 2018)","plainTextFormattedCitation":"(Sharma et al., 2018)","previouslyFormattedCitation":"(Sharma et al., 2018)"},"properties":{"noteIndex":0},"schema":"https://github.com/citation-style-language/schema/raw/master/csl-citation.json"}</w:instrText>
      </w:r>
      <w:r w:rsidRPr="001544A3">
        <w:rPr>
          <w:rFonts w:ascii="Cambria" w:eastAsia="Calibri" w:hAnsi="Cambria" w:cs="Times New Roman"/>
        </w:rPr>
        <w:fldChar w:fldCharType="separate"/>
      </w:r>
      <w:r w:rsidRPr="001544A3">
        <w:rPr>
          <w:rFonts w:ascii="Cambria" w:eastAsia="Calibri" w:hAnsi="Cambria" w:cs="Times New Roman"/>
          <w:noProof/>
        </w:rPr>
        <w:t>(Sharma et al., 2018)</w:t>
      </w:r>
      <w:r w:rsidRPr="001544A3">
        <w:rPr>
          <w:rFonts w:ascii="Cambria" w:eastAsia="Calibri" w:hAnsi="Cambria" w:cs="Times New Roman"/>
        </w:rPr>
        <w:fldChar w:fldCharType="end"/>
      </w:r>
      <w:r w:rsidRPr="001544A3">
        <w:rPr>
          <w:rFonts w:ascii="Cambria" w:eastAsia="Calibri" w:hAnsi="Cambria" w:cs="Times New Roman"/>
        </w:rPr>
        <w:t>. Seedlings will be counted, and seedbank samples across treatments will be analyzed.</w:t>
      </w:r>
    </w:p>
    <w:p w14:paraId="48B41076" w14:textId="77777777" w:rsidR="0051638B" w:rsidRPr="001544A3" w:rsidRDefault="0051638B" w:rsidP="0051638B">
      <w:pPr>
        <w:spacing w:before="100" w:after="100" w:line="240" w:lineRule="auto"/>
        <w:ind w:firstLine="720"/>
        <w:rPr>
          <w:rFonts w:ascii="Cambria" w:eastAsia="Calibri" w:hAnsi="Cambria" w:cs="Calibri"/>
          <w:color w:val="000000"/>
        </w:rPr>
      </w:pPr>
      <w:r w:rsidRPr="001544A3">
        <w:rPr>
          <w:rFonts w:ascii="Cambria" w:eastAsia="Calibri" w:hAnsi="Cambria" w:cs="Calibri"/>
          <w:color w:val="000000"/>
        </w:rPr>
        <w:t>All multivariate analysis is done using R studio version 3.6.1. To test the hypothesis(s), permutational multivariate analysis of variance (PERMANOVA) will be used with the ‘</w:t>
      </w:r>
      <w:proofErr w:type="spellStart"/>
      <w:r w:rsidRPr="001544A3">
        <w:rPr>
          <w:rFonts w:ascii="Cambria" w:eastAsia="Calibri" w:hAnsi="Cambria" w:cs="Calibri"/>
          <w:color w:val="000000"/>
        </w:rPr>
        <w:t>adonis</w:t>
      </w:r>
      <w:proofErr w:type="spellEnd"/>
      <w:r w:rsidRPr="001544A3">
        <w:rPr>
          <w:rFonts w:ascii="Cambria" w:eastAsia="Calibri" w:hAnsi="Cambria" w:cs="Calibri"/>
          <w:color w:val="000000"/>
        </w:rPr>
        <w:t>’ function in the package vegan. Non-metric multidimensional scaling (NMDS) will be used to visually compare treatments via the ‘</w:t>
      </w:r>
      <w:proofErr w:type="spellStart"/>
      <w:r w:rsidRPr="001544A3">
        <w:rPr>
          <w:rFonts w:ascii="Cambria" w:eastAsia="Calibri" w:hAnsi="Cambria" w:cs="Calibri"/>
          <w:color w:val="000000"/>
        </w:rPr>
        <w:t>metamds</w:t>
      </w:r>
      <w:proofErr w:type="spellEnd"/>
      <w:r w:rsidRPr="001544A3">
        <w:rPr>
          <w:rFonts w:ascii="Cambria" w:eastAsia="Calibri" w:hAnsi="Cambria" w:cs="Calibri"/>
          <w:color w:val="000000"/>
        </w:rPr>
        <w:t>’ function of the vegan package. Differences will be quantified using Bray-</w:t>
      </w:r>
      <w:proofErr w:type="gramStart"/>
      <w:r w:rsidRPr="001544A3">
        <w:rPr>
          <w:rFonts w:ascii="Cambria" w:eastAsia="Calibri" w:hAnsi="Cambria" w:cs="Calibri"/>
          <w:color w:val="000000"/>
        </w:rPr>
        <w:t>Curtis</w:t>
      </w:r>
      <w:proofErr w:type="gramEnd"/>
      <w:r w:rsidRPr="001544A3">
        <w:rPr>
          <w:rFonts w:ascii="Cambria" w:eastAsia="Calibri" w:hAnsi="Cambria" w:cs="Calibri"/>
          <w:color w:val="000000"/>
        </w:rPr>
        <w:t xml:space="preserve"> dissimilarities using the </w:t>
      </w:r>
      <w:proofErr w:type="spellStart"/>
      <w:r w:rsidRPr="001544A3">
        <w:rPr>
          <w:rFonts w:ascii="Cambria" w:eastAsia="Calibri" w:hAnsi="Cambria" w:cs="Calibri"/>
          <w:color w:val="000000"/>
        </w:rPr>
        <w:t>vegdist</w:t>
      </w:r>
      <w:proofErr w:type="spellEnd"/>
      <w:r w:rsidRPr="001544A3">
        <w:rPr>
          <w:rFonts w:ascii="Cambria" w:eastAsia="Calibri" w:hAnsi="Cambria" w:cs="Calibri"/>
          <w:color w:val="000000"/>
        </w:rPr>
        <w:t xml:space="preserve"> function from the package vegan (Myers et al. 2015).  Packages used to perform analysis and graphs in R studio include: ggplot2, reshape2, </w:t>
      </w:r>
      <w:proofErr w:type="spellStart"/>
      <w:r w:rsidRPr="001544A3">
        <w:rPr>
          <w:rFonts w:ascii="Cambria" w:eastAsia="Calibri" w:hAnsi="Cambria" w:cs="Calibri"/>
          <w:color w:val="000000"/>
        </w:rPr>
        <w:t>gridExtra</w:t>
      </w:r>
      <w:proofErr w:type="spellEnd"/>
      <w:r w:rsidRPr="001544A3">
        <w:rPr>
          <w:rFonts w:ascii="Cambria" w:eastAsia="Calibri" w:hAnsi="Cambria" w:cs="Calibri"/>
          <w:color w:val="000000"/>
        </w:rPr>
        <w:t xml:space="preserve">, </w:t>
      </w:r>
      <w:proofErr w:type="spellStart"/>
      <w:r w:rsidRPr="001544A3">
        <w:rPr>
          <w:rFonts w:ascii="Cambria" w:eastAsia="Calibri" w:hAnsi="Cambria" w:cs="Calibri"/>
          <w:color w:val="000000"/>
        </w:rPr>
        <w:t>tidyverse</w:t>
      </w:r>
      <w:proofErr w:type="spellEnd"/>
      <w:r w:rsidRPr="001544A3">
        <w:rPr>
          <w:rFonts w:ascii="Cambria" w:eastAsia="Calibri" w:hAnsi="Cambria" w:cs="Calibri"/>
          <w:color w:val="000000"/>
        </w:rPr>
        <w:t xml:space="preserve">, vegan, grid, and </w:t>
      </w:r>
      <w:proofErr w:type="spellStart"/>
      <w:r w:rsidRPr="001544A3">
        <w:rPr>
          <w:rFonts w:ascii="Cambria" w:eastAsia="Calibri" w:hAnsi="Cambria" w:cs="Calibri"/>
          <w:color w:val="000000"/>
        </w:rPr>
        <w:t>labdsv</w:t>
      </w:r>
      <w:proofErr w:type="spellEnd"/>
      <w:r w:rsidRPr="001544A3">
        <w:rPr>
          <w:rFonts w:ascii="Cambria" w:eastAsia="Calibri" w:hAnsi="Cambria" w:cs="Calibri"/>
          <w:color w:val="000000"/>
        </w:rPr>
        <w:t xml:space="preserve">. </w:t>
      </w:r>
    </w:p>
    <w:p w14:paraId="3EE85CE7" w14:textId="05C039D6" w:rsidR="0051638B" w:rsidRDefault="0051638B" w:rsidP="0051638B">
      <w:pPr>
        <w:pStyle w:val="Default"/>
        <w:spacing w:before="100" w:after="100"/>
        <w:rPr>
          <w:b/>
          <w:bCs/>
          <w:sz w:val="22"/>
          <w:szCs w:val="22"/>
        </w:rPr>
      </w:pPr>
      <w:r w:rsidRPr="00C234B3">
        <w:rPr>
          <w:b/>
          <w:bCs/>
          <w:sz w:val="22"/>
          <w:szCs w:val="22"/>
        </w:rPr>
        <w:t>Results</w:t>
      </w:r>
    </w:p>
    <w:p w14:paraId="3A778CBA" w14:textId="763B6A8E" w:rsidR="00B7161A" w:rsidRDefault="00B7161A" w:rsidP="0051638B">
      <w:pPr>
        <w:pStyle w:val="Default"/>
        <w:spacing w:before="100" w:after="100"/>
        <w:rPr>
          <w:b/>
          <w:bCs/>
          <w:sz w:val="22"/>
          <w:szCs w:val="22"/>
        </w:rPr>
      </w:pPr>
      <w:r>
        <w:rPr>
          <w:b/>
          <w:bCs/>
          <w:sz w:val="22"/>
          <w:szCs w:val="22"/>
        </w:rPr>
        <w:tab/>
      </w:r>
      <w:r>
        <w:rPr>
          <w:b/>
          <w:bCs/>
          <w:sz w:val="22"/>
          <w:szCs w:val="22"/>
        </w:rPr>
        <w:tab/>
      </w:r>
    </w:p>
    <w:p w14:paraId="5CC7C0C7" w14:textId="77777777" w:rsidR="00B7161A" w:rsidRPr="00C234B3" w:rsidRDefault="00B7161A" w:rsidP="0051638B">
      <w:pPr>
        <w:pStyle w:val="Default"/>
        <w:spacing w:before="100" w:after="100"/>
        <w:rPr>
          <w:b/>
          <w:bCs/>
          <w:sz w:val="22"/>
          <w:szCs w:val="22"/>
        </w:rPr>
      </w:pPr>
    </w:p>
    <w:p w14:paraId="7340E22E" w14:textId="77777777" w:rsidR="0051638B" w:rsidRDefault="0051638B" w:rsidP="0051638B">
      <w:pPr>
        <w:pStyle w:val="Default"/>
        <w:numPr>
          <w:ilvl w:val="0"/>
          <w:numId w:val="5"/>
        </w:numPr>
        <w:spacing w:before="100" w:after="100"/>
        <w:rPr>
          <w:sz w:val="22"/>
          <w:szCs w:val="22"/>
        </w:rPr>
      </w:pPr>
      <w:r>
        <w:rPr>
          <w:sz w:val="22"/>
          <w:szCs w:val="22"/>
        </w:rPr>
        <w:t>Forbs will be more dominant in winter till vs late-spring treatments.</w:t>
      </w:r>
    </w:p>
    <w:p w14:paraId="1B31FDDE" w14:textId="77777777" w:rsidR="0051638B" w:rsidRPr="004340B7" w:rsidRDefault="0051638B" w:rsidP="0051638B">
      <w:pPr>
        <w:pStyle w:val="Default"/>
        <w:numPr>
          <w:ilvl w:val="0"/>
          <w:numId w:val="5"/>
        </w:numPr>
        <w:spacing w:before="100" w:after="100"/>
        <w:rPr>
          <w:sz w:val="22"/>
          <w:szCs w:val="22"/>
        </w:rPr>
      </w:pPr>
      <w:r w:rsidRPr="004340B7">
        <w:rPr>
          <w:sz w:val="22"/>
          <w:szCs w:val="22"/>
        </w:rPr>
        <w:t>Grasses and sedges will be more prominent in late-spring vs winter till treatments.</w:t>
      </w:r>
    </w:p>
    <w:p w14:paraId="67E4EA90" w14:textId="77777777" w:rsidR="0051638B" w:rsidRPr="009F3F8B" w:rsidRDefault="0051638B" w:rsidP="0051638B">
      <w:pPr>
        <w:pStyle w:val="Default"/>
        <w:numPr>
          <w:ilvl w:val="0"/>
          <w:numId w:val="2"/>
        </w:numPr>
        <w:spacing w:before="100" w:after="100"/>
        <w:rPr>
          <w:sz w:val="22"/>
          <w:szCs w:val="22"/>
        </w:rPr>
      </w:pPr>
      <w:r w:rsidRPr="009F3F8B">
        <w:rPr>
          <w:sz w:val="22"/>
          <w:szCs w:val="22"/>
        </w:rPr>
        <w:t>Bare ground will be greatest in late-spring till treatments in first year.</w:t>
      </w:r>
    </w:p>
    <w:bookmarkEnd w:id="0"/>
    <w:p w14:paraId="3969067E" w14:textId="77777777" w:rsidR="007F729F" w:rsidRDefault="007F729F"/>
    <w:sectPr w:rsidR="007F72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02E39"/>
    <w:multiLevelType w:val="hybridMultilevel"/>
    <w:tmpl w:val="09402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052BF"/>
    <w:multiLevelType w:val="hybridMultilevel"/>
    <w:tmpl w:val="A000A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AB10E5"/>
    <w:multiLevelType w:val="hybridMultilevel"/>
    <w:tmpl w:val="B096F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F80D1A"/>
    <w:multiLevelType w:val="hybridMultilevel"/>
    <w:tmpl w:val="B5DC4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905E87"/>
    <w:multiLevelType w:val="hybridMultilevel"/>
    <w:tmpl w:val="C7E41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9695813">
    <w:abstractNumId w:val="4"/>
  </w:num>
  <w:num w:numId="2" w16cid:durableId="1517649900">
    <w:abstractNumId w:val="2"/>
  </w:num>
  <w:num w:numId="3" w16cid:durableId="1739018732">
    <w:abstractNumId w:val="1"/>
  </w:num>
  <w:num w:numId="4" w16cid:durableId="585499848">
    <w:abstractNumId w:val="3"/>
  </w:num>
  <w:num w:numId="5" w16cid:durableId="421073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38B"/>
    <w:rsid w:val="0051638B"/>
    <w:rsid w:val="007F729F"/>
    <w:rsid w:val="00AB7815"/>
    <w:rsid w:val="00B7161A"/>
    <w:rsid w:val="00EF6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775E4"/>
  <w15:chartTrackingRefBased/>
  <w15:docId w15:val="{3D914EDA-D9B0-4A33-B635-A735483F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1638B"/>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5163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9999</Words>
  <Characters>57000</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Gage LaPierre</dc:creator>
  <cp:keywords/>
  <dc:description/>
  <cp:lastModifiedBy>Gage LaPierre</cp:lastModifiedBy>
  <cp:revision>2</cp:revision>
  <dcterms:created xsi:type="dcterms:W3CDTF">2022-09-18T06:39:00Z</dcterms:created>
  <dcterms:modified xsi:type="dcterms:W3CDTF">2022-09-18T07:23:00Z</dcterms:modified>
</cp:coreProperties>
</file>