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A09" w:rsidRDefault="008F17D2">
      <w:pPr>
        <w:pStyle w:val="Subttulo"/>
        <w:rPr>
          <w:sz w:val="40"/>
          <w:szCs w:val="40"/>
        </w:rPr>
      </w:pPr>
      <w:bookmarkStart w:id="0" w:name="_h9mygdccbaw" w:colFirst="0" w:colLast="0"/>
      <w:bookmarkEnd w:id="0"/>
      <w:r>
        <w:rPr>
          <w:sz w:val="40"/>
          <w:szCs w:val="40"/>
        </w:rPr>
        <w:t xml:space="preserve">Especialización en Back </w:t>
      </w:r>
      <w:proofErr w:type="spellStart"/>
      <w:r>
        <w:rPr>
          <w:sz w:val="40"/>
          <w:szCs w:val="40"/>
        </w:rPr>
        <w:t>End</w:t>
      </w:r>
      <w:proofErr w:type="spellEnd"/>
      <w:r>
        <w:rPr>
          <w:sz w:val="40"/>
          <w:szCs w:val="40"/>
        </w:rPr>
        <w:t xml:space="preserve"> III</w:t>
      </w:r>
    </w:p>
    <w:p w:rsidR="00435A09" w:rsidRDefault="008F17D2">
      <w:pPr>
        <w:pStyle w:val="Ttulo1"/>
      </w:pPr>
      <w:bookmarkStart w:id="1" w:name="_g6ql6jp25pao" w:colFirst="0" w:colLast="0"/>
      <w:bookmarkEnd w:id="1"/>
      <w:r>
        <w:t>Práctica clase 1</w:t>
      </w:r>
      <w:r w:rsidR="000A070D">
        <w:t>3</w:t>
      </w:r>
      <w:bookmarkStart w:id="2" w:name="_GoBack"/>
      <w:bookmarkEnd w:id="2"/>
    </w:p>
    <w:p w:rsidR="00435A09" w:rsidRDefault="008F17D2">
      <w:pPr>
        <w:pStyle w:val="Ttulo5"/>
        <w:numPr>
          <w:ilvl w:val="0"/>
          <w:numId w:val="1"/>
        </w:numPr>
      </w:pPr>
      <w:bookmarkStart w:id="3" w:name="_ujf915vf5x85" w:colFirst="0" w:colLast="0"/>
      <w:bookmarkEnd w:id="3"/>
      <w:r>
        <w:t>Ejercitación grupal</w:t>
      </w:r>
    </w:p>
    <w:p w:rsidR="00435A09" w:rsidRDefault="008F17D2">
      <w:pPr>
        <w:pStyle w:val="Ttulo5"/>
        <w:numPr>
          <w:ilvl w:val="0"/>
          <w:numId w:val="1"/>
        </w:numPr>
      </w:pPr>
      <w:bookmarkStart w:id="4" w:name="_kzmt6xyqna9r" w:colFirst="0" w:colLast="0"/>
      <w:bookmarkEnd w:id="4"/>
      <w:r>
        <w:t xml:space="preserve">Nivel de complejidad: medio </w:t>
      </w:r>
      <w:r>
        <w:t>🔥🔥</w:t>
      </w:r>
    </w:p>
    <w:p w:rsidR="00435A09" w:rsidRDefault="008F17D2">
      <w:pPr>
        <w:pStyle w:val="Ttulo1"/>
        <w:spacing w:before="360"/>
        <w:ind w:left="-14" w:right="196"/>
        <w:jc w:val="both"/>
        <w:rPr>
          <w:rFonts w:ascii="Proxima Nova Extrabold" w:eastAsia="Proxima Nova Extrabold" w:hAnsi="Proxima Nova Extrabold" w:cs="Proxima Nova Extrabold"/>
          <w:b w:val="0"/>
          <w:color w:val="434343"/>
          <w:sz w:val="32"/>
          <w:szCs w:val="32"/>
          <w:highlight w:val="white"/>
        </w:rPr>
      </w:pPr>
      <w:bookmarkStart w:id="5" w:name="_eofrrpiyyqp2" w:colFirst="0" w:colLast="0"/>
      <w:bookmarkEnd w:id="5"/>
      <w:r>
        <w:rPr>
          <w:rFonts w:ascii="Montserrat SemiBold" w:eastAsia="Montserrat SemiBold" w:hAnsi="Montserrat SemiBold" w:cs="Montserrat SemiBold"/>
          <w:b w:val="0"/>
          <w:sz w:val="40"/>
          <w:szCs w:val="40"/>
        </w:rPr>
        <w:t>Problema</w:t>
      </w:r>
    </w:p>
    <w:p w:rsidR="00435A09" w:rsidRDefault="008F17D2">
      <w:pPr>
        <w:ind w:left="-14" w:right="196"/>
        <w:rPr>
          <w:rFonts w:ascii="Archivo" w:eastAsia="Archivo" w:hAnsi="Archivo" w:cs="Archivo"/>
          <w:color w:val="434343"/>
          <w:sz w:val="21"/>
          <w:szCs w:val="21"/>
        </w:rPr>
      </w:pPr>
      <w:r>
        <w:t xml:space="preserve">Un supermercado necesita un sistema para gestionar los productos frescos que tienen publicados en su página web. Para poder hacer esto, necesitan un </w:t>
      </w:r>
      <w:r>
        <w:rPr>
          <w:rFonts w:ascii="Archivo" w:eastAsia="Archivo" w:hAnsi="Archivo" w:cs="Archivo"/>
          <w:b/>
        </w:rPr>
        <w:t xml:space="preserve">servidor </w:t>
      </w:r>
      <w:r>
        <w:t>que ejecute una API que les permita manipular los productos cargados de distintos clientes. Los ca</w:t>
      </w:r>
      <w:r>
        <w:t>mpos que conforman un producto son:</w:t>
      </w:r>
    </w:p>
    <w:tbl>
      <w:tblPr>
        <w:tblStyle w:val="a"/>
        <w:tblW w:w="913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0"/>
        <w:gridCol w:w="1545"/>
        <w:gridCol w:w="4620"/>
      </w:tblGrid>
      <w:tr w:rsidR="00435A09">
        <w:trPr>
          <w:trHeight w:val="562"/>
        </w:trPr>
        <w:tc>
          <w:tcPr>
            <w:tcW w:w="156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>Nombre</w:t>
            </w:r>
          </w:p>
        </w:tc>
        <w:tc>
          <w:tcPr>
            <w:tcW w:w="141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>Tipo de dato</w:t>
            </w:r>
          </w:p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434343"/>
                <w:sz w:val="20"/>
                <w:szCs w:val="20"/>
              </w:rPr>
              <w:t>JSON</w:t>
            </w:r>
          </w:p>
        </w:tc>
        <w:tc>
          <w:tcPr>
            <w:tcW w:w="15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>Tipo de dato</w:t>
            </w:r>
          </w:p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b/>
                <w:color w:val="434343"/>
                <w:sz w:val="20"/>
                <w:szCs w:val="20"/>
              </w:rPr>
              <w:t>Go</w:t>
            </w:r>
            <w:proofErr w:type="spellEnd"/>
          </w:p>
        </w:tc>
        <w:tc>
          <w:tcPr>
            <w:tcW w:w="46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>Descripción | Ejemplo</w:t>
            </w:r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id</w:t>
            </w:r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Identificador en conjunto de datos |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15</w:t>
            </w:r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Nombre caracterizado | 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Cheese</w:t>
            </w:r>
            <w:proofErr w:type="spellEnd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 xml:space="preserve"> - St. </w:t>
            </w: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Andre</w:t>
            </w:r>
            <w:proofErr w:type="spellEnd"/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Cantidad almacenada |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60</w:t>
            </w:r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code_value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Código alfanumérico característico |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S73191A</w:t>
            </w:r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is_published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El producto se encuentra publicado o no </w:t>
            </w:r>
            <w:proofErr w:type="gramStart"/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| 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True</w:t>
            </w:r>
            <w:proofErr w:type="gramEnd"/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expiration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Fecha de vencimiento |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12/04/2022</w:t>
            </w:r>
          </w:p>
        </w:tc>
      </w:tr>
      <w:tr w:rsidR="00435A09"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4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5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float64</w:t>
            </w:r>
          </w:p>
        </w:tc>
        <w:tc>
          <w:tcPr>
            <w:tcW w:w="4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434343"/>
                <w:sz w:val="20"/>
                <w:szCs w:val="20"/>
              </w:rPr>
              <w:t xml:space="preserve">Precio del producto | </w:t>
            </w: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50.15</w:t>
            </w:r>
          </w:p>
        </w:tc>
      </w:tr>
    </w:tbl>
    <w:p w:rsidR="00435A09" w:rsidRDefault="00435A09">
      <w:pPr>
        <w:spacing w:after="0" w:line="276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2"/>
          <w:szCs w:val="22"/>
        </w:rPr>
      </w:pPr>
    </w:p>
    <w:p w:rsidR="00435A09" w:rsidRDefault="00435A09">
      <w:pPr>
        <w:spacing w:after="0" w:line="276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2"/>
          <w:szCs w:val="22"/>
        </w:rPr>
      </w:pPr>
    </w:p>
    <w:p w:rsidR="00435A09" w:rsidRDefault="00435A09">
      <w:pPr>
        <w:spacing w:after="0" w:line="276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2"/>
          <w:szCs w:val="22"/>
        </w:rPr>
      </w:pPr>
    </w:p>
    <w:p w:rsidR="00435A09" w:rsidRDefault="00435A09"/>
    <w:tbl>
      <w:tblPr>
        <w:tblStyle w:val="a0"/>
        <w:tblW w:w="87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384"/>
      </w:tblGrid>
      <w:tr w:rsidR="00435A09">
        <w:trPr>
          <w:trHeight w:val="261"/>
        </w:trPr>
        <w:tc>
          <w:tcPr>
            <w:tcW w:w="1410" w:type="dxa"/>
            <w:vMerge w:val="restart"/>
            <w:tcBorders>
              <w:top w:val="single" w:sz="8" w:space="0" w:color="8A6DF1"/>
              <w:left w:val="single" w:sz="8" w:space="0" w:color="8A6DF1"/>
              <w:bottom w:val="single" w:sz="8" w:space="0" w:color="FF7059"/>
              <w:right w:val="single" w:sz="8" w:space="0" w:color="8A6DF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551588" cy="551588"/>
                      <wp:effectExtent l="0" t="0" r="0" b="0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1588" cy="551588"/>
                                <a:chOff x="2617350" y="1271300"/>
                                <a:chExt cx="1157550" cy="1157575"/>
                              </a:xfrm>
                            </wpg:grpSpPr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2617310" y="1271315"/>
                                  <a:ext cx="1157583" cy="1157583"/>
                                  <a:chOff x="4027869" y="3252464"/>
                                  <a:chExt cx="1466409" cy="1466409"/>
                                </a:xfrm>
                              </wpg:grpSpPr>
                              <wps:wsp>
                                <wps:cNvPr id="3" name="Forma libre: forma 3"/>
                                <wps:cNvSpPr/>
                                <wps:spPr>
                                  <a:xfrm>
                                    <a:off x="4027869" y="3252464"/>
                                    <a:ext cx="1466409" cy="146640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7819" h="27819" extrusionOk="0">
                                        <a:moveTo>
                                          <a:pt x="13901" y="0"/>
                                        </a:moveTo>
                                        <a:lnTo>
                                          <a:pt x="1" y="27818"/>
                                        </a:lnTo>
                                        <a:lnTo>
                                          <a:pt x="27819" y="27818"/>
                                        </a:lnTo>
                                        <a:lnTo>
                                          <a:pt x="1390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6DF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35A09" w:rsidRDefault="00435A0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orma libre: forma 4"/>
                                <wps:cNvSpPr/>
                                <wps:spPr>
                                  <a:xfrm>
                                    <a:off x="4682400" y="4343297"/>
                                    <a:ext cx="156503" cy="15650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969" h="2969" extrusionOk="0">
                                        <a:moveTo>
                                          <a:pt x="1484" y="1"/>
                                        </a:moveTo>
                                        <a:cubicBezTo>
                                          <a:pt x="676" y="1"/>
                                          <a:pt x="0" y="677"/>
                                          <a:pt x="0" y="1485"/>
                                        </a:cubicBezTo>
                                        <a:cubicBezTo>
                                          <a:pt x="0" y="2309"/>
                                          <a:pt x="676" y="2969"/>
                                          <a:pt x="1484" y="2969"/>
                                        </a:cubicBezTo>
                                        <a:cubicBezTo>
                                          <a:pt x="2309" y="2969"/>
                                          <a:pt x="2968" y="2309"/>
                                          <a:pt x="2968" y="1485"/>
                                        </a:cubicBezTo>
                                        <a:cubicBezTo>
                                          <a:pt x="2968" y="677"/>
                                          <a:pt x="2309" y="1"/>
                                          <a:pt x="1484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435A09" w:rsidRDefault="00435A0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Forma libre: forma 5"/>
                                <wps:cNvSpPr/>
                                <wps:spPr>
                                  <a:xfrm>
                                    <a:off x="4760625" y="3697463"/>
                                    <a:ext cx="53" cy="55290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" h="10489" fill="none" extrusionOk="0">
                                        <a:moveTo>
                                          <a:pt x="0" y="10488"/>
                                        </a:moveTo>
                                        <a:lnTo>
                                          <a:pt x="0" y="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96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16489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435A09" w:rsidRDefault="00435A0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51588" cy="551588"/>
                      <wp:effectExtent b="0" l="0" r="0" t="0"/>
                      <wp:docPr id="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1588" cy="5515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7384" w:type="dxa"/>
            <w:vMerge w:val="restart"/>
            <w:tcBorders>
              <w:top w:val="single" w:sz="8" w:space="0" w:color="8A6DF1"/>
              <w:left w:val="single" w:sz="8" w:space="0" w:color="8A6DF1"/>
              <w:bottom w:val="single" w:sz="8" w:space="0" w:color="FF7059"/>
              <w:right w:val="single" w:sz="8" w:space="0" w:color="8A6DF1"/>
            </w:tcBorders>
            <w:shd w:val="clear" w:color="auto" w:fill="8A6D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8F17D2">
            <w:pPr>
              <w:widowControl w:val="0"/>
              <w:spacing w:before="400" w:after="0" w:line="240" w:lineRule="auto"/>
            </w:pPr>
            <w:r>
              <w:rPr>
                <w:rFonts w:ascii="Archivo" w:eastAsia="Archivo" w:hAnsi="Archivo" w:cs="Archivo"/>
                <w:b/>
              </w:rPr>
              <w:t>IMPORTANTE</w:t>
            </w:r>
          </w:p>
        </w:tc>
      </w:tr>
      <w:tr w:rsidR="00435A09">
        <w:trPr>
          <w:trHeight w:val="720"/>
        </w:trPr>
        <w:tc>
          <w:tcPr>
            <w:tcW w:w="1410" w:type="dxa"/>
            <w:vMerge/>
            <w:tcBorders>
              <w:top w:val="single" w:sz="8" w:space="0" w:color="FF7059"/>
              <w:left w:val="single" w:sz="8" w:space="0" w:color="8A6DF1"/>
              <w:bottom w:val="single" w:sz="8" w:space="0" w:color="8A6DF1"/>
              <w:right w:val="single" w:sz="8" w:space="0" w:color="8A6DF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435A09">
            <w:pPr>
              <w:widowControl w:val="0"/>
              <w:spacing w:after="0" w:line="240" w:lineRule="auto"/>
            </w:pPr>
          </w:p>
        </w:tc>
        <w:tc>
          <w:tcPr>
            <w:tcW w:w="7384" w:type="dxa"/>
            <w:vMerge/>
            <w:tcBorders>
              <w:top w:val="single" w:sz="8" w:space="0" w:color="FF7059"/>
              <w:left w:val="single" w:sz="8" w:space="0" w:color="8A6DF1"/>
              <w:bottom w:val="single" w:sz="8" w:space="0" w:color="8A6DF1"/>
              <w:right w:val="single" w:sz="8" w:space="0" w:color="8A6DF1"/>
            </w:tcBorders>
            <w:shd w:val="clear" w:color="auto" w:fill="8A6D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09" w:rsidRDefault="00435A09">
            <w:pPr>
              <w:widowControl w:val="0"/>
              <w:spacing w:after="0" w:line="240" w:lineRule="auto"/>
            </w:pPr>
          </w:p>
        </w:tc>
      </w:tr>
      <w:tr w:rsidR="00435A09">
        <w:trPr>
          <w:trHeight w:val="1455"/>
        </w:trPr>
        <w:tc>
          <w:tcPr>
            <w:tcW w:w="8794" w:type="dxa"/>
            <w:gridSpan w:val="2"/>
            <w:tcBorders>
              <w:top w:val="single" w:sz="8" w:space="0" w:color="8A6DF1"/>
              <w:left w:val="single" w:sz="8" w:space="0" w:color="8A6DF1"/>
              <w:bottom w:val="single" w:sz="8" w:space="0" w:color="8A6DF1"/>
              <w:right w:val="single" w:sz="8" w:space="0" w:color="FF7059"/>
            </w:tcBorders>
            <w:shd w:val="clear" w:color="auto" w:fill="auto"/>
            <w:tcMar>
              <w:top w:w="496" w:type="dxa"/>
              <w:left w:w="496" w:type="dxa"/>
              <w:bottom w:w="496" w:type="dxa"/>
              <w:right w:w="496" w:type="dxa"/>
            </w:tcMar>
          </w:tcPr>
          <w:p w:rsidR="00435A09" w:rsidRDefault="008F17D2">
            <w:pPr>
              <w:widowControl w:val="0"/>
              <w:spacing w:after="0" w:line="276" w:lineRule="auto"/>
              <w:rPr>
                <w:shd w:val="clear" w:color="auto" w:fill="8A6DF1"/>
              </w:rPr>
            </w:pPr>
            <w:r>
              <w:t xml:space="preserve">En el siguiente </w:t>
            </w:r>
            <w:hyperlink r:id="rId8">
              <w:r>
                <w:rPr>
                  <w:color w:val="8A6DF1"/>
                  <w:u w:val="single"/>
                </w:rPr>
                <w:t>enlace</w:t>
              </w:r>
            </w:hyperlink>
            <w:r>
              <w:t>, te dejamos la solución del ejercicio anterior para que puedas continuar si no lograste terminarlo.</w:t>
            </w:r>
          </w:p>
        </w:tc>
      </w:tr>
    </w:tbl>
    <w:p w:rsidR="00435A09" w:rsidRDefault="00435A09">
      <w:pPr>
        <w:spacing w:after="0" w:line="276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2"/>
          <w:szCs w:val="22"/>
        </w:rPr>
      </w:pPr>
    </w:p>
    <w:p w:rsidR="00435A09" w:rsidRDefault="008F17D2">
      <w:pPr>
        <w:pStyle w:val="Ttulo1"/>
        <w:keepNext w:val="0"/>
        <w:keepLines w:val="0"/>
        <w:widowControl w:val="0"/>
        <w:spacing w:before="0" w:after="80"/>
        <w:ind w:left="-14" w:right="196"/>
        <w:jc w:val="both"/>
        <w:rPr>
          <w:rFonts w:ascii="Proxima Nova Extrabold" w:eastAsia="Proxima Nova Extrabold" w:hAnsi="Proxima Nova Extrabold" w:cs="Proxima Nova Extrabold"/>
          <w:b w:val="0"/>
          <w:color w:val="434343"/>
          <w:sz w:val="32"/>
          <w:szCs w:val="32"/>
          <w:highlight w:val="white"/>
        </w:rPr>
      </w:pPr>
      <w:bookmarkStart w:id="6" w:name="_eywik4432c2v" w:colFirst="0" w:colLast="0"/>
      <w:bookmarkEnd w:id="6"/>
      <w:r>
        <w:rPr>
          <w:rFonts w:ascii="Montserrat SemiBold" w:eastAsia="Montserrat SemiBold" w:hAnsi="Montserrat SemiBold" w:cs="Montserrat SemiBold"/>
          <w:b w:val="0"/>
          <w:color w:val="333333"/>
          <w:sz w:val="34"/>
          <w:szCs w:val="34"/>
        </w:rPr>
        <w:t>Ejercicio: Middleware - Response</w:t>
      </w:r>
    </w:p>
    <w:p w:rsidR="00435A09" w:rsidRDefault="008F17D2">
      <w:pPr>
        <w:ind w:left="-14" w:right="196"/>
        <w:rPr>
          <w:rFonts w:ascii="Archivo" w:eastAsia="Archivo" w:hAnsi="Archivo" w:cs="Archivo"/>
          <w:color w:val="434343"/>
          <w:sz w:val="21"/>
          <w:szCs w:val="21"/>
        </w:rPr>
      </w:pPr>
      <w:r>
        <w:t xml:space="preserve">De igual manera que implementamos un middleware para los </w:t>
      </w:r>
      <w:proofErr w:type="spellStart"/>
      <w:r>
        <w:rPr>
          <w:rFonts w:ascii="Archivo" w:eastAsia="Archivo" w:hAnsi="Archivo" w:cs="Archivo"/>
          <w:b/>
        </w:rPr>
        <w:t>request</w:t>
      </w:r>
      <w:proofErr w:type="spellEnd"/>
      <w:r>
        <w:t xml:space="preserve">, vamos a implementar uno para los </w:t>
      </w:r>
      <w:r>
        <w:rPr>
          <w:rFonts w:ascii="Archivo" w:eastAsia="Archivo" w:hAnsi="Archivo" w:cs="Archivo"/>
          <w:b/>
        </w:rPr>
        <w:t>response</w:t>
      </w:r>
      <w:r>
        <w:t xml:space="preserve">. La función de esta herramienta es llevar un registro de las consultas realizadas, es decir, un </w:t>
      </w:r>
      <w:proofErr w:type="spellStart"/>
      <w:r>
        <w:rPr>
          <w:rFonts w:ascii="Archivo" w:eastAsia="Archivo" w:hAnsi="Archivo" w:cs="Archivo"/>
          <w:b/>
        </w:rPr>
        <w:t>logger</w:t>
      </w:r>
      <w:proofErr w:type="spellEnd"/>
      <w:r>
        <w:t>. El paquete Gin utiliza uno por defecto, nosotros vamos a crear uno propio. Para sacarlo, reemplazamos:</w:t>
      </w:r>
    </w:p>
    <w:p w:rsidR="00435A09" w:rsidRDefault="008F17D2">
      <w:pPr>
        <w:shd w:val="clear" w:color="auto" w:fill="1E1E1E"/>
        <w:spacing w:after="0" w:line="320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2"/>
          <w:szCs w:val="22"/>
        </w:rPr>
      </w:pPr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22"/>
          <w:szCs w:val="22"/>
        </w:rPr>
        <w:t>r</w:t>
      </w:r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 :</w:t>
      </w:r>
      <w:proofErr w:type="gramEnd"/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D4D4D4"/>
          <w:sz w:val="22"/>
          <w:szCs w:val="22"/>
        </w:rPr>
        <w:t>gin.</w:t>
      </w:r>
      <w:r>
        <w:rPr>
          <w:rFonts w:ascii="Courier New" w:eastAsia="Courier New" w:hAnsi="Courier New" w:cs="Courier New"/>
          <w:color w:val="DCDCAA"/>
          <w:sz w:val="22"/>
          <w:szCs w:val="22"/>
        </w:rPr>
        <w:t>Default</w:t>
      </w:r>
      <w:proofErr w:type="spellEnd"/>
      <w:r>
        <w:rPr>
          <w:rFonts w:ascii="Courier New" w:eastAsia="Courier New" w:hAnsi="Courier New" w:cs="Courier New"/>
          <w:color w:val="D4D4D4"/>
          <w:sz w:val="22"/>
          <w:szCs w:val="22"/>
        </w:rPr>
        <w:t>()</w:t>
      </w:r>
    </w:p>
    <w:p w:rsidR="00435A09" w:rsidRDefault="00435A09">
      <w:pPr>
        <w:spacing w:after="0"/>
        <w:ind w:left="-14" w:right="196"/>
        <w:jc w:val="both"/>
      </w:pPr>
    </w:p>
    <w:p w:rsidR="00435A09" w:rsidRDefault="008F17D2">
      <w:pPr>
        <w:ind w:left="-14" w:right="196"/>
        <w:jc w:val="both"/>
        <w:rPr>
          <w:rFonts w:ascii="Proxima Nova" w:eastAsia="Proxima Nova" w:hAnsi="Proxima Nova" w:cs="Proxima Nova"/>
          <w:color w:val="434343"/>
          <w:sz w:val="21"/>
          <w:szCs w:val="21"/>
        </w:rPr>
      </w:pPr>
      <w:r>
        <w:t>Por:</w:t>
      </w:r>
    </w:p>
    <w:p w:rsidR="00435A09" w:rsidRDefault="008F17D2">
      <w:pPr>
        <w:shd w:val="clear" w:color="auto" w:fill="1E1E1E"/>
        <w:spacing w:after="0" w:line="240" w:lineRule="auto"/>
        <w:ind w:left="-14" w:right="196"/>
        <w:jc w:val="both"/>
        <w:rPr>
          <w:rFonts w:ascii="Courier New" w:eastAsia="Courier New" w:hAnsi="Courier New" w:cs="Courier New"/>
          <w:color w:val="D4D4D4"/>
          <w:sz w:val="22"/>
          <w:szCs w:val="22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9CDCFE"/>
          <w:sz w:val="22"/>
          <w:szCs w:val="22"/>
        </w:rPr>
        <w:t>r</w:t>
      </w:r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 :</w:t>
      </w:r>
      <w:proofErr w:type="gramEnd"/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D4D4D4"/>
          <w:sz w:val="22"/>
          <w:szCs w:val="22"/>
        </w:rPr>
        <w:t>gin.</w:t>
      </w:r>
      <w:r>
        <w:rPr>
          <w:rFonts w:ascii="Courier New" w:eastAsia="Courier New" w:hAnsi="Courier New" w:cs="Courier New"/>
          <w:color w:val="DCDCAA"/>
          <w:sz w:val="22"/>
          <w:szCs w:val="22"/>
        </w:rPr>
        <w:t>New</w:t>
      </w:r>
      <w:proofErr w:type="spellEnd"/>
      <w:r>
        <w:rPr>
          <w:rFonts w:ascii="Courier New" w:eastAsia="Courier New" w:hAnsi="Courier New" w:cs="Courier New"/>
          <w:color w:val="D4D4D4"/>
          <w:sz w:val="22"/>
          <w:szCs w:val="22"/>
        </w:rPr>
        <w:t>()</w:t>
      </w:r>
    </w:p>
    <w:p w:rsidR="00435A09" w:rsidRDefault="008F17D2">
      <w:pPr>
        <w:shd w:val="clear" w:color="auto" w:fill="1E1E1E"/>
        <w:spacing w:after="0" w:line="240" w:lineRule="auto"/>
        <w:ind w:left="-14" w:right="196"/>
        <w:jc w:val="both"/>
        <w:rPr>
          <w:rFonts w:ascii="Proxima Nova" w:eastAsia="Proxima Nova" w:hAnsi="Proxima Nova" w:cs="Proxima Nova"/>
          <w:color w:val="434343"/>
          <w:sz w:val="25"/>
          <w:szCs w:val="25"/>
        </w:rPr>
      </w:pPr>
      <w:r>
        <w:rPr>
          <w:rFonts w:ascii="Courier New" w:eastAsia="Courier New" w:hAnsi="Courier New" w:cs="Courier New"/>
          <w:color w:val="D4D4D4"/>
          <w:sz w:val="22"/>
          <w:szCs w:val="22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2"/>
          <w:szCs w:val="22"/>
        </w:rPr>
        <w:t>r.</w:t>
      </w:r>
      <w:r>
        <w:rPr>
          <w:rFonts w:ascii="Courier New" w:eastAsia="Courier New" w:hAnsi="Courier New" w:cs="Courier New"/>
          <w:color w:val="DCDCAA"/>
          <w:sz w:val="22"/>
          <w:szCs w:val="22"/>
        </w:rPr>
        <w:t>Use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2"/>
          <w:szCs w:val="22"/>
        </w:rPr>
        <w:t>gin.</w:t>
      </w:r>
      <w:r>
        <w:rPr>
          <w:rFonts w:ascii="Courier New" w:eastAsia="Courier New" w:hAnsi="Courier New" w:cs="Courier New"/>
          <w:color w:val="DCDCAA"/>
          <w:sz w:val="22"/>
          <w:szCs w:val="22"/>
        </w:rPr>
        <w:t>Recovery</w:t>
      </w:r>
      <w:proofErr w:type="spellEnd"/>
      <w:r>
        <w:rPr>
          <w:rFonts w:ascii="Courier New" w:eastAsia="Courier New" w:hAnsi="Courier New" w:cs="Courier New"/>
          <w:color w:val="D4D4D4"/>
          <w:sz w:val="22"/>
          <w:szCs w:val="22"/>
        </w:rPr>
        <w:t>())</w:t>
      </w:r>
    </w:p>
    <w:p w:rsidR="00435A09" w:rsidRDefault="00435A09">
      <w:pPr>
        <w:spacing w:after="0"/>
        <w:ind w:left="-14" w:right="196"/>
        <w:jc w:val="both"/>
      </w:pPr>
    </w:p>
    <w:p w:rsidR="00435A09" w:rsidRDefault="008F17D2">
      <w:pPr>
        <w:ind w:left="-14" w:right="196"/>
      </w:pPr>
      <w:r>
        <w:t xml:space="preserve">La función </w:t>
      </w:r>
      <w:proofErr w:type="spellStart"/>
      <w:proofErr w:type="gramStart"/>
      <w:r>
        <w:rPr>
          <w:rFonts w:ascii="Archivo" w:eastAsia="Archivo" w:hAnsi="Archivo" w:cs="Archivo"/>
          <w:b/>
        </w:rPr>
        <w:t>gin.New</w:t>
      </w:r>
      <w:proofErr w:type="spellEnd"/>
      <w:proofErr w:type="gramEnd"/>
      <w:r>
        <w:rPr>
          <w:rFonts w:ascii="Archivo" w:eastAsia="Archivo" w:hAnsi="Archivo" w:cs="Archivo"/>
          <w:b/>
        </w:rPr>
        <w:t>()</w:t>
      </w:r>
      <w:r>
        <w:t xml:space="preserve"> retorna un motor sin ningún middleware adicional, luego </w:t>
      </w:r>
      <w:proofErr w:type="spellStart"/>
      <w:r>
        <w:rPr>
          <w:rFonts w:ascii="Archivo" w:eastAsia="Archivo" w:hAnsi="Archivo" w:cs="Archivo"/>
          <w:b/>
        </w:rPr>
        <w:t>r.Use</w:t>
      </w:r>
      <w:proofErr w:type="spellEnd"/>
      <w:r>
        <w:rPr>
          <w:rFonts w:ascii="Archivo" w:eastAsia="Archivo" w:hAnsi="Archivo" w:cs="Archivo"/>
          <w:b/>
        </w:rPr>
        <w:t>(</w:t>
      </w:r>
      <w:proofErr w:type="spellStart"/>
      <w:r>
        <w:rPr>
          <w:rFonts w:ascii="Archivo" w:eastAsia="Archivo" w:hAnsi="Archivo" w:cs="Archivo"/>
          <w:b/>
        </w:rPr>
        <w:t>gin.Recovery</w:t>
      </w:r>
      <w:proofErr w:type="spellEnd"/>
      <w:r>
        <w:rPr>
          <w:rFonts w:ascii="Archivo" w:eastAsia="Archivo" w:hAnsi="Archivo" w:cs="Archivo"/>
          <w:b/>
        </w:rPr>
        <w:t>())</w:t>
      </w:r>
      <w:r>
        <w:t xml:space="preserve">, añade un middleware para recuperar la ejecución del programa en caso de que ocurra un </w:t>
      </w:r>
      <w:proofErr w:type="spellStart"/>
      <w:r>
        <w:rPr>
          <w:rFonts w:ascii="Archivo" w:eastAsia="Archivo" w:hAnsi="Archivo" w:cs="Archivo"/>
          <w:b/>
        </w:rPr>
        <w:t>panic</w:t>
      </w:r>
      <w:proofErr w:type="spellEnd"/>
      <w:r>
        <w:rPr>
          <w:rFonts w:ascii="Archivo" w:eastAsia="Archivo" w:hAnsi="Archivo" w:cs="Archivo"/>
          <w:b/>
        </w:rPr>
        <w:t>()</w:t>
      </w:r>
      <w:r>
        <w:t>. Debe llevar registro de:</w:t>
      </w:r>
    </w:p>
    <w:p w:rsidR="00435A09" w:rsidRDefault="008F17D2">
      <w:pPr>
        <w:numPr>
          <w:ilvl w:val="0"/>
          <w:numId w:val="2"/>
        </w:numPr>
        <w:spacing w:line="276" w:lineRule="auto"/>
        <w:ind w:right="196"/>
        <w:rPr>
          <w:rFonts w:ascii="Proxima Nova" w:eastAsia="Proxima Nova" w:hAnsi="Proxima Nova" w:cs="Proxima Nova"/>
          <w:color w:val="434343"/>
          <w:sz w:val="21"/>
          <w:szCs w:val="21"/>
        </w:rPr>
      </w:pPr>
      <w:r>
        <w:rPr>
          <w:rFonts w:ascii="Archivo" w:eastAsia="Archivo" w:hAnsi="Archivo" w:cs="Archivo"/>
          <w:b/>
        </w:rPr>
        <w:t>Verbo util</w:t>
      </w:r>
      <w:r>
        <w:rPr>
          <w:rFonts w:ascii="Archivo" w:eastAsia="Archivo" w:hAnsi="Archivo" w:cs="Archivo"/>
          <w:b/>
        </w:rPr>
        <w:t>izado</w:t>
      </w:r>
      <w:r>
        <w:t>: GET, POST, PUT, etc.</w:t>
      </w:r>
    </w:p>
    <w:p w:rsidR="00435A09" w:rsidRDefault="008F17D2">
      <w:pPr>
        <w:numPr>
          <w:ilvl w:val="0"/>
          <w:numId w:val="2"/>
        </w:numPr>
        <w:spacing w:line="276" w:lineRule="auto"/>
        <w:ind w:right="196"/>
        <w:rPr>
          <w:rFonts w:ascii="Proxima Nova" w:eastAsia="Proxima Nova" w:hAnsi="Proxima Nova" w:cs="Proxima Nova"/>
          <w:color w:val="434343"/>
          <w:sz w:val="21"/>
          <w:szCs w:val="21"/>
        </w:rPr>
      </w:pPr>
      <w:r>
        <w:rPr>
          <w:rFonts w:ascii="Archivo" w:eastAsia="Archivo" w:hAnsi="Archivo" w:cs="Archivo"/>
          <w:b/>
        </w:rPr>
        <w:t>Fecha y hora</w:t>
      </w:r>
      <w:r>
        <w:t xml:space="preserve">: podemos utilizar el paquete </w:t>
      </w:r>
      <w:hyperlink r:id="rId9" w:anchor="Now">
        <w:r>
          <w:rPr>
            <w:color w:val="1155CC"/>
            <w:u w:val="single"/>
          </w:rPr>
          <w:t>time</w:t>
        </w:r>
      </w:hyperlink>
      <w:r>
        <w:t>.</w:t>
      </w:r>
    </w:p>
    <w:p w:rsidR="00435A09" w:rsidRDefault="008F17D2">
      <w:pPr>
        <w:numPr>
          <w:ilvl w:val="0"/>
          <w:numId w:val="2"/>
        </w:numPr>
        <w:spacing w:line="276" w:lineRule="auto"/>
        <w:ind w:right="196"/>
        <w:rPr>
          <w:rFonts w:ascii="Proxima Nova" w:eastAsia="Proxima Nova" w:hAnsi="Proxima Nova" w:cs="Proxima Nova"/>
          <w:b/>
          <w:color w:val="434343"/>
          <w:sz w:val="21"/>
          <w:szCs w:val="21"/>
        </w:rPr>
      </w:pPr>
      <w:r>
        <w:rPr>
          <w:rFonts w:ascii="Archivo" w:eastAsia="Archivo" w:hAnsi="Archivo" w:cs="Archivo"/>
          <w:b/>
        </w:rPr>
        <w:t>URL de la consulta</w:t>
      </w:r>
      <w:r>
        <w:t>: localhost:8080/</w:t>
      </w:r>
      <w:proofErr w:type="spellStart"/>
      <w:r>
        <w:t>products</w:t>
      </w:r>
      <w:proofErr w:type="spellEnd"/>
    </w:p>
    <w:p w:rsidR="00435A09" w:rsidRDefault="008F17D2">
      <w:pPr>
        <w:numPr>
          <w:ilvl w:val="0"/>
          <w:numId w:val="2"/>
        </w:numPr>
        <w:spacing w:line="276" w:lineRule="auto"/>
        <w:ind w:right="196"/>
        <w:rPr>
          <w:rFonts w:ascii="Proxima Nova" w:eastAsia="Proxima Nova" w:hAnsi="Proxima Nova" w:cs="Proxima Nova"/>
          <w:b/>
          <w:color w:val="434343"/>
          <w:sz w:val="21"/>
          <w:szCs w:val="21"/>
        </w:rPr>
      </w:pPr>
      <w:r>
        <w:rPr>
          <w:rFonts w:ascii="Archivo" w:eastAsia="Archivo" w:hAnsi="Archivo" w:cs="Archivo"/>
          <w:b/>
        </w:rPr>
        <w:t>Tamaño en bytes</w:t>
      </w:r>
      <w:r>
        <w:t>: tamaño de la consulta.</w:t>
      </w:r>
    </w:p>
    <w:p w:rsidR="00435A09" w:rsidRDefault="008F17D2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page">
                  <wp:posOffset>5338800</wp:posOffset>
                </wp:positionH>
                <wp:positionV relativeFrom="page">
                  <wp:posOffset>10598400</wp:posOffset>
                </wp:positionV>
                <wp:extent cx="3476625" cy="82496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775" y="403225"/>
                          <a:ext cx="2793000" cy="49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5A09" w:rsidRDefault="00435A0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5338800</wp:posOffset>
                </wp:positionH>
                <wp:positionV relativeFrom="page">
                  <wp:posOffset>10598400</wp:posOffset>
                </wp:positionV>
                <wp:extent cx="3476625" cy="82496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824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35A09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133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7D2" w:rsidRDefault="008F17D2">
      <w:pPr>
        <w:spacing w:after="0" w:line="240" w:lineRule="auto"/>
      </w:pPr>
      <w:r>
        <w:separator/>
      </w:r>
    </w:p>
  </w:endnote>
  <w:endnote w:type="continuationSeparator" w:id="0">
    <w:p w:rsidR="008F17D2" w:rsidRDefault="008F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charset w:val="00"/>
    <w:family w:val="auto"/>
    <w:pitch w:val="default"/>
  </w:font>
  <w:font w:name="Montserrat">
    <w:charset w:val="00"/>
    <w:family w:val="auto"/>
    <w:pitch w:val="default"/>
  </w:font>
  <w:font w:name="Montserrat SemiBold">
    <w:charset w:val="00"/>
    <w:family w:val="auto"/>
    <w:pitch w:val="default"/>
  </w:font>
  <w:font w:name="Rubik Medium">
    <w:charset w:val="00"/>
    <w:family w:val="auto"/>
    <w:pitch w:val="default"/>
  </w:font>
  <w:font w:name="Proxima Nova Extrabold">
    <w:charset w:val="00"/>
    <w:family w:val="auto"/>
    <w:pitch w:val="default"/>
  </w:font>
  <w:font w:name="Archivo">
    <w:charset w:val="00"/>
    <w:family w:val="auto"/>
    <w:pitch w:val="default"/>
  </w:font>
  <w:font w:name="Proxima Nov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09" w:rsidRDefault="008F17D2">
    <w:pPr>
      <w:spacing w:line="276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 w:rsidR="000A070D"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0A070D">
      <w:rPr>
        <w:rFonts w:ascii="Montserrat Medium" w:eastAsia="Montserrat Medium" w:hAnsi="Montserrat Medium" w:cs="Montserrat Medium"/>
        <w:noProof/>
        <w:sz w:val="22"/>
        <w:szCs w:val="22"/>
      </w:rPr>
      <w:t>2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108001</wp:posOffset>
          </wp:positionV>
          <wp:extent cx="297322" cy="1905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54" b="254"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5A09" w:rsidRDefault="00435A09">
    <w:pPr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09" w:rsidRDefault="008F17D2">
    <w:pPr>
      <w:spacing w:line="360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 w:rsidR="000A070D"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0A070D">
      <w:rPr>
        <w:rFonts w:ascii="Montserrat Medium" w:eastAsia="Montserrat Medium" w:hAnsi="Montserrat Medium" w:cs="Montserrat Medium"/>
        <w:noProof/>
        <w:sz w:val="22"/>
        <w:szCs w:val="22"/>
      </w:rPr>
      <w:t>1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w:drawing>
        <wp:anchor distT="114300" distB="114300" distL="114300" distR="114300" simplePos="0" relativeHeight="251662336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66676</wp:posOffset>
          </wp:positionV>
          <wp:extent cx="297322" cy="190500"/>
          <wp:effectExtent l="0" t="0" r="0" b="0"/>
          <wp:wrapNone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322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5A09" w:rsidRDefault="00435A09">
    <w:pPr>
      <w:spacing w:line="360" w:lineRule="auto"/>
      <w:ind w:left="-1133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7D2" w:rsidRDefault="008F17D2">
      <w:pPr>
        <w:spacing w:after="0" w:line="240" w:lineRule="auto"/>
      </w:pPr>
      <w:r>
        <w:separator/>
      </w:r>
    </w:p>
  </w:footnote>
  <w:footnote w:type="continuationSeparator" w:id="0">
    <w:p w:rsidR="008F17D2" w:rsidRDefault="008F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09" w:rsidRDefault="00435A09"/>
  <w:p w:rsidR="00435A09" w:rsidRDefault="008F17D2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190500</wp:posOffset>
          </wp:positionV>
          <wp:extent cx="732095" cy="71913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2095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5A09" w:rsidRDefault="00435A09"/>
  <w:p w:rsidR="00435A09" w:rsidRDefault="00435A09">
    <w:pPr>
      <w:ind w:left="-1133"/>
      <w:jc w:val="right"/>
    </w:pPr>
  </w:p>
  <w:p w:rsidR="00435A09" w:rsidRDefault="00435A09">
    <w:pPr>
      <w:ind w:left="-113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A09" w:rsidRDefault="008F17D2">
    <w:pPr>
      <w:jc w:val="cen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page">
            <wp:posOffset>5338763</wp:posOffset>
          </wp:positionH>
          <wp:positionV relativeFrom="page">
            <wp:posOffset>-28574</wp:posOffset>
          </wp:positionV>
          <wp:extent cx="2705963" cy="1336810"/>
          <wp:effectExtent l="0" t="0" r="0" b="0"/>
          <wp:wrapNone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963" cy="1336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5A09" w:rsidRDefault="008F17D2">
    <w:pP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409575</wp:posOffset>
          </wp:positionV>
          <wp:extent cx="2809013" cy="965462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t="219" b="219"/>
                  <a:stretch>
                    <a:fillRect/>
                  </a:stretch>
                </pic:blipFill>
                <pic:spPr>
                  <a:xfrm>
                    <a:off x="0" y="0"/>
                    <a:ext cx="2809013" cy="965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5A09" w:rsidRDefault="00435A09">
    <w:pPr>
      <w:jc w:val="right"/>
    </w:pPr>
  </w:p>
  <w:p w:rsidR="00435A09" w:rsidRDefault="00435A09"/>
  <w:p w:rsidR="00435A09" w:rsidRDefault="00435A09"/>
  <w:p w:rsidR="00435A09" w:rsidRDefault="00435A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852C9"/>
    <w:multiLevelType w:val="multilevel"/>
    <w:tmpl w:val="49AA6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3F7A1D"/>
    <w:multiLevelType w:val="multilevel"/>
    <w:tmpl w:val="10701F84"/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09"/>
    <w:rsid w:val="000A070D"/>
    <w:rsid w:val="00435A09"/>
    <w:rsid w:val="008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6E17"/>
  <w15:docId w15:val="{4AC6F5CA-27C6-4D30-9D52-6369248E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chivo Light" w:eastAsia="Archivo Light" w:hAnsi="Archivo Light" w:cs="Archivo Light"/>
        <w:sz w:val="24"/>
        <w:szCs w:val="24"/>
        <w:lang w:val="es-419" w:eastAsia="es-A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 SemiBold" w:eastAsia="Montserrat SemiBold" w:hAnsi="Montserrat SemiBold" w:cs="Montserrat SemiBold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ubik Medium" w:eastAsia="Rubik Medium" w:hAnsi="Rubik Medium" w:cs="Rubik Medium"/>
      <w:color w:val="333333"/>
      <w:sz w:val="34"/>
      <w:szCs w:val="3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Montserrat" w:eastAsia="Montserrat" w:hAnsi="Montserrat" w:cs="Montserrat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Montserrat" w:eastAsia="Montserrat" w:hAnsi="Montserrat" w:cs="Montserrat"/>
      <w:color w:val="333333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9GrRyr6goeRSfVGfMqnJX0gNZulsW8b/view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kg.go.dev/tim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Martin Lopez</cp:lastModifiedBy>
  <cp:revision>2</cp:revision>
  <dcterms:created xsi:type="dcterms:W3CDTF">2024-03-19T00:32:00Z</dcterms:created>
  <dcterms:modified xsi:type="dcterms:W3CDTF">2024-03-19T00:32:00Z</dcterms:modified>
</cp:coreProperties>
</file>