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4195"/>
      </w:tblGrid>
      <w:tr>
        <w:tc>
          <w:tcPr>
            <w:tcW w:type="dxa" w:w="5216"/>
            <w:tcW w:w="6237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528000" cy="10266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102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  <w:tcW w:w="4195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Teléfono: </w:t>
            </w:r>
            <w:r>
              <w:rPr>
                <w:b w:val="0"/>
                <w:i w:val="0"/>
                <w:color w:val="FFFFFF"/>
                <w:sz w:val="15"/>
              </w:rPr>
              <w:t>+56 9 9897 6861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WhatsApp: </w:t>
            </w:r>
            <w:r>
              <w:rPr>
                <w:b w:val="0"/>
                <w:i w:val="0"/>
                <w:color w:val="FFFFFF"/>
                <w:sz w:val="15"/>
              </w:rPr>
              <w:t>+56 9 7967 9866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Email: </w:t>
            </w:r>
            <w:r>
              <w:rPr>
                <w:b w:val="0"/>
                <w:i w:val="0"/>
                <w:color w:val="FFFFFF"/>
                <w:sz w:val="15"/>
              </w:rPr>
              <w:t>contacto@aispoltec.cl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Web: </w:t>
            </w:r>
            <w:r>
              <w:rPr>
                <w:b w:val="0"/>
                <w:i w:val="0"/>
                <w:color w:val="FFFFFF"/>
                <w:sz w:val="15"/>
              </w:rPr>
              <w:t>www.aispoltec.cl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Dirección: </w:t>
            </w:r>
            <w:r>
              <w:rPr>
                <w:b w:val="0"/>
                <w:i w:val="0"/>
                <w:color w:val="FFFFFF"/>
                <w:sz w:val="15"/>
              </w:rPr>
              <w:t>Gral. del Canto 50, Of. 301, Providencia, RM</w:t>
            </w:r>
          </w:p>
        </w:tc>
      </w:tr>
    </w:tbl>
    <w:p>
      <w:pPr>
        <w:spacing w:before="3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69"/>
        <w:gridCol w:w="4762"/>
      </w:tblGrid>
      <w:tr>
        <w:tc>
          <w:tcPr>
            <w:tcW w:type="dxa" w:w="5216"/>
            <w:tcW w:w="5670" w:type="dxa"/>
            <w:tcMar>
              <w:top w:w="30" w:type="dxa"/>
              <w:bottom w:w="30" w:type="dxa"/>
              <w:left w:w="0" w:type="dxa"/>
              <w:right w:w="60" w:type="dxa"/>
            </w:tcMar>
          </w:tcPr>
          <w:p>
            <w:pPr>
              <w:jc w:val="left"/>
              <w:spacing w:before="0" w:after="0"/>
            </w:pPr>
            <w:r>
              <w:rPr>
                <w:b/>
                <w:i w:val="0"/>
                <w:color w:val="0B2545"/>
                <w:sz w:val="34"/>
              </w:rPr>
              <w:t>COTIZACIÓN</w:t>
            </w:r>
          </w:p>
        </w:tc>
        <w:tc>
          <w:tcPr>
            <w:tcW w:type="dxa" w:w="5216"/>
            <w:tcW w:w="4762" w:type="dxa"/>
            <w:tcMar>
              <w:top w:w="30" w:type="dxa"/>
              <w:bottom w:w="30" w:type="dxa"/>
              <w:left w:w="60" w:type="dxa"/>
              <w:right w:w="0" w:type="dxa"/>
            </w:tcMar>
          </w:tcPr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N° Cotización: </w:t>
            </w:r>
            <w:r>
              <w:rPr>
                <w:b w:val="0"/>
                <w:i w:val="0"/>
                <w:color w:val="1A1A1A"/>
                <w:sz w:val="17"/>
              </w:rPr>
              <w:t>COT-202606-004</w:t>
            </w:r>
          </w:p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Fecha: </w:t>
            </w:r>
            <w:r>
              <w:rPr>
                <w:b w:val="0"/>
                <w:i w:val="0"/>
                <w:color w:val="1A1A1A"/>
                <w:sz w:val="17"/>
              </w:rPr>
              <w:t>17 de junio de 2026</w:t>
            </w:r>
          </w:p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Validez: </w:t>
            </w:r>
            <w:r>
              <w:rPr>
                <w:b w:val="0"/>
                <w:i w:val="0"/>
                <w:color w:val="1A1A1A"/>
                <w:sz w:val="17"/>
              </w:rPr>
              <w:t>30 días desde la fecha de emisión</w:t>
            </w:r>
          </w:p>
        </w:tc>
      </w:tr>
    </w:tbl>
    <w:p>
      <w:pPr>
        <w:spacing w:before="0" w:after="0"/>
        <w:pBdr>
          <w:bottom w:val="single" w:sz="10" w:color="0B2545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9014"/>
      </w:tblGrid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CLIENTE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1A1A"/>
                <w:sz w:val="18"/>
              </w:rPr>
              <w:t>Pamela Donoso</w:t>
            </w:r>
          </w:p>
        </w:tc>
      </w:tr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OBRA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Aislamiento térmico de poliuretano proyectado  ·  300 m²  ·  Espesor 5 cm</w:t>
            </w:r>
          </w:p>
        </w:tc>
      </w:tr>
      <w:tr>
        <w:tc>
          <w:tcPr>
            <w:tcW w:type="dxa" w:w="5216"/>
            <w:tcW w:w="1417" w:type="dxa"/>
            <w:tcMar>
              <w:top w:w="28" w:type="dxa"/>
              <w:bottom w:w="28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DIRECCIÓN</w:t>
            </w:r>
          </w:p>
        </w:tc>
        <w:tc>
          <w:tcPr>
            <w:tcW w:type="dxa" w:w="5216"/>
            <w:tcW w:w="9015" w:type="dxa"/>
            <w:tcMar>
              <w:top w:w="28" w:type="dxa"/>
              <w:bottom w:w="2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Isla de Maipú</w:t>
            </w:r>
          </w:p>
        </w:tc>
      </w:tr>
    </w:tbl>
    <w:p>
      <w:pPr>
        <w:spacing w:before="6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 xml:space="preserve">ESPECIFICACIONES </w:t>
      </w:r>
      <w:r>
        <w:rPr>
          <w:b/>
          <w:i w:val="0"/>
          <w:color w:val="1A569A"/>
          <w:sz w:val="17"/>
        </w:rPr>
        <w:t>TÉCNICAS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1"/>
        <w:gridCol w:w="7880"/>
      </w:tblGrid>
      <w:tr>
        <w:tc>
          <w:tcPr>
            <w:tcW w:type="dxa" w:w="5216"/>
            <w:tcW w:w="2551" w:type="dxa"/>
            <w:shd w:val="clear" w:color="auto" w:fill="F0F4FA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Material</w:t>
            </w:r>
          </w:p>
        </w:tc>
        <w:tc>
          <w:tcPr>
            <w:tcW w:type="dxa" w:w="5216"/>
            <w:tcW w:w="7881" w:type="dxa"/>
            <w:shd w:val="clear" w:color="auto" w:fill="F0F4FA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Poliuretano proyectado de celda cerrada — alta densidad</w:t>
            </w:r>
          </w:p>
        </w:tc>
      </w:tr>
      <w:tr>
        <w:tc>
          <w:tcPr>
            <w:tcW w:type="dxa" w:w="5216"/>
            <w:tcW w:w="2551" w:type="dxa"/>
            <w:shd w:val="clear" w:color="auto" w:fill="FFFFFF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Espesor de aplicación</w:t>
            </w:r>
          </w:p>
        </w:tc>
        <w:tc>
          <w:tcPr>
            <w:tcW w:type="dxa" w:w="5216"/>
            <w:tcW w:w="7881" w:type="dxa"/>
            <w:shd w:val="clear" w:color="auto" w:fill="FFFFFF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5 cm</w:t>
            </w:r>
          </w:p>
        </w:tc>
      </w:tr>
      <w:tr>
        <w:tc>
          <w:tcPr>
            <w:tcW w:type="dxa" w:w="5216"/>
            <w:tcW w:w="2551" w:type="dxa"/>
            <w:shd w:val="clear" w:color="auto" w:fill="F0F4FA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Superficie a tratar</w:t>
            </w:r>
          </w:p>
        </w:tc>
        <w:tc>
          <w:tcPr>
            <w:tcW w:type="dxa" w:w="5216"/>
            <w:tcW w:w="7881" w:type="dxa"/>
            <w:shd w:val="clear" w:color="auto" w:fill="F0F4FA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300 m²  (sujeta a rectificación en terreno)</w:t>
            </w:r>
          </w:p>
        </w:tc>
      </w:tr>
      <w:tr>
        <w:tc>
          <w:tcPr>
            <w:tcW w:type="dxa" w:w="5216"/>
            <w:tcW w:w="2551" w:type="dxa"/>
            <w:shd w:val="clear" w:color="auto" w:fill="FFFFFF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Rendimiento térmico</w:t>
            </w:r>
          </w:p>
        </w:tc>
        <w:tc>
          <w:tcPr>
            <w:tcW w:type="dxa" w:w="5216"/>
            <w:tcW w:w="7881" w:type="dxa"/>
            <w:shd w:val="clear" w:color="auto" w:fill="FFFFFF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Alta capacidad de aislación, resistente a humedad y temperatura</w:t>
            </w:r>
          </w:p>
        </w:tc>
      </w:tr>
      <w:tr>
        <w:tc>
          <w:tcPr>
            <w:tcW w:type="dxa" w:w="5216"/>
            <w:tcW w:w="2551" w:type="dxa"/>
            <w:shd w:val="clear" w:color="auto" w:fill="F0F4FA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Propiedades</w:t>
            </w:r>
          </w:p>
        </w:tc>
        <w:tc>
          <w:tcPr>
            <w:tcW w:type="dxa" w:w="5216"/>
            <w:tcW w:w="7881" w:type="dxa"/>
            <w:shd w:val="clear" w:color="auto" w:fill="F0F4FA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Material ignífugo — resistente al fuego y a roedores</w:t>
            </w:r>
          </w:p>
        </w:tc>
      </w:tr>
      <w:tr>
        <w:tc>
          <w:tcPr>
            <w:tcW w:type="dxa" w:w="5216"/>
            <w:tcW w:w="2551" w:type="dxa"/>
            <w:shd w:val="clear" w:color="auto" w:fill="FFFFFF"/>
            <w:tcMar>
              <w:top w:w="30" w:type="dxa"/>
              <w:bottom w:w="30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Movilización</w:t>
            </w:r>
          </w:p>
        </w:tc>
        <w:tc>
          <w:tcPr>
            <w:tcW w:type="dxa" w:w="5216"/>
            <w:tcW w:w="7881" w:type="dxa"/>
            <w:shd w:val="clear" w:color="auto" w:fill="FFFFFF"/>
            <w:tcMar>
              <w:top w:w="30" w:type="dxa"/>
              <w:bottom w:w="30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Incluida en el precio (acercamiento y retiro de equipos)</w:t>
            </w:r>
          </w:p>
        </w:tc>
      </w:tr>
    </w:tbl>
    <w:p>
      <w:pPr>
        <w:spacing w:before="6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>DETALLE DE PRECIOS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08"/>
        <w:gridCol w:w="2608"/>
        <w:gridCol w:w="2608"/>
        <w:gridCol w:w="2608"/>
      </w:tblGrid>
      <w:tr>
        <w:tc>
          <w:tcPr>
            <w:tcW w:type="dxa" w:w="4819"/>
            <w:tcW w:w="4819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7"/>
              </w:rPr>
              <w:t>Descripción</w:t>
            </w:r>
          </w:p>
        </w:tc>
        <w:tc>
          <w:tcPr>
            <w:tcW w:type="dxa" w:w="1247"/>
            <w:tcW w:w="1247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Superficie</w:t>
            </w:r>
          </w:p>
        </w:tc>
        <w:tc>
          <w:tcPr>
            <w:tcW w:type="dxa" w:w="1701"/>
            <w:tcW w:w="1701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Precio unitario</w:t>
            </w:r>
          </w:p>
        </w:tc>
        <w:tc>
          <w:tcPr>
            <w:tcW w:type="dxa" w:w="1928"/>
            <w:tcW w:w="1927" w:type="dxa"/>
            <w:shd w:val="clear" w:color="auto" w:fill="0B2545"/>
            <w:tcMar>
              <w:top w:w="45" w:type="dxa"/>
              <w:bottom w:w="45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7"/>
              </w:rPr>
              <w:t>Total (neto)</w:t>
            </w:r>
          </w:p>
        </w:tc>
      </w:tr>
      <w:tr>
        <w:tc>
          <w:tcPr>
            <w:tcW w:type="dxa" w:w="4819"/>
            <w:tcW w:w="4819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7"/>
              </w:rPr>
              <w:t>Aplicación de poliuretano proyectado de celda cerrada, espesor 5 cm</w:t>
            </w:r>
          </w:p>
          <w:p>
            <w:pPr>
              <w:spacing w:before="1" w:after="0"/>
            </w:pPr>
            <w:r>
              <w:rPr>
                <w:b w:val="0"/>
                <w:i/>
                <w:color w:val="555555"/>
                <w:sz w:val="15"/>
              </w:rPr>
              <w:t>(incluye movilización, materiales y mano de obra)</w:t>
            </w:r>
          </w:p>
        </w:tc>
        <w:tc>
          <w:tcPr>
            <w:tcW w:type="dxa" w:w="1247"/>
            <w:tcW w:w="1247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300 m²</w:t>
            </w:r>
          </w:p>
        </w:tc>
        <w:tc>
          <w:tcPr>
            <w:tcW w:type="dxa" w:w="1701"/>
            <w:tcW w:w="1701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$ 14.000</w:t>
            </w:r>
          </w:p>
        </w:tc>
        <w:tc>
          <w:tcPr>
            <w:tcW w:type="dxa" w:w="1928"/>
            <w:tcW w:w="1927" w:type="dxa"/>
            <w:shd w:val="clear" w:color="auto" w:fill="FFFFFF"/>
            <w:tcBorders>
              <w:top w:val="single" w:sz="4" w:color="DDDDDD"/>
              <w:bottom w:val="single" w:sz="4" w:color="DDDDDD"/>
              <w:left w:val="single" w:sz="4" w:color="DDDDDD"/>
              <w:right w:val="single" w:sz="4" w:color="DDDDDD"/>
            </w:tcBorders>
            <w:tcMar>
              <w:top w:w="38" w:type="dxa"/>
              <w:bottom w:w="38" w:type="dxa"/>
              <w:left w:w="70" w:type="dxa"/>
              <w:right w:w="4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7"/>
              </w:rPr>
              <w:t>$ 4.200.000</w:t>
            </w:r>
          </w:p>
        </w:tc>
      </w:tr>
      <w:tr>
        <w:tc>
          <w:tcPr>
            <w:tcW w:type="dxa" w:w="7767"/>
            <w:gridSpan w:val="3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0B2545"/>
                <w:sz w:val="17"/>
              </w:rPr>
              <w:t>Subtotal neto</w:t>
            </w:r>
          </w:p>
        </w:tc>
        <w:tc>
          <w:tcPr>
            <w:tcW w:type="dxa" w:w="1928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B2545"/>
                <w:sz w:val="17"/>
              </w:rPr>
              <w:t>$ 4.200.000</w:t>
            </w:r>
          </w:p>
        </w:tc>
      </w:tr>
      <w:tr>
        <w:tc>
          <w:tcPr>
            <w:tcW w:type="dxa" w:w="7767"/>
            <w:gridSpan w:val="3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0B2545"/>
                <w:sz w:val="17"/>
              </w:rPr>
              <w:t>IVA (19%)</w:t>
            </w:r>
          </w:p>
        </w:tc>
        <w:tc>
          <w:tcPr>
            <w:tcW w:type="dxa" w:w="1928"/>
            <w:shd w:val="clear" w:color="auto" w:fill="E8F0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0B2545"/>
                <w:sz w:val="17"/>
              </w:rPr>
              <w:t>$ 798.000</w:t>
            </w:r>
          </w:p>
        </w:tc>
      </w:tr>
      <w:tr>
        <w:tc>
          <w:tcPr>
            <w:tcW w:type="dxa" w:w="7767"/>
            <w:gridSpan w:val="3"/>
            <w:shd w:val="clear" w:color="auto" w:fill="0B254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70" w:type="dxa"/>
              <w:right w:w="4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8"/>
              </w:rPr>
              <w:t>TOTAL</w:t>
            </w:r>
          </w:p>
        </w:tc>
        <w:tc>
          <w:tcPr>
            <w:tcW w:type="dxa" w:w="1928"/>
            <w:shd w:val="clear" w:color="auto" w:fill="0B254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tcMar>
              <w:top w:w="42" w:type="dxa"/>
              <w:bottom w:w="42" w:type="dxa"/>
              <w:left w:w="45" w:type="dxa"/>
              <w:right w:w="7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8"/>
              </w:rPr>
              <w:t>$ 4.998.000</w:t>
            </w:r>
          </w:p>
        </w:tc>
      </w:tr>
    </w:tbl>
    <w:p>
      <w:pPr>
        <w:spacing w:before="6" w:after="0"/>
      </w:pPr>
    </w:p>
    <w:p>
      <w:pPr>
        <w:spacing w:before="0" w:after="3"/>
      </w:pPr>
      <w:r>
        <w:rPr>
          <w:b/>
          <w:i w:val="0"/>
          <w:color w:val="0B2545"/>
          <w:sz w:val="17"/>
        </w:rPr>
        <w:t>CONDICIONES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Los precios incluyen mano de obra, materiales y movilización (acercamiento y retiro de equipos al lugar de trabajo).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Forma de pago: 50% al inicio de la obra · 50% al término conforme del trabajo.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Plazo de ejecución estimado: 1 a 2 días hábiles desde el inicio de faenas.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Garantía: 12 meses sobre el aislamiento aplicado, contra fallas atribuibles a la ejecución.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Esta cotización cubre únicamente los trabajos descritos. Cualquier trabajo adicional será cotizado por separado.</w:t>
      </w:r>
    </w:p>
    <w:p>
      <w:pPr>
        <w:spacing w:before="0" w:after="2"/>
        <w:ind w:left="198" w:hanging="198"/>
      </w:pPr>
      <w:r>
        <w:rPr>
          <w:b/>
          <w:i w:val="0"/>
          <w:color w:val="1A569A"/>
          <w:sz w:val="17"/>
        </w:rPr>
        <w:t xml:space="preserve">•  </w:t>
      </w:r>
      <w:r>
        <w:rPr>
          <w:b w:val="0"/>
          <w:i w:val="0"/>
          <w:color w:val="1A1A1A"/>
          <w:sz w:val="17"/>
        </w:rPr>
        <w:t>Validez: 30 días desde la fecha de emisión.</w:t>
      </w:r>
    </w:p>
    <w:p>
      <w:pPr>
        <w:spacing w:before="10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87"/>
        <w:gridCol w:w="5187"/>
      </w:tblGrid>
      <w:tr>
        <w:tc>
          <w:tcPr>
            <w:tcW w:type="dxa" w:w="5216"/>
            <w:tcW w:w="5188" w:type="dxa"/>
            <w:tcMar>
              <w:top w:w="8" w:type="dxa"/>
              <w:bottom w:w="8" w:type="dxa"/>
              <w:left w:w="60" w:type="dxa"/>
              <w:right w:w="6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5"/>
              </w:rPr>
              <w:t>Emite</w:t>
            </w:r>
          </w:p>
          <w:p>
            <w:pPr>
              <w:spacing w:before="18" w:after="4"/>
              <w:pBdr>
                <w:bottom w:val="single" w:sz="4" w:color="999999"/>
              </w:pBdr>
            </w:pPr>
          </w:p>
          <w:p>
            <w:pPr>
              <w:spacing w:before="3" w:after="0"/>
            </w:pPr>
            <w:r>
              <w:rPr>
                <w:b w:val="0"/>
                <w:i w:val="0"/>
                <w:color w:val="444444"/>
                <w:sz w:val="15"/>
              </w:rPr>
              <w:t>Gerardo Buitrón  ·  Gerente General</w:t>
              <w:br/>
              <w:t xml:space="preserve">Aispoltec  ·  RUT 24.925.959-4  </w:t>
            </w:r>
          </w:p>
        </w:tc>
        <w:tc>
          <w:tcPr>
            <w:tcW w:type="dxa" w:w="5216"/>
            <w:tcW w:w="5188" w:type="dxa"/>
            <w:tcMar>
              <w:top w:w="8" w:type="dxa"/>
              <w:bottom w:w="8" w:type="dxa"/>
              <w:left w:w="60" w:type="dxa"/>
              <w:right w:w="6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5"/>
              </w:rPr>
              <w:t>Acepta</w:t>
            </w:r>
          </w:p>
          <w:p>
            <w:pPr>
              <w:spacing w:before="18" w:after="4"/>
              <w:pBdr>
                <w:bottom w:val="single" w:sz="4" w:color="999999"/>
              </w:pBdr>
            </w:pPr>
          </w:p>
          <w:p>
            <w:pPr>
              <w:spacing w:before="3" w:after="0"/>
            </w:pPr>
            <w:r>
              <w:rPr>
                <w:b w:val="0"/>
                <w:i w:val="0"/>
                <w:color w:val="444444"/>
                <w:sz w:val="15"/>
              </w:rPr>
              <w:t xml:space="preserve">Pamela Donoso  </w:t>
            </w:r>
          </w:p>
        </w:tc>
      </w:tr>
    </w:tbl>
    <w:p>
      <w:pPr>
        <w:spacing w:before="5" w:after="0"/>
      </w:pPr>
    </w:p>
    <w:p>
      <w:pPr>
        <w:spacing w:before="0" w:after="0"/>
        <w:pBdr>
          <w:bottom w:val="single" w:sz="6" w:color="0B2545"/>
        </w:pBdr>
      </w:pPr>
    </w:p>
    <w:p>
      <w:pPr>
        <w:spacing w:before="3" w:after="0"/>
        <w:jc w:val="center"/>
      </w:pPr>
      <w:r>
        <w:rPr>
          <w:b w:val="0"/>
          <w:i w:val="0"/>
          <w:color w:val="0B2545"/>
          <w:sz w:val="15"/>
        </w:rPr>
        <w:t>AISPOLTEC  ·  RUT: 24.925.959-4  ·  contacto@aispoltec.cl  ·  +56 9 7967 9866  ·  www.aispoltec.cl</w:t>
      </w:r>
    </w:p>
    <w:sectPr w:rsidR="00FC693F" w:rsidRPr="0006063C" w:rsidSect="00034616">
      <w:pgSz w:w="11906" w:h="16838"/>
      <w:pgMar w:top="425" w:right="737" w:bottom="42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