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762"/>
      </w:tblGrid>
      <w:tr>
        <w:tc>
          <w:tcPr>
            <w:tcW w:type="dxa" w:w="5216"/>
            <w:tcW w:w="567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b/>
                <w:i w:val="0"/>
                <w:color w:val="0B2545"/>
                <w:sz w:val="34"/>
              </w:rPr>
              <w:t>COTIZACIÓN</w:t>
            </w:r>
          </w:p>
        </w:tc>
        <w:tc>
          <w:tcPr>
            <w:tcW w:type="dxa" w:w="5216"/>
            <w:tcW w:w="4762" w:type="dxa"/>
            <w:tcMar>
              <w:top w:w="30" w:type="dxa"/>
              <w:bottom w:w="30" w:type="dxa"/>
              <w:left w:w="60" w:type="dxa"/>
              <w:right w:w="0" w:type="dxa"/>
            </w:tcMar>
          </w:tcPr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N° Cotización: </w:t>
            </w:r>
            <w:r>
              <w:rPr>
                <w:b w:val="0"/>
                <w:i w:val="0"/>
                <w:color w:val="1A1A1A"/>
                <w:sz w:val="17"/>
              </w:rPr>
              <w:t>COT-202606-004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Fecha: </w:t>
            </w:r>
            <w:r>
              <w:rPr>
                <w:b w:val="0"/>
                <w:i w:val="0"/>
                <w:color w:val="1A1A1A"/>
                <w:sz w:val="17"/>
              </w:rPr>
              <w:t>17 de junio de 2026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Validez: </w:t>
            </w:r>
            <w:r>
              <w:rPr>
                <w:b w:val="0"/>
                <w:i w:val="0"/>
                <w:color w:val="1A1A1A"/>
                <w:sz w:val="17"/>
              </w:rPr>
              <w:t>30 días desde la fecha de emisión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9014"/>
      </w:tblGrid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CLIENTE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1A1A"/>
                <w:sz w:val="18"/>
              </w:rPr>
              <w:t>Pamela Donoso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OBRA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Aislamiento térmico de </w:t>
            </w:r>
            <w:r>
              <w:rPr>
                <w:b/>
                <w:i w:val="0"/>
                <w:color w:val="1A569A"/>
                <w:sz w:val="17"/>
              </w:rPr>
              <w:t>poliuretano proyectado</w:t>
            </w:r>
            <w:r>
              <w:rPr>
                <w:b w:val="0"/>
                <w:i w:val="0"/>
                <w:color w:val="1A1A1A"/>
                <w:sz w:val="17"/>
              </w:rPr>
              <w:t xml:space="preserve">  ·  300 m²  ·  Espesor </w:t>
            </w:r>
            <w:r>
              <w:rPr>
                <w:b/>
                <w:i w:val="0"/>
                <w:color w:val="1A569A"/>
                <w:sz w:val="17"/>
              </w:rPr>
              <w:t>5 cm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DIRECCIÓN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Isla de Maipo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 xml:space="preserve">ESPECIFICACIONES </w:t>
      </w:r>
      <w:r>
        <w:rPr>
          <w:b/>
          <w:i w:val="0"/>
          <w:color w:val="1A569A"/>
          <w:sz w:val="17"/>
        </w:rPr>
        <w:t>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880"/>
      </w:tblGrid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Material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Poliuretano proyectado de </w:t>
            </w:r>
            <w:r>
              <w:rPr>
                <w:b/>
                <w:i w:val="0"/>
                <w:color w:val="1A569A"/>
                <w:sz w:val="17"/>
              </w:rPr>
              <w:t>celda cerrada</w:t>
            </w:r>
            <w:r>
              <w:rPr>
                <w:b w:val="0"/>
                <w:i w:val="0"/>
                <w:color w:val="1A1A1A"/>
                <w:sz w:val="17"/>
              </w:rPr>
              <w:t xml:space="preserve"> — alta densidad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Espesor de aplicación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5 cm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Superficie a tratar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300 m²</w:t>
            </w:r>
            <w:r>
              <w:rPr>
                <w:b w:val="0"/>
                <w:i w:val="0"/>
                <w:color w:val="1A1A1A"/>
                <w:sz w:val="17"/>
              </w:rPr>
              <w:t xml:space="preserve">  (sujeta a rectificación en terreno)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Rendimiento térmico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Alta capacidad de aislación, resistente a humedad y temperatura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Propiedades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Material </w:t>
            </w:r>
            <w:r>
              <w:rPr>
                <w:b/>
                <w:i w:val="0"/>
                <w:color w:val="1A569A"/>
                <w:sz w:val="17"/>
              </w:rPr>
              <w:t>ignífugo</w:t>
            </w:r>
            <w:r>
              <w:rPr>
                <w:b w:val="0"/>
                <w:i w:val="0"/>
                <w:color w:val="1A1A1A"/>
                <w:sz w:val="17"/>
              </w:rPr>
              <w:t xml:space="preserve"> — resistente al fuego y a roedores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Movilización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Incluida en el precio (acercamiento y retiro de equipos)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DETALLE DE PRECIOS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4819"/>
            <w:tcW w:w="4819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247"/>
            <w:tcW w:w="124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Superficie</w:t>
            </w:r>
          </w:p>
        </w:tc>
        <w:tc>
          <w:tcPr>
            <w:tcW w:type="dxa" w:w="1701"/>
            <w:tcW w:w="1701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Precio unitario</w:t>
            </w:r>
          </w:p>
        </w:tc>
        <w:tc>
          <w:tcPr>
            <w:tcW w:type="dxa" w:w="1928"/>
            <w:tcW w:w="192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(neto)</w:t>
            </w:r>
          </w:p>
        </w:tc>
      </w:tr>
      <w:tr>
        <w:tc>
          <w:tcPr>
            <w:tcW w:type="dxa" w:w="4819"/>
            <w:tcW w:w="4819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 xml:space="preserve">Aplicación de </w:t>
            </w:r>
            <w:r>
              <w:rPr>
                <w:b/>
                <w:i w:val="0"/>
                <w:color w:val="1A569A"/>
                <w:sz w:val="17"/>
              </w:rPr>
              <w:t>poliuretano proyectado de celda cerrada</w:t>
            </w:r>
            <w:r>
              <w:rPr>
                <w:b w:val="0"/>
                <w:i w:val="0"/>
                <w:color w:val="1A1A1A"/>
                <w:sz w:val="17"/>
              </w:rPr>
              <w:t xml:space="preserve">, espesor </w:t>
            </w:r>
            <w:r>
              <w:rPr>
                <w:b/>
                <w:i w:val="0"/>
                <w:color w:val="1A569A"/>
                <w:sz w:val="17"/>
              </w:rPr>
              <w:t>5 cm</w:t>
            </w:r>
          </w:p>
          <w:p>
            <w:pPr>
              <w:spacing w:before="1" w:after="0"/>
            </w:pPr>
            <w:r>
              <w:rPr>
                <w:b w:val="0"/>
                <w:i/>
                <w:color w:val="555555"/>
                <w:sz w:val="15"/>
              </w:rPr>
              <w:t>(incluye movilización, materiales y mano de obra)</w:t>
            </w:r>
          </w:p>
        </w:tc>
        <w:tc>
          <w:tcPr>
            <w:tcW w:type="dxa" w:w="1247"/>
            <w:tcW w:w="124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300 m²</w:t>
            </w:r>
          </w:p>
        </w:tc>
        <w:tc>
          <w:tcPr>
            <w:tcW w:type="dxa" w:w="1701"/>
            <w:tcW w:w="170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$ 14.000</w:t>
            </w:r>
          </w:p>
        </w:tc>
        <w:tc>
          <w:tcPr>
            <w:tcW w:type="dxa" w:w="1928"/>
            <w:tcW w:w="192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Subtotal neto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IVA (19%)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$ 798.000</w:t>
            </w:r>
          </w:p>
        </w:tc>
      </w:tr>
      <w:tr>
        <w:tc>
          <w:tcPr>
            <w:tcW w:type="dxa" w:w="7767"/>
            <w:gridSpan w:val="3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928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$ 4.998.000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CONDICIONES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Los precios incluyen mano de obra, materiales y movilización (acercamiento y retiro de equipos al lugar de trabajo).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Forma de pago: 50% al inicio de la obra · 50% al término conforme del trabajo.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Plazo de ejecución estimado: 1 a 2 días hábiles desde el inicio de faenas.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Garantía: 12 meses sobre el aislamiento aplicado, contra fallas atribuibles a la ejecución.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Esta cotización cubre únicamente los trabajos descritos. Cualquier trabajo adicional será cotizado por separado.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El cliente debe proveer acceso libre y despejado al área de trabajo para garantizar una ejecución óptima.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El cliente debe disponer de suministro eléctrico en el lugar de faenas. En caso de no contar con energía, deberá proveer un generador con la capacidad necesaria para operar los equipos.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Los daños o alteraciones al material ya aplicado, causados por manipulación incorrecta o intervención del cliente antes del término del trabajo, serán de exclusiva responsabilidad del cliente.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Validez: 30 días desde la fecha de emisión.</w:t>
      </w:r>
    </w:p>
    <w:p>
      <w:pPr>
        <w:spacing w:before="1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7"/>
        <w:gridCol w:w="5187"/>
      </w:tblGrid>
      <w:tr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Emite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>Gerardo Buitrón  ·  Gerente General</w:t>
              <w:br/>
              <w:t xml:space="preserve">Aispoltec  ·  RUT 24.925.959-4  </w:t>
            </w:r>
          </w:p>
        </w:tc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Acepta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 xml:space="preserve">Pamela Donoso  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