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236"/>
        <w:gridCol w:w="4195"/>
      </w:tblGrid>
      <w:tr>
        <w:tc>
          <w:tcPr>
            <w:tcW w:type="dxa" w:w="5329"/>
            <w:tcW w:w="6237" w:type="dxa"/>
            <w:shd w:val="clear" w:color="auto" w:fill="0B2545"/>
            <w:tcMar>
              <w:top w:w="20" w:type="dxa"/>
              <w:bottom w:w="20" w:type="dxa"/>
              <w:left w:w="80" w:type="dxa"/>
              <w:right w:w="60" w:type="dxa"/>
            </w:tcMar>
          </w:tcPr>
          <w:p>
            <w:pPr>
              <w:jc w:val="left"/>
              <w:spacing w:before="0" w:after="0"/>
            </w:pPr>
            <w:r>
              <w:drawing>
                <wp:inline xmlns:a="http://schemas.openxmlformats.org/drawingml/2006/main" xmlns:pic="http://schemas.openxmlformats.org/drawingml/2006/picture">
                  <wp:extent cx="2448000" cy="712351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head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8000" cy="71235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29"/>
            <w:tcW w:w="4195" w:type="dxa"/>
            <w:shd w:val="clear" w:color="auto" w:fill="0B2545"/>
            <w:tcMar>
              <w:top w:w="20" w:type="dxa"/>
              <w:bottom w:w="20" w:type="dxa"/>
              <w:left w:w="80" w:type="dxa"/>
              <w:right w:w="60" w:type="dxa"/>
            </w:tcMar>
          </w:tcPr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Teléfono: </w:t>
            </w:r>
            <w:r>
              <w:rPr>
                <w:b w:val="0"/>
                <w:i w:val="0"/>
                <w:color w:val="FFFFFF"/>
                <w:sz w:val="15"/>
              </w:rPr>
              <w:t>+56 9 9897 6861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WhatsApp: </w:t>
            </w:r>
            <w:r>
              <w:rPr>
                <w:b w:val="0"/>
                <w:i w:val="0"/>
                <w:color w:val="FFFFFF"/>
                <w:sz w:val="15"/>
              </w:rPr>
              <w:t>+56 9 7967 9866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Email: </w:t>
            </w:r>
            <w:r>
              <w:rPr>
                <w:b w:val="0"/>
                <w:i w:val="0"/>
                <w:color w:val="FFFFFF"/>
                <w:sz w:val="15"/>
              </w:rPr>
              <w:t>contacto@aispoltec.cl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Web: </w:t>
            </w:r>
            <w:r>
              <w:rPr>
                <w:b w:val="0"/>
                <w:i w:val="0"/>
                <w:color w:val="FFFFFF"/>
                <w:sz w:val="15"/>
              </w:rPr>
              <w:t>www.aispoltec.cl</w:t>
            </w:r>
          </w:p>
          <w:p>
            <w:pPr>
              <w:jc w:val="right"/>
              <w:spacing w:before="0" w:after="3"/>
            </w:pPr>
            <w:r>
              <w:rPr>
                <w:b/>
                <w:i w:val="0"/>
                <w:color w:val="A0C4E8"/>
                <w:sz w:val="15"/>
              </w:rPr>
              <w:t xml:space="preserve">Dirección: </w:t>
            </w:r>
            <w:r>
              <w:rPr>
                <w:b w:val="0"/>
                <w:i w:val="0"/>
                <w:color w:val="FFFFFF"/>
                <w:sz w:val="15"/>
              </w:rPr>
              <w:t>Gral. del Canto 50, Of. 301, Providencia, RM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669"/>
        <w:gridCol w:w="4762"/>
      </w:tblGrid>
      <w:tr>
        <w:tc>
          <w:tcPr>
            <w:tcW w:type="dxa" w:w="5329"/>
            <w:tcW w:w="5670" w:type="dxa"/>
            <w:tcMar>
              <w:top w:w="16" w:type="dxa"/>
              <w:bottom w:w="16" w:type="dxa"/>
              <w:left w:w="0" w:type="dxa"/>
              <w:right w:w="60" w:type="dxa"/>
            </w:tcMar>
          </w:tcPr>
          <w:p>
            <w:pPr>
              <w:jc w:val="left"/>
              <w:spacing w:before="0" w:after="2"/>
            </w:pPr>
            <w:r>
              <w:rPr>
                <w:b/>
                <w:i w:val="0"/>
                <w:color w:val="0B2545"/>
                <w:sz w:val="34"/>
              </w:rPr>
              <w:t>COTIZACIÓN</w:t>
            </w:r>
          </w:p>
          <w:p>
            <w:pPr>
              <w:spacing w:before="0" w:after="0"/>
            </w:pPr>
            <w:r>
              <w:rPr>
                <w:b w:val="0"/>
                <w:i w:val="0"/>
                <w:color w:val="1A569A"/>
                <w:sz w:val="17"/>
              </w:rPr>
              <w:t>Trabajo Civil — Mantención de Techumbre</w:t>
            </w:r>
          </w:p>
        </w:tc>
        <w:tc>
          <w:tcPr>
            <w:tcW w:type="dxa" w:w="5329"/>
            <w:tcW w:w="4762" w:type="dxa"/>
            <w:tcMar>
              <w:top w:w="16" w:type="dxa"/>
              <w:bottom w:w="16" w:type="dxa"/>
              <w:left w:w="60" w:type="dxa"/>
              <w:right w:w="0" w:type="dxa"/>
            </w:tcMar>
          </w:tcPr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N° Cotización: </w:t>
            </w:r>
            <w:r>
              <w:rPr>
                <w:b w:val="0"/>
                <w:i w:val="0"/>
                <w:color w:val="1A1A1A"/>
                <w:sz w:val="17"/>
              </w:rPr>
              <w:t>COT-202606-003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Fecha: </w:t>
            </w:r>
            <w:r>
              <w:rPr>
                <w:b w:val="0"/>
                <w:i w:val="0"/>
                <w:color w:val="1A1A1A"/>
                <w:sz w:val="17"/>
              </w:rPr>
              <w:t>15 de junio de 2026</w:t>
            </w:r>
          </w:p>
          <w:p>
            <w:pPr>
              <w:jc w:val="right"/>
              <w:spacing w:before="0" w:after="2"/>
            </w:pPr>
            <w:r>
              <w:rPr>
                <w:b/>
                <w:i w:val="0"/>
                <w:color w:val="0B2545"/>
                <w:sz w:val="17"/>
              </w:rPr>
              <w:t xml:space="preserve">Validez: </w:t>
            </w:r>
            <w:r>
              <w:rPr>
                <w:b w:val="0"/>
                <w:i w:val="0"/>
                <w:color w:val="1A1A1A"/>
                <w:sz w:val="17"/>
              </w:rPr>
              <w:t>60 días desde la fecha de emisión</w:t>
            </w:r>
          </w:p>
        </w:tc>
      </w:tr>
    </w:tbl>
    <w:p>
      <w:pPr>
        <w:spacing w:before="0" w:after="0"/>
        <w:pBdr>
          <w:bottom w:val="single" w:sz="10" w:color="0B2545"/>
        </w:pBdr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417"/>
        <w:gridCol w:w="9014"/>
      </w:tblGrid>
      <w:tr>
        <w:tc>
          <w:tcPr>
            <w:tcW w:type="dxa" w:w="5329"/>
            <w:tcW w:w="1417" w:type="dxa"/>
            <w:tcMar>
              <w:top w:w="16" w:type="dxa"/>
              <w:bottom w:w="16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CLIENTE</w:t>
            </w:r>
          </w:p>
        </w:tc>
        <w:tc>
          <w:tcPr>
            <w:tcW w:type="dxa" w:w="5329"/>
            <w:tcW w:w="9015" w:type="dxa"/>
            <w:tcMar>
              <w:top w:w="16" w:type="dxa"/>
              <w:bottom w:w="16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/>
                <w:i w:val="0"/>
                <w:color w:val="1A1A1A"/>
                <w:sz w:val="18"/>
              </w:rPr>
              <w:t>Universidad Andrés Bello  ·  Atención: Daniel Ribero</w:t>
            </w:r>
          </w:p>
        </w:tc>
      </w:tr>
      <w:tr>
        <w:tc>
          <w:tcPr>
            <w:tcW w:type="dxa" w:w="5329"/>
            <w:tcW w:w="1417" w:type="dxa"/>
            <w:tcMar>
              <w:top w:w="16" w:type="dxa"/>
              <w:bottom w:w="16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OBRA</w:t>
            </w:r>
          </w:p>
        </w:tc>
        <w:tc>
          <w:tcPr>
            <w:tcW w:type="dxa" w:w="5329"/>
            <w:tcW w:w="9015" w:type="dxa"/>
            <w:tcMar>
              <w:top w:w="16" w:type="dxa"/>
              <w:bottom w:w="16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Mantención de Techumbre — Trabajo Civil  ·  Poliurea &amp; Estructuras Metálicas</w:t>
            </w:r>
          </w:p>
        </w:tc>
      </w:tr>
      <w:tr>
        <w:tc>
          <w:tcPr>
            <w:tcW w:type="dxa" w:w="5329"/>
            <w:tcW w:w="1417" w:type="dxa"/>
            <w:tcMar>
              <w:top w:w="16" w:type="dxa"/>
              <w:bottom w:w="16" w:type="dxa"/>
              <w:left w:w="0" w:type="dxa"/>
              <w:right w:w="40" w:type="dxa"/>
            </w:tcMar>
            <w:shd w:val="clear" w:color="auto" w:fill="E8F0F8"/>
          </w:tcPr>
          <w:p>
            <w:pPr>
              <w:spacing w:before="0" w:after="0"/>
            </w:pPr>
            <w:r>
              <w:rPr>
                <w:b/>
                <w:i w:val="0"/>
                <w:color w:val="0B2545"/>
                <w:sz w:val="15"/>
              </w:rPr>
              <w:t>DIRECCIÓN</w:t>
            </w:r>
          </w:p>
        </w:tc>
        <w:tc>
          <w:tcPr>
            <w:tcW w:type="dxa" w:w="5329"/>
            <w:tcW w:w="9015" w:type="dxa"/>
            <w:tcMar>
              <w:top w:w="16" w:type="dxa"/>
              <w:bottom w:w="16" w:type="dxa"/>
              <w:left w:w="40" w:type="dxa"/>
              <w:right w:w="0" w:type="dxa"/>
            </w:tcMar>
          </w:tcPr>
          <w:p>
            <w:pPr>
              <w:spacing w:before="0" w:after="0"/>
            </w:pPr>
            <w:r>
              <w:rPr>
                <w:b w:val="0"/>
                <w:i w:val="0"/>
                <w:color w:val="1A1A1A"/>
                <w:sz w:val="17"/>
              </w:rPr>
              <w:t>República 330, Santiago — Universidad Andrés Bello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776"/>
        <w:gridCol w:w="1776"/>
        <w:gridCol w:w="1776"/>
        <w:gridCol w:w="1776"/>
        <w:gridCol w:w="1776"/>
        <w:gridCol w:w="1776"/>
      </w:tblGrid>
      <w:tr>
        <w:tc>
          <w:tcPr>
            <w:tcW w:type="dxa" w:w="397"/>
            <w:tcW w:w="396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5"/>
              </w:rPr>
              <w:t>Ítem</w:t>
            </w:r>
          </w:p>
        </w:tc>
        <w:tc>
          <w:tcPr>
            <w:tcW w:type="dxa" w:w="5981"/>
            <w:tcW w:w="5981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Descripción</w:t>
            </w:r>
          </w:p>
        </w:tc>
        <w:tc>
          <w:tcPr>
            <w:tcW w:type="dxa" w:w="680"/>
            <w:tcW w:w="680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5"/>
              </w:rPr>
              <w:t>Unidad</w:t>
            </w:r>
          </w:p>
        </w:tc>
        <w:tc>
          <w:tcPr>
            <w:tcW w:type="dxa" w:w="709"/>
            <w:tcW w:w="708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5"/>
              </w:rPr>
              <w:t>Cant.</w:t>
            </w:r>
          </w:p>
        </w:tc>
        <w:tc>
          <w:tcPr>
            <w:tcW w:type="dxa" w:w="1446"/>
            <w:tcW w:w="1445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5"/>
              </w:rPr>
              <w:t>Precio Unit.</w:t>
            </w:r>
          </w:p>
        </w:tc>
        <w:tc>
          <w:tcPr>
            <w:tcW w:type="dxa" w:w="1446"/>
            <w:tcW w:w="1445" w:type="dxa"/>
            <w:shd w:val="clear" w:color="auto" w:fill="0B2545"/>
            <w:tcMar>
              <w:top w:w="30" w:type="dxa"/>
              <w:bottom w:w="30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i w:val="0"/>
                <w:color w:val="FFFFFF"/>
                <w:sz w:val="15"/>
              </w:rPr>
              <w:t>Total (neto)</w:t>
            </w:r>
          </w:p>
        </w:tc>
      </w:tr>
      <w:tr>
        <w:tc>
          <w:tcPr>
            <w:tcW w:type="dxa" w:w="10659"/>
            <w:gridSpan w:val="6"/>
            <w:shd w:val="clear" w:color="auto" w:fill="1A3A5C"/>
            <w:tcBorders>
              <w:top w:val="single" w:sz="2" w:color="2A5080"/>
              <w:bottom w:val="single" w:sz="2" w:color="2A5080"/>
              <w:left w:val="single" w:sz="2" w:color="2A5080"/>
              <w:right w:val="single" w:sz="2" w:color="2A5080"/>
            </w:tcBorders>
            <w:tcMar>
              <w:top w:w="28" w:type="dxa"/>
              <w:bottom w:w="28" w:type="dxa"/>
              <w:left w:w="55" w:type="dxa"/>
              <w:right w:w="38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1.-  OBRAS PRELIMINARES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1.1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Desmontaje y seccionado de estructura metálica y barandas (pasarela) en tramos manejables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$ 420.500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$ 420.500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1.2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Retiro y traslado de pasarela metálica a zona de acopio para aplicación de poliurea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$ 232.000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$ 232.000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1.3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Retiro de malla medestuk para aplicación de poliurea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$ 246.500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$ 246.500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1.4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Retiro e instalación de policarbonato en techumbre para aplicación de poliurea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$ 159.500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$ 159.500</w:t>
            </w:r>
          </w:p>
        </w:tc>
      </w:tr>
      <w:tr>
        <w:tc>
          <w:tcPr>
            <w:tcW w:type="dxa" w:w="10659"/>
            <w:gridSpan w:val="6"/>
            <w:shd w:val="clear" w:color="auto" w:fill="1A3A5C"/>
            <w:tcBorders>
              <w:top w:val="single" w:sz="2" w:color="2A5080"/>
              <w:bottom w:val="single" w:sz="2" w:color="2A5080"/>
              <w:left w:val="single" w:sz="2" w:color="2A5080"/>
              <w:right w:val="single" w:sz="2" w:color="2A5080"/>
            </w:tcBorders>
            <w:tcMar>
              <w:top w:w="28" w:type="dxa"/>
              <w:bottom w:w="28" w:type="dxa"/>
              <w:left w:w="55" w:type="dxa"/>
              <w:right w:w="38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2.-  INSTALACIONES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2.1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Instalación y montaje de pasarela metálica con barandas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$ 870.000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$ 870.000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2.2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Provisión e instalación de malla metálica medestuk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ml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17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$ 77.191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$ 1.312.247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2.3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Instalación de forro galvanizado, sección doblada a medida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$ 188.500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$ 188.500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2.4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Fijación de estructuras soporte de equipos mediante pernos de expansión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$ 116.000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$ 116.000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2.5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Fijación de escalerilla eléctrica mediante pernos de expansión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$ 116.000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$ 116.000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2.6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Fijación de forros galvanizados sueltos y coronación en techumbre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$ 326.250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$ 326.250</w:t>
            </w:r>
          </w:p>
        </w:tc>
      </w:tr>
      <w:tr>
        <w:tc>
          <w:tcPr>
            <w:tcW w:type="dxa" w:w="10659"/>
            <w:gridSpan w:val="6"/>
            <w:shd w:val="clear" w:color="auto" w:fill="1A3A5C"/>
            <w:tcBorders>
              <w:top w:val="single" w:sz="2" w:color="2A5080"/>
              <w:bottom w:val="single" w:sz="2" w:color="2A5080"/>
              <w:left w:val="single" w:sz="2" w:color="2A5080"/>
              <w:right w:val="single" w:sz="2" w:color="2A5080"/>
            </w:tcBorders>
            <w:tcMar>
              <w:top w:w="28" w:type="dxa"/>
              <w:bottom w:w="28" w:type="dxa"/>
              <w:left w:w="55" w:type="dxa"/>
              <w:right w:w="38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3.-  PINTURA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3.1</w:t>
            </w:r>
          </w:p>
        </w:tc>
        <w:tc>
          <w:tcPr>
            <w:tcW w:type="dxa" w:w="5981"/>
            <w:tcW w:w="5981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Aplicación de pintura anticorrosiva en malla metálica medestuk</w:t>
            </w:r>
          </w:p>
        </w:tc>
        <w:tc>
          <w:tcPr>
            <w:tcW w:type="dxa" w:w="680"/>
            <w:tcW w:w="680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$ 261.000</w:t>
            </w:r>
          </w:p>
        </w:tc>
        <w:tc>
          <w:tcPr>
            <w:tcW w:type="dxa" w:w="1446"/>
            <w:tcW w:w="1445" w:type="dxa"/>
            <w:shd w:val="clear" w:color="auto" w:fill="F0F4F8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$ 261.000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3.2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Aplicación de pintura anticorrosiva en pasarela metálica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$ 436.500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$ 436.500</w:t>
            </w:r>
          </w:p>
        </w:tc>
      </w:tr>
      <w:tr>
        <w:tc>
          <w:tcPr>
            <w:tcW w:type="dxa" w:w="10659"/>
            <w:gridSpan w:val="6"/>
            <w:shd w:val="clear" w:color="auto" w:fill="1A3A5C"/>
            <w:tcBorders>
              <w:top w:val="single" w:sz="2" w:color="2A5080"/>
              <w:bottom w:val="single" w:sz="2" w:color="2A5080"/>
              <w:left w:val="single" w:sz="2" w:color="2A5080"/>
              <w:right w:val="single" w:sz="2" w:color="2A5080"/>
            </w:tcBorders>
            <w:tcMar>
              <w:top w:w="28" w:type="dxa"/>
              <w:bottom w:w="28" w:type="dxa"/>
              <w:left w:w="55" w:type="dxa"/>
              <w:right w:w="38" w:type="dxa"/>
            </w:tcMar>
          </w:tcPr>
          <w:p>
            <w:pPr>
              <w:spacing w:before="0" w:after="0"/>
              <w:jc w:val="left"/>
            </w:pPr>
            <w:r>
              <w:rPr>
                <w:b/>
                <w:i w:val="0"/>
                <w:color w:val="FFFFFF"/>
                <w:sz w:val="15"/>
              </w:rPr>
              <w:t>4.-  OTROS</w:t>
            </w:r>
          </w:p>
        </w:tc>
      </w:tr>
      <w:tr>
        <w:trPr>
          <w:trHeight w:val="220" w:hRule="exact"/>
        </w:trPr>
        <w:tc>
          <w:tcPr>
            <w:tcW w:type="dxa" w:w="397"/>
            <w:tcW w:w="396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4.1</w:t>
            </w:r>
          </w:p>
        </w:tc>
        <w:tc>
          <w:tcPr>
            <w:tcW w:type="dxa" w:w="5981"/>
            <w:tcW w:w="5981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left"/>
            </w:pPr>
            <w:r>
              <w:rPr>
                <w:b w:val="0"/>
                <w:i w:val="0"/>
                <w:color w:val="1A1A1A"/>
                <w:sz w:val="14"/>
              </w:rPr>
              <w:t>Fletes e izaje de materiales (mallas, equipos e implementos)</w:t>
            </w:r>
          </w:p>
        </w:tc>
        <w:tc>
          <w:tcPr>
            <w:tcW w:type="dxa" w:w="680"/>
            <w:tcW w:w="680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gl</w:t>
            </w:r>
          </w:p>
        </w:tc>
        <w:tc>
          <w:tcPr>
            <w:tcW w:type="dxa" w:w="709"/>
            <w:tcW w:w="708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center"/>
            </w:pPr>
            <w:r>
              <w:rPr>
                <w:b w:val="0"/>
                <w:i w:val="0"/>
                <w:color w:val="1A1A1A"/>
                <w:sz w:val="14"/>
              </w:rPr>
              <w:t>1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$ 80.000</w:t>
            </w:r>
          </w:p>
        </w:tc>
        <w:tc>
          <w:tcPr>
            <w:tcW w:type="dxa" w:w="1446"/>
            <w:tcW w:w="1445" w:type="dxa"/>
            <w:shd w:val="clear" w:color="auto" w:fill="FFFFFF"/>
            <w:tcBorders>
              <w:top w:val="single" w:sz="2" w:color="DDDDDD"/>
              <w:bottom w:val="single" w:sz="2" w:color="DDDDDD"/>
              <w:left w:val="single" w:sz="2" w:color="DDDDDD"/>
              <w:right w:val="single" w:sz="2" w:color="DDDDDD"/>
            </w:tcBorders>
            <w:tcMar>
              <w:top w:w="8" w:type="dxa"/>
              <w:bottom w:w="8" w:type="dxa"/>
              <w:left w:w="50" w:type="dxa"/>
              <w:right w:w="3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1A1A"/>
                <w:sz w:val="14"/>
              </w:rPr>
              <w:t>$ 80.000</w:t>
            </w:r>
          </w:p>
        </w:tc>
      </w:tr>
      <w:tr>
        <w:tc>
          <w:tcPr>
            <w:tcW w:type="dxa" w:w="9213"/>
            <w:gridSpan w:val="5"/>
            <w:shd w:val="clear" w:color="auto" w:fill="E8F0F8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0B2545"/>
                <w:sz w:val="16"/>
              </w:rPr>
              <w:t>Costo Directo</w:t>
            </w:r>
          </w:p>
        </w:tc>
        <w:tc>
          <w:tcPr>
            <w:tcW w:type="dxa" w:w="1446"/>
            <w:shd w:val="clear" w:color="auto" w:fill="E8F0F8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0B2545"/>
                <w:sz w:val="16"/>
              </w:rPr>
              <w:t>$ 4.764.997</w:t>
            </w:r>
          </w:p>
        </w:tc>
      </w:tr>
      <w:tr>
        <w:tc>
          <w:tcPr>
            <w:tcW w:type="dxa" w:w="9213"/>
            <w:gridSpan w:val="5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Gastos Generales (8%)</w:t>
            </w:r>
          </w:p>
        </w:tc>
        <w:tc>
          <w:tcPr>
            <w:tcW w:type="dxa" w:w="1446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$ 381.200</w:t>
            </w:r>
          </w:p>
        </w:tc>
      </w:tr>
      <w:tr>
        <w:tc>
          <w:tcPr>
            <w:tcW w:type="dxa" w:w="9213"/>
            <w:gridSpan w:val="5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Utilidad (12%)</w:t>
            </w:r>
          </w:p>
        </w:tc>
        <w:tc>
          <w:tcPr>
            <w:tcW w:type="dxa" w:w="1446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$ 617.544</w:t>
            </w:r>
          </w:p>
        </w:tc>
      </w:tr>
      <w:tr>
        <w:tc>
          <w:tcPr>
            <w:tcW w:type="dxa" w:w="9213"/>
            <w:gridSpan w:val="5"/>
            <w:shd w:val="clear" w:color="auto" w:fill="D8E8F4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0B2545"/>
                <w:sz w:val="16"/>
              </w:rPr>
              <w:t>Subtotal Neto</w:t>
            </w:r>
          </w:p>
        </w:tc>
        <w:tc>
          <w:tcPr>
            <w:tcW w:type="dxa" w:w="1446"/>
            <w:shd w:val="clear" w:color="auto" w:fill="D8E8F4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0B2545"/>
                <w:sz w:val="16"/>
              </w:rPr>
              <w:t>$ 5.763.741</w:t>
            </w:r>
          </w:p>
        </w:tc>
      </w:tr>
      <w:tr>
        <w:tc>
          <w:tcPr>
            <w:tcW w:type="dxa" w:w="9213"/>
            <w:gridSpan w:val="5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IVA (19%)</w:t>
            </w:r>
          </w:p>
        </w:tc>
        <w:tc>
          <w:tcPr>
            <w:tcW w:type="dxa" w:w="1446"/>
            <w:shd w:val="clear" w:color="auto" w:fill="EFF4FA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 w:val="0"/>
                <w:i w:val="0"/>
                <w:color w:val="1A569A"/>
                <w:sz w:val="16"/>
              </w:rPr>
              <w:t>$ 1.095.111</w:t>
            </w:r>
          </w:p>
        </w:tc>
      </w:tr>
      <w:tr>
        <w:tc>
          <w:tcPr>
            <w:tcW w:type="dxa" w:w="9213"/>
            <w:gridSpan w:val="5"/>
            <w:shd w:val="clear" w:color="auto" w:fill="0B2545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55" w:type="dxa"/>
              <w:right w:w="38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7"/>
              </w:rPr>
              <w:t>TOTAL</w:t>
            </w:r>
          </w:p>
        </w:tc>
        <w:tc>
          <w:tcPr>
            <w:tcW w:type="dxa" w:w="1446"/>
            <w:shd w:val="clear" w:color="auto" w:fill="0B2545"/>
            <w:tcBorders>
              <w:top w:val="single" w:sz="2" w:color="CCCCCC"/>
              <w:bottom w:val="single" w:sz="2" w:color="CCCCCC"/>
              <w:left w:val="single" w:sz="2" w:color="CCCCCC"/>
              <w:right w:val="single" w:sz="2" w:color="CCCCCC"/>
            </w:tcBorders>
            <w:tcMar>
              <w:top w:w="34" w:type="dxa"/>
              <w:bottom w:w="34" w:type="dxa"/>
              <w:left w:w="38" w:type="dxa"/>
              <w:right w:w="55" w:type="dxa"/>
            </w:tcMar>
          </w:tcPr>
          <w:p>
            <w:pPr>
              <w:spacing w:before="0" w:after="0"/>
              <w:jc w:val="right"/>
            </w:pPr>
            <w:r>
              <w:rPr>
                <w:b/>
                <w:i w:val="0"/>
                <w:color w:val="FFFFFF"/>
                <w:sz w:val="17"/>
              </w:rPr>
              <w:t>$ 6.858.852</w:t>
            </w:r>
          </w:p>
        </w:tc>
      </w:tr>
    </w:tbl>
    <w:p>
      <w:pPr>
        <w:spacing w:before="3" w:after="2"/>
      </w:pPr>
      <w:r>
        <w:rPr>
          <w:b/>
          <w:i w:val="0"/>
          <w:color w:val="0B2545"/>
          <w:sz w:val="17"/>
        </w:rPr>
        <w:t>CONDICIONES</w:t>
      </w:r>
    </w:p>
    <w:p>
      <w:pPr>
        <w:spacing w:before="0" w:after="1"/>
        <w:ind w:left="198" w:hanging="198"/>
      </w:pPr>
      <w:r>
        <w:rPr>
          <w:b/>
          <w:i w:val="0"/>
          <w:color w:val="1A569A"/>
          <w:sz w:val="15"/>
        </w:rPr>
        <w:t xml:space="preserve">•  </w:t>
      </w:r>
      <w:r>
        <w:rPr>
          <w:b w:val="0"/>
          <w:i w:val="0"/>
          <w:color w:val="1A1A1A"/>
          <w:sz w:val="15"/>
        </w:rPr>
        <w:t>Los precios incluyen mano de obra, materiales e implementos necesarios para la ejecución.</w:t>
      </w:r>
    </w:p>
    <w:p>
      <w:pPr>
        <w:spacing w:before="0" w:after="1"/>
        <w:ind w:left="198" w:hanging="198"/>
      </w:pPr>
      <w:r>
        <w:rPr>
          <w:b/>
          <w:i w:val="0"/>
          <w:color w:val="1A569A"/>
          <w:sz w:val="15"/>
        </w:rPr>
        <w:t xml:space="preserve">•  </w:t>
      </w:r>
      <w:r>
        <w:rPr>
          <w:b w:val="0"/>
          <w:i w:val="0"/>
          <w:color w:val="1A1A1A"/>
          <w:sz w:val="15"/>
        </w:rPr>
        <w:t>Forma de pago: 50% al inicio de la obra · 50% al término conforme del trabajo.</w:t>
      </w:r>
    </w:p>
    <w:p>
      <w:pPr>
        <w:spacing w:before="0" w:after="1"/>
        <w:ind w:left="198" w:hanging="198"/>
      </w:pPr>
      <w:r>
        <w:rPr>
          <w:b/>
          <w:i w:val="0"/>
          <w:color w:val="1A569A"/>
          <w:sz w:val="15"/>
        </w:rPr>
        <w:t xml:space="preserve">•  </w:t>
      </w:r>
      <w:r>
        <w:rPr>
          <w:b w:val="0"/>
          <w:i w:val="0"/>
          <w:color w:val="1A1A1A"/>
          <w:sz w:val="15"/>
        </w:rPr>
        <w:t>Plazo de ejecución estimado: 10 días hábiles desde el inicio de faenas.</w:t>
      </w:r>
    </w:p>
    <w:p>
      <w:pPr>
        <w:spacing w:before="0" w:after="1"/>
        <w:ind w:left="198" w:hanging="198"/>
      </w:pPr>
      <w:r>
        <w:rPr>
          <w:b/>
          <w:i w:val="0"/>
          <w:color w:val="1A569A"/>
          <w:sz w:val="15"/>
        </w:rPr>
        <w:t xml:space="preserve">•  </w:t>
      </w:r>
      <w:r>
        <w:rPr>
          <w:b w:val="0"/>
          <w:i w:val="0"/>
          <w:color w:val="1A1A1A"/>
          <w:sz w:val="15"/>
        </w:rPr>
        <w:t>Garantía: 12 meses sobre los trabajos ejecutados. Trabajos adicionales serán cotizados por separado.</w:t>
      </w:r>
    </w:p>
    <w:p>
      <w:pPr>
        <w:spacing w:before="0" w:after="1"/>
        <w:ind w:left="198" w:hanging="198"/>
      </w:pPr>
      <w:r>
        <w:rPr>
          <w:b/>
          <w:i w:val="0"/>
          <w:color w:val="1A569A"/>
          <w:sz w:val="15"/>
        </w:rPr>
        <w:t xml:space="preserve">•  </w:t>
      </w:r>
      <w:r>
        <w:rPr>
          <w:b w:val="0"/>
          <w:i w:val="0"/>
          <w:color w:val="1A1A1A"/>
          <w:sz w:val="15"/>
        </w:rPr>
        <w:t>Validez: 60 días desde la fecha de emisión.</w:t>
      </w:r>
    </w:p>
    <w:p>
      <w:pPr>
        <w:spacing w:before="5" w:after="0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216"/>
        <w:gridCol w:w="5216"/>
      </w:tblGrid>
      <w:tr>
        <w:tc>
          <w:tcPr>
            <w:tcW w:type="dxa" w:w="5329"/>
            <w:tcW w:w="5216" w:type="dxa"/>
            <w:tcMar>
              <w:top w:w="6" w:type="dxa"/>
              <w:bottom w:w="6" w:type="dxa"/>
              <w:left w:w="50" w:type="dxa"/>
              <w:right w:w="50" w:type="dxa"/>
            </w:tcMar>
          </w:tcPr>
          <w:p>
            <w:pPr>
              <w:spacing w:before="0" w:after="2"/>
            </w:pPr>
            <w:r>
              <w:rPr>
                <w:b w:val="0"/>
                <w:i w:val="0"/>
                <w:color w:val="1A569A"/>
                <w:sz w:val="14"/>
              </w:rPr>
              <w:t>Emite: Gerardo Buitrón · Gerente General · Aispoltec · RUT 24.925.959-4</w:t>
            </w:r>
          </w:p>
          <w:p>
            <w:pPr>
              <w:spacing w:before="14" w:after="0"/>
              <w:pBdr>
                <w:bottom w:val="single" w:sz="4" w:color="AAAAAA"/>
              </w:pBdr>
            </w:pPr>
          </w:p>
        </w:tc>
        <w:tc>
          <w:tcPr>
            <w:tcW w:type="dxa" w:w="5329"/>
            <w:tcW w:w="5216" w:type="dxa"/>
            <w:tcMar>
              <w:top w:w="6" w:type="dxa"/>
              <w:bottom w:w="6" w:type="dxa"/>
              <w:left w:w="50" w:type="dxa"/>
              <w:right w:w="50" w:type="dxa"/>
            </w:tcMar>
          </w:tcPr>
          <w:p>
            <w:pPr>
              <w:spacing w:before="0" w:after="2"/>
            </w:pPr>
            <w:r>
              <w:rPr>
                <w:b w:val="0"/>
                <w:i w:val="0"/>
                <w:color w:val="1A569A"/>
                <w:sz w:val="14"/>
              </w:rPr>
              <w:t>Acepta: Daniel Ribero · Universidad Andrés Bello</w:t>
            </w:r>
          </w:p>
          <w:p>
            <w:pPr>
              <w:spacing w:before="14" w:after="0"/>
              <w:pBdr>
                <w:bottom w:val="single" w:sz="4" w:color="AAAAAA"/>
              </w:pBdr>
            </w:pPr>
          </w:p>
        </w:tc>
      </w:tr>
    </w:tbl>
    <w:p>
      <w:pPr>
        <w:spacing w:before="0" w:after="0"/>
        <w:pBdr>
          <w:bottom w:val="single" w:sz="6" w:color="0B2545"/>
        </w:pBdr>
      </w:pPr>
    </w:p>
    <w:p>
      <w:pPr>
        <w:spacing w:before="3" w:after="0"/>
        <w:jc w:val="center"/>
      </w:pPr>
      <w:r>
        <w:rPr>
          <w:b w:val="0"/>
          <w:i w:val="0"/>
          <w:color w:val="0B2545"/>
          <w:sz w:val="15"/>
        </w:rPr>
        <w:t>AISPOLTEC  ·  RUT: 24.925.959-4  ·  contacto@aispoltec.cl  ·  +56 9 7967 9866  ·  www.aispoltec.cl</w:t>
      </w:r>
    </w:p>
    <w:sectPr w:rsidR="00FC693F" w:rsidRPr="0006063C" w:rsidSect="00034616">
      <w:pgSz w:w="11906" w:h="16838"/>
      <w:pgMar w:top="340" w:right="624" w:bottom="340" w:left="6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