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216"/>
            <w:tcW w:w="567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</w:tc>
        <w:tc>
          <w:tcPr>
            <w:tcW w:type="dxa" w:w="5216"/>
            <w:tcW w:w="4762" w:type="dxa"/>
            <w:tcMar>
              <w:top w:w="30" w:type="dxa"/>
              <w:bottom w:w="30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COT-202606-002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17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60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Universidad Andrés Bello  ·  Atención: Daniel Ribero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Impermeabilización de cubierta de zinc — Poliurea caliente alta presión  ·  195 m²  ·  Espesor 2 mm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República 330, Santiago — Universidad Andrés Bello</w:t>
            </w:r>
          </w:p>
        </w:tc>
      </w:tr>
    </w:tbl>
    <w:p>
      <w:pPr>
        <w:spacing w:before="5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PROCESO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2"/>
        <w:gridCol w:w="9950"/>
      </w:tblGrid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1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Pulido con disco de desbaste para retiro de óxido.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2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Despegar y reparar membrana antigua; asegurar latas de zinc con tornillos.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3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Limpieza de polvo (aspirado) y tratamiento de cubierta con metil.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4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/>
                <w:color w:val="666666"/>
                <w:sz w:val="17"/>
              </w:rPr>
              <w:t>Sellador de poliuretano para rendijas (si fuera necesario).  *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5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Aplicación de imprimante (rodillos y brochas).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6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Esperar secado de imprimante: 2 a 3 horas (temperatura óptima 65–75°C).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  <w:shd w:val="clear" w:color="auto" w:fill="F7F9FC"/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7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  <w:shd w:val="clear" w:color="auto" w:fill="F7F9FC"/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Aplicación de poliurea pura, alta presión.</w:t>
            </w:r>
          </w:p>
        </w:tc>
      </w:tr>
      <w:tr>
        <w:tc>
          <w:tcPr>
            <w:tcW w:type="dxa" w:w="5216"/>
            <w:tcW w:w="481" w:type="dxa"/>
            <w:tcMar>
              <w:top w:w="10" w:type="dxa"/>
              <w:bottom w:w="10" w:type="dxa"/>
              <w:left w:w="0" w:type="dxa"/>
              <w:right w:w="28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8</w:t>
            </w:r>
          </w:p>
        </w:tc>
        <w:tc>
          <w:tcPr>
            <w:tcW w:type="dxa" w:w="5216"/>
            <w:tcW w:w="9950" w:type="dxa"/>
            <w:tcMar>
              <w:top w:w="10" w:type="dxa"/>
              <w:bottom w:w="10" w:type="dxa"/>
              <w:left w:w="28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Protección rayos UV — Polytech, color gris.</w:t>
            </w:r>
          </w:p>
        </w:tc>
      </w:tr>
    </w:tbl>
    <w:p>
      <w:pPr>
        <w:spacing w:before="2" w:after="0"/>
      </w:pPr>
      <w:r>
        <w:rPr>
          <w:b w:val="0"/>
          <w:i/>
          <w:color w:val="777777"/>
          <w:sz w:val="15"/>
        </w:rPr>
        <w:t>*  Ítem 4 "en observación" — sujeto a evaluación en terreno.</w:t>
      </w:r>
    </w:p>
    <w:p>
      <w:pPr>
        <w:spacing w:before="5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DETALLE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4422"/>
            <w:tcW w:w="4422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361"/>
            <w:tcW w:w="1360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871"/>
            <w:tcW w:w="1871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Precio unitario</w:t>
            </w:r>
          </w:p>
        </w:tc>
        <w:tc>
          <w:tcPr>
            <w:tcW w:type="dxa" w:w="1984"/>
            <w:tcW w:w="1984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(neto)</w:t>
            </w:r>
          </w:p>
        </w:tc>
      </w:tr>
      <w:tr>
        <w:tc>
          <w:tcPr>
            <w:tcW w:type="dxa" w:w="4422"/>
            <w:tcW w:w="4422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Pulido, reparación de membrana, limpieza, aspirado y tratamiento (metil)</w:t>
            </w:r>
          </w:p>
        </w:tc>
        <w:tc>
          <w:tcPr>
            <w:tcW w:type="dxa" w:w="1361"/>
            <w:tcW w:w="1360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195 m²</w:t>
            </w:r>
          </w:p>
        </w:tc>
        <w:tc>
          <w:tcPr>
            <w:tcW w:type="dxa" w:w="1871"/>
            <w:tcW w:w="187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$ 8.500</w:t>
            </w:r>
          </w:p>
        </w:tc>
        <w:tc>
          <w:tcPr>
            <w:tcW w:type="dxa" w:w="1984"/>
            <w:tcW w:w="1984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$ 1.657.500</w:t>
            </w:r>
          </w:p>
        </w:tc>
      </w:tr>
      <w:tr>
        <w:tc>
          <w:tcPr>
            <w:tcW w:type="dxa" w:w="4422"/>
            <w:tcW w:w="4422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Imprimación + aplicación de poliurea alta presión, espesor 2 mm</w:t>
            </w:r>
          </w:p>
        </w:tc>
        <w:tc>
          <w:tcPr>
            <w:tcW w:type="dxa" w:w="1361"/>
            <w:tcW w:w="1360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195 m²</w:t>
            </w:r>
          </w:p>
        </w:tc>
        <w:tc>
          <w:tcPr>
            <w:tcW w:type="dxa" w:w="1871"/>
            <w:tcW w:w="1871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$ 45.000</w:t>
            </w:r>
          </w:p>
        </w:tc>
        <w:tc>
          <w:tcPr>
            <w:tcW w:type="dxa" w:w="1984"/>
            <w:tcW w:w="1984" w:type="dxa"/>
            <w:shd w:val="clear" w:color="auto" w:fill="F0F4F8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$ 8.775.000</w:t>
            </w:r>
          </w:p>
        </w:tc>
      </w:tr>
      <w:tr>
        <w:tc>
          <w:tcPr>
            <w:tcW w:type="dxa" w:w="4422"/>
            <w:tcW w:w="4422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Protección UV — Polytech, color gris</w:t>
            </w:r>
          </w:p>
        </w:tc>
        <w:tc>
          <w:tcPr>
            <w:tcW w:type="dxa" w:w="1361"/>
            <w:tcW w:w="1360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195 m²</w:t>
            </w:r>
          </w:p>
        </w:tc>
        <w:tc>
          <w:tcPr>
            <w:tcW w:type="dxa" w:w="1871"/>
            <w:tcW w:w="187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$ 5.000</w:t>
            </w:r>
          </w:p>
        </w:tc>
        <w:tc>
          <w:tcPr>
            <w:tcW w:type="dxa" w:w="1984"/>
            <w:tcW w:w="1984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$ 975.000</w:t>
            </w:r>
          </w:p>
        </w:tc>
      </w:tr>
      <w:tr>
        <w:tc>
          <w:tcPr>
            <w:tcW w:type="dxa" w:w="7654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Subtotal neto</w:t>
            </w:r>
          </w:p>
        </w:tc>
        <w:tc>
          <w:tcPr>
            <w:tcW w:type="dxa" w:w="1984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$ 11.407.500</w:t>
            </w:r>
          </w:p>
        </w:tc>
      </w:tr>
      <w:tr>
        <w:tc>
          <w:tcPr>
            <w:tcW w:type="dxa" w:w="7654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IVA (19%)</w:t>
            </w:r>
          </w:p>
        </w:tc>
        <w:tc>
          <w:tcPr>
            <w:tcW w:type="dxa" w:w="1984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$ 2.167.425</w:t>
            </w:r>
          </w:p>
        </w:tc>
      </w:tr>
      <w:tr>
        <w:tc>
          <w:tcPr>
            <w:tcW w:type="dxa" w:w="7654"/>
            <w:gridSpan w:val="3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$ 13.574.925</w:t>
            </w:r>
          </w:p>
        </w:tc>
      </w:tr>
    </w:tbl>
    <w:p>
      <w:pPr>
        <w:spacing w:before="5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precios unitarios corresponden a mano de obra y materiales incluidos.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Forma de pago: 50% al inicio de la obra · 50% al término conforme del trabajo.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Plazo de ejecución estimado: 10 a 15 días hábiles.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Durabilidad del material: 10 a 15 años. Protección UV (Polytech) requiere mantención cada 2 años de ser necesario.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Garantía: 12 meses sobre la impermeabilización aplicada, contra filtraciones atribuibles a la ejecución.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Esta cotización cubre únicamente los trabajos descritos. Cualquier trabajo adicional será cotizado y cobrado por separado.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Validez: 60 días desde la fecha de emisión.</w:t>
      </w:r>
    </w:p>
    <w:p>
      <w:pPr>
        <w:spacing w:before="1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7"/>
        <w:gridCol w:w="5187"/>
      </w:tblGrid>
      <w:tr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Emite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 xml:space="preserve">Gerardo Buitrón  ·  Gerente General  </w:t>
            </w:r>
            <w:r>
              <w:rPr>
                <w:b w:val="0"/>
                <w:i w:val="0"/>
                <w:color w:val="444444"/>
                <w:sz w:val="15"/>
              </w:rPr>
              <w:t xml:space="preserve">Aispoltec  ·  RUT 24.925.959-4  </w:t>
            </w:r>
          </w:p>
        </w:tc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Acepta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 xml:space="preserve">Daniel Ribero  </w:t>
            </w:r>
            <w:r>
              <w:rPr>
                <w:b w:val="0"/>
                <w:i w:val="0"/>
                <w:color w:val="444444"/>
                <w:sz w:val="15"/>
              </w:rPr>
              <w:t xml:space="preserve">Universidad Andrés Bello  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