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216"/>
            <w:tcW w:w="6237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3528000" cy="10266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16"/>
            <w:tcW w:w="4195" w:type="dxa"/>
            <w:shd w:val="clear" w:color="auto" w:fill="0B2545"/>
            <w:tcMar>
              <w:top w:w="40" w:type="dxa"/>
              <w:bottom w:w="40" w:type="dxa"/>
              <w:left w:w="100" w:type="dxa"/>
              <w:right w:w="8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p>
      <w:pPr>
        <w:spacing w:before="4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c>
          <w:tcPr>
            <w:tcW w:type="dxa" w:w="10432"/>
            <w:tcW w:w="10432" w:type="dxa"/>
            <w:shd w:val="clear" w:color="auto" w:fill="0B2545"/>
            <w:tcMar>
              <w:top w:w="38" w:type="dxa"/>
              <w:bottom w:w="38" w:type="dxa"/>
              <w:left w:w="120" w:type="dxa"/>
              <w:right w:w="120" w:type="dxa"/>
            </w:tcMar>
          </w:tcPr>
          <w:p>
            <w:pPr>
              <w:jc w:val="center"/>
              <w:spacing w:before="0" w:after="4"/>
            </w:pPr>
            <w:r>
              <w:rPr>
                <w:b/>
                <w:i w:val="0"/>
                <w:color w:val="FFFFFF"/>
                <w:sz w:val="36"/>
              </w:rPr>
              <w:t xml:space="preserve">FICHA </w:t>
            </w:r>
            <w:r>
              <w:rPr>
                <w:b/>
                <w:i w:val="0"/>
                <w:color w:val="A0C4E8"/>
                <w:sz w:val="36"/>
              </w:rPr>
              <w:t>TÉCNICA</w:t>
            </w:r>
          </w:p>
          <w:p>
            <w:pPr>
              <w:jc w:val="center"/>
              <w:spacing w:before="0" w:after="0"/>
            </w:pPr>
            <w:r>
              <w:rPr>
                <w:b w:val="0"/>
                <w:i w:val="0"/>
                <w:color w:val="A0C4E8"/>
                <w:sz w:val="19"/>
              </w:rPr>
              <w:t>Poliuretano Expandido de Celda Cerrada — Aislamiento Térmico, Acústico e Impermeabilización</w:t>
            </w:r>
          </w:p>
          <w:p>
            <w:pPr>
              <w:jc w:val="center"/>
              <w:spacing w:before="4" w:after="0"/>
            </w:pPr>
            <w:r>
              <w:rPr>
                <w:b w:val="0"/>
                <w:i/>
                <w:color w:val="7090B0"/>
                <w:sz w:val="15"/>
              </w:rPr>
              <w:t>Versión Junio 2026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p>
      <w:pPr>
        <w:spacing w:before="4" w:after="2"/>
      </w:pPr>
      <w:r>
        <w:rPr>
          <w:b/>
          <w:i w:val="0"/>
          <w:color w:val="0B2545"/>
          <w:sz w:val="17"/>
        </w:rPr>
        <w:t>DESCRIPCIÓN DEL PRODUCTO</w:t>
      </w:r>
    </w:p>
    <w:p>
      <w:pPr>
        <w:spacing w:before="0" w:after="2"/>
      </w:pPr>
      <w:r>
        <w:rPr>
          <w:b w:val="0"/>
          <w:i w:val="0"/>
          <w:color w:val="1A1A1A"/>
          <w:sz w:val="17"/>
        </w:rPr>
        <w:t xml:space="preserve">El </w:t>
      </w:r>
      <w:r>
        <w:rPr>
          <w:b/>
          <w:i w:val="0"/>
          <w:color w:val="1A569A"/>
          <w:sz w:val="17"/>
        </w:rPr>
        <w:t>poliuretano expandido de celda cerrada</w:t>
      </w:r>
      <w:r>
        <w:rPr>
          <w:b w:val="0"/>
          <w:i w:val="0"/>
          <w:color w:val="1A1A1A"/>
          <w:sz w:val="17"/>
        </w:rPr>
        <w:t xml:space="preserve"> es un sistema bicomponente (PUR rígido) aplicado por proyección a alta presión. Al proyectarse, los dos componentes —poliol e isocianato— reaccionan al instante expandiéndose y formando una espuma rígida de celda cerrada que adhiere directamente a cualquier superficie. Crea una barrera continua, sin juntas ni puentes térmicos, con alta eficiencia energética y larga vida útil. Formulado con agentes de soplado HFO y agua: </w:t>
      </w:r>
      <w:r>
        <w:rPr>
          <w:b/>
          <w:i w:val="0"/>
          <w:color w:val="1A569A"/>
          <w:sz w:val="17"/>
        </w:rPr>
        <w:t>sin CFC, bajo impacto ambiental.</w:t>
      </w:r>
    </w:p>
    <w:p>
      <w:pPr>
        <w:spacing w:before="4" w:after="2"/>
      </w:pPr>
      <w:r>
        <w:rPr>
          <w:b/>
          <w:i w:val="0"/>
          <w:color w:val="0B2545"/>
          <w:sz w:val="17"/>
        </w:rPr>
        <w:t>ESPECIFICACIONES TÉCNICAS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18"/>
        <w:gridCol w:w="7313"/>
      </w:tblGrid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Tipo de sistema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PUR bicomponente rígido — proyección (spray) por equipo de alta presión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Estructura celular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Celda cerrada de alta eficiencia — aislamiento permanente sin absorción de agua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Densidad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35 – 45 kg/m³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Conductividad térmica (λ)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0,022 – 0,026 W/(m·K)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Resistencia a compresión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≥ 150 kPa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Estabilidad dimensional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Mínima contracción — mantiene volumen original en el tiempo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Sustratos compatibles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Chapa metálica, hormigón, plásticos, madera y placa OSB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Clasificación ignifugación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Material </w:t>
            </w:r>
            <w:r>
              <w:rPr>
                <w:b/>
                <w:i w:val="0"/>
                <w:color w:val="1A569A"/>
                <w:sz w:val="17"/>
              </w:rPr>
              <w:t>ignífugo</w:t>
            </w:r>
            <w:r>
              <w:rPr>
                <w:b w:val="0"/>
                <w:i w:val="0"/>
                <w:color w:val="1A1A1A"/>
                <w:sz w:val="17"/>
              </w:rPr>
              <w:t xml:space="preserve"> con retardante de llama incorporado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Resistencia a roedores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Sí — estructura rígida de </w:t>
            </w:r>
            <w:r>
              <w:rPr>
                <w:b/>
                <w:i w:val="0"/>
                <w:color w:val="1A569A"/>
                <w:sz w:val="17"/>
              </w:rPr>
              <w:t>celda cerrada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Agente de soplado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 xml:space="preserve">HFO + Agua — ODP = 0, bajo GWP, </w:t>
            </w:r>
            <w:r>
              <w:rPr>
                <w:b/>
                <w:i w:val="0"/>
                <w:color w:val="1A569A"/>
                <w:sz w:val="17"/>
              </w:rPr>
              <w:t>sin CFC</w:t>
            </w:r>
            <w:r>
              <w:rPr>
                <w:b w:val="0"/>
                <w:i w:val="0"/>
                <w:color w:val="1A1A1A"/>
                <w:sz w:val="17"/>
              </w:rPr>
              <w:t xml:space="preserve"> ni HCFC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Temperatura de servicio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–50 °C a +100 °C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Temperatura de aplicación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–5 °C a +35 °C (ambiente)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Espesor estándar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3 – 10 cm (según proyecto)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Vida útil — bajo cubierta</w:t>
            </w:r>
          </w:p>
        </w:tc>
        <w:tc>
          <w:tcPr>
            <w:tcW w:type="dxa" w:w="5216"/>
            <w:tcW w:w="7314" w:type="dxa"/>
            <w:shd w:val="clear" w:color="auto" w:fill="FFFFFF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Larga duración protegido de UV — según condiciones de instalación</w:t>
            </w:r>
          </w:p>
        </w:tc>
      </w:tr>
      <w:tr>
        <w:trPr>
          <w:trHeight w:val="240" w:hRule="exact"/>
        </w:trPr>
        <w:tc>
          <w:tcPr>
            <w:tcW w:type="dxa" w:w="5216"/>
            <w:tcW w:w="3118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0" w:type="dxa"/>
              <w:right w:w="4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569A"/>
                <w:sz w:val="17"/>
              </w:rPr>
              <w:t>Vida útil — expuesto</w:t>
            </w:r>
          </w:p>
        </w:tc>
        <w:tc>
          <w:tcPr>
            <w:tcW w:type="dxa" w:w="5216"/>
            <w:tcW w:w="7314" w:type="dxa"/>
            <w:shd w:val="clear" w:color="auto" w:fill="EEF3FA"/>
            <w:tcBorders>
              <w:top w:val="single" w:sz="2" w:color="D5E0EE"/>
              <w:bottom w:val="single" w:sz="2" w:color="D5E0EE"/>
              <w:left w:val="single" w:sz="2" w:color="D5E0EE"/>
              <w:right w:val="single" w:sz="2" w:color="D5E0EE"/>
            </w:tcBorders>
            <w:tcMar>
              <w:top w:w="18" w:type="dxa"/>
              <w:bottom w:w="18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Requiere recubrimiento UV protector — recoatar según inspección</w:t>
            </w:r>
          </w:p>
        </w:tc>
      </w:tr>
    </w:tbl>
    <w:p>
      <w:pPr>
        <w:spacing w:before="4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2"/>
        <w:gridCol w:w="5329"/>
      </w:tblGrid>
      <w:tr>
        <w:tc>
          <w:tcPr>
            <w:tcW w:type="dxa" w:w="5216"/>
            <w:tcW w:w="5103" w:type="dxa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7"/>
              </w:rPr>
              <w:t>VENTAJAS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Excelente aislación térmica y acústica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Material ignífugo — retardante de llama incorporado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Repele roedores e insectos (estructura rígida)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Impermeable — celda cerrada impide absorción de agua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Adhiere a metal, hormigón, madera, plástico y OSB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Sin juntas ni puentes térmicos — cobertura 100% continua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Formulación ecológica — sin CFC, bajo GWP (HFO + Agua)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Aplicación rápida en 1 a 2 días de obra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Larga vida útil bajo cubierta (protegido de UV)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✓  </w:t>
            </w:r>
            <w:r>
              <w:rPr>
                <w:b w:val="0"/>
                <w:i w:val="0"/>
                <w:color w:val="1A1A1A"/>
                <w:sz w:val="17"/>
              </w:rPr>
              <w:t>No requiere mantención periódica bajo cubierta</w:t>
            </w:r>
          </w:p>
        </w:tc>
        <w:tc>
          <w:tcPr>
            <w:tcW w:type="dxa" w:w="5216"/>
            <w:tcW w:w="5329" w:type="dxa"/>
            <w:tcMar>
              <w:top w:w="0" w:type="dxa"/>
              <w:bottom w:w="0" w:type="dxa"/>
              <w:left w:w="60" w:type="dxa"/>
              <w:right w:w="0" w:type="dxa"/>
            </w:tcMar>
          </w:tcPr>
          <w:p>
            <w:pPr>
              <w:spacing w:before="0" w:after="4"/>
            </w:pPr>
            <w:r>
              <w:rPr>
                <w:b/>
                <w:i w:val="0"/>
                <w:color w:val="0B2545"/>
                <w:sz w:val="17"/>
              </w:rPr>
              <w:t>APLICACIONES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Techos y cubiertas (zinc, fibrocemento, hormigón)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Muros y fachadas exteriores e interiores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Suelos, losas y fundaciones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Cámaras frigoríficas y recintos de temperatura controlada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Tuberías, estanques y superficies industriales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Naves industriales, bodegas y galpones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Casas, edificios y condominios residenciales</w:t>
            </w:r>
          </w:p>
          <w:p>
            <w:pPr>
              <w:spacing w:before="0" w:after="1"/>
              <w:ind w:left="170" w:hanging="170"/>
            </w:pPr>
            <w:r>
              <w:rPr>
                <w:b/>
                <w:i w:val="0"/>
                <w:color w:val="1A569A"/>
                <w:sz w:val="17"/>
              </w:rPr>
              <w:t xml:space="preserve">→  </w:t>
            </w:r>
            <w:r>
              <w:rPr>
                <w:b w:val="0"/>
                <w:i w:val="0"/>
                <w:color w:val="1A1A1A"/>
                <w:sz w:val="17"/>
              </w:rPr>
              <w:t>Vehículos refrigerados y contenedores</w:t>
            </w:r>
          </w:p>
        </w:tc>
      </w:tr>
    </w:tbl>
    <w:p>
      <w:pPr>
        <w:spacing w:before="4" w:after="2"/>
      </w:pPr>
      <w:r>
        <w:rPr>
          <w:b/>
          <w:i w:val="0"/>
          <w:color w:val="0B2545"/>
          <w:sz w:val="17"/>
        </w:rPr>
        <w:t>PROCESO DE APLICACIÓN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77"/>
        <w:gridCol w:w="3477"/>
        <w:gridCol w:w="3477"/>
      </w:tblGrid>
      <w:tr>
        <w:trPr>
          <w:trHeight w:val="260" w:hRule="exact"/>
        </w:trPr>
        <w:tc>
          <w:tcPr>
            <w:tcW w:type="dxa" w:w="3477"/>
            <w:tcW w:w="567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</w:rPr>
              <w:t>N°</w:t>
            </w:r>
          </w:p>
        </w:tc>
        <w:tc>
          <w:tcPr>
            <w:tcW w:type="dxa" w:w="3477"/>
            <w:tcW w:w="1814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Etapa</w:t>
            </w:r>
          </w:p>
        </w:tc>
        <w:tc>
          <w:tcPr>
            <w:tcW w:type="dxa" w:w="3477"/>
            <w:tcW w:w="8051" w:type="dxa"/>
            <w:shd w:val="clear" w:color="auto" w:fill="0B2545"/>
            <w:tcMar>
              <w:top w:w="18" w:type="dxa"/>
              <w:bottom w:w="18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6"/>
              </w:rPr>
              <w:t>Descripción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1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Preparación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Limpieza y secado de la superficie. Retiro de polvo, grasa, óxido o suciedad.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2</w:t>
            </w:r>
          </w:p>
        </w:tc>
        <w:tc>
          <w:tcPr>
            <w:tcW w:type="dxa" w:w="3477"/>
            <w:tcW w:w="1814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Imprimación</w:t>
            </w:r>
          </w:p>
        </w:tc>
        <w:tc>
          <w:tcPr>
            <w:tcW w:type="dxa" w:w="3477"/>
            <w:tcW w:w="8051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Aplicación de primer adhesivo según el sustrato (hormigón, metal, madera).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3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Proyección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Mezcla de los componentes A y B y proyección mediante equipo de alta presión.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4</w:t>
            </w:r>
          </w:p>
        </w:tc>
        <w:tc>
          <w:tcPr>
            <w:tcW w:type="dxa" w:w="3477"/>
            <w:tcW w:w="1814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Verificación</w:t>
            </w:r>
          </w:p>
        </w:tc>
        <w:tc>
          <w:tcPr>
            <w:tcW w:type="dxa" w:w="3477"/>
            <w:tcW w:w="8051" w:type="dxa"/>
            <w:shd w:val="clear" w:color="auto" w:fill="F0F4FA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Revisión de espesores, continuidad y posibles irregularidades en la cobertura.</w:t>
            </w:r>
          </w:p>
        </w:tc>
      </w:tr>
      <w:tr>
        <w:trPr>
          <w:trHeight w:val="230" w:hRule="exact"/>
        </w:trPr>
        <w:tc>
          <w:tcPr>
            <w:tcW w:type="dxa" w:w="3477"/>
            <w:tcW w:w="567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1A569A"/>
                <w:sz w:val="16"/>
              </w:rPr>
              <w:t>5</w:t>
            </w:r>
          </w:p>
        </w:tc>
        <w:tc>
          <w:tcPr>
            <w:tcW w:type="dxa" w:w="3477"/>
            <w:tcW w:w="1814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1A569A"/>
                <w:sz w:val="16"/>
              </w:rPr>
              <w:t>Entrega</w:t>
            </w:r>
          </w:p>
        </w:tc>
        <w:tc>
          <w:tcPr>
            <w:tcW w:type="dxa" w:w="3477"/>
            <w:tcW w:w="805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14" w:type="dxa"/>
              <w:bottom w:w="14" w:type="dxa"/>
              <w:left w:w="40" w:type="dxa"/>
              <w:right w:w="40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6"/>
              </w:rPr>
              <w:t>Inspección final y entrega del trabajo terminado al cliente.</w:t>
            </w:r>
          </w:p>
        </w:tc>
      </w:tr>
    </w:tbl>
    <w:p>
      <w:pPr>
        <w:spacing w:before="3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31"/>
      </w:tblGrid>
      <w:tr>
        <w:tc>
          <w:tcPr>
            <w:tcW w:type="dxa" w:w="10432"/>
            <w:tcW w:w="10432" w:type="dxa"/>
            <w:shd w:val="clear" w:color="auto" w:fill="EEF3FA"/>
            <w:tcMar>
              <w:top w:w="25" w:type="dxa"/>
              <w:bottom w:w="25" w:type="dxa"/>
              <w:left w:w="80" w:type="dxa"/>
              <w:right w:w="80" w:type="dxa"/>
            </w:tcMar>
            <w:tcBorders>
              <w:top w:val="single" w:sz="4" w:color="A0C4E8"/>
              <w:bottom w:val="single" w:sz="4" w:color="A0C4E8"/>
              <w:left w:val="single" w:sz="4" w:color="A0C4E8"/>
              <w:right w:val="single" w:sz="4" w:color="A0C4E8"/>
            </w:tcBorders>
          </w:tcPr>
          <w:p>
            <w:pPr>
              <w:spacing w:before="0" w:after="3"/>
            </w:pPr>
            <w:r>
              <w:rPr>
                <w:b/>
                <w:i w:val="0"/>
                <w:color w:val="1A569A"/>
                <w:sz w:val="16"/>
              </w:rPr>
              <w:t xml:space="preserve">NOTA:  </w:t>
            </w:r>
            <w:r>
              <w:rPr>
                <w:b w:val="0"/>
                <w:i/>
                <w:color w:val="555555"/>
                <w:sz w:val="16"/>
              </w:rPr>
              <w:t>Especificaciones referenciadas a la ficha técnica del proveedor Pochteca Chile — Sistemas Polytherm PUR (Sistemas de Poliuretano Rígido por Proyección). Los valores pueden variar según condiciones de aplicación, temperatura ambiente y espesor requerido. Aispoltec adapta la solución a cada proyecto con asesoría técnica incluida.</w:t>
            </w:r>
          </w:p>
        </w:tc>
      </w:tr>
    </w:tbl>
    <w:p>
      <w:pPr>
        <w:spacing w:before="5" w:after="0"/>
      </w:pPr>
    </w:p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340" w:right="737" w:bottom="34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