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4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1"/>
      </w:tblGrid>
      <w:tr>
        <w:tc>
          <w:tcPr>
            <w:tcW w:type="dxa" w:w="10432"/>
            <w:tcW w:w="10432" w:type="dxa"/>
            <w:shd w:val="clear" w:color="auto" w:fill="0B2545"/>
            <w:tcMar>
              <w:top w:w="38" w:type="dxa"/>
              <w:bottom w:w="38" w:type="dxa"/>
              <w:left w:w="120" w:type="dxa"/>
              <w:right w:w="120" w:type="dxa"/>
            </w:tcMar>
          </w:tcPr>
          <w:p>
            <w:pPr>
              <w:jc w:val="center"/>
              <w:spacing w:before="0" w:after="4"/>
            </w:pPr>
            <w:r>
              <w:rPr>
                <w:b/>
                <w:i w:val="0"/>
                <w:color w:val="FFFFFF"/>
                <w:sz w:val="36"/>
              </w:rPr>
              <w:t xml:space="preserve">FICHA </w:t>
            </w:r>
            <w:r>
              <w:rPr>
                <w:b/>
                <w:i w:val="0"/>
                <w:color w:val="A0C4E8"/>
                <w:sz w:val="36"/>
              </w:rPr>
              <w:t>TÉCNICA</w:t>
            </w:r>
          </w:p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A0C4E8"/>
                <w:sz w:val="19"/>
              </w:rPr>
              <w:t>Poliuretano Proyectado de Celda Cerrada — Aislamiento Térmico, Acústico e Impermeabilización</w:t>
            </w:r>
          </w:p>
          <w:p>
            <w:pPr>
              <w:jc w:val="center"/>
              <w:spacing w:before="4" w:after="0"/>
            </w:pPr>
            <w:r>
              <w:rPr>
                <w:b w:val="0"/>
                <w:i/>
                <w:color w:val="7090B0"/>
                <w:sz w:val="15"/>
              </w:rPr>
              <w:t>Versión Junio 2026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p>
      <w:pPr>
        <w:spacing w:before="4" w:after="2"/>
      </w:pPr>
      <w:r>
        <w:rPr>
          <w:b/>
          <w:i w:val="0"/>
          <w:color w:val="0B2545"/>
          <w:sz w:val="17"/>
        </w:rPr>
        <w:t>DESCRIPCIÓN DEL PRODUCTO</w:t>
      </w:r>
    </w:p>
    <w:p>
      <w:pPr>
        <w:spacing w:before="0" w:after="2"/>
      </w:pPr>
      <w:r>
        <w:rPr>
          <w:b w:val="0"/>
          <w:i w:val="0"/>
          <w:color w:val="1A1A1A"/>
          <w:sz w:val="17"/>
        </w:rPr>
        <w:t xml:space="preserve">El </w:t>
      </w:r>
      <w:r>
        <w:rPr>
          <w:b/>
          <w:i w:val="0"/>
          <w:color w:val="1A569A"/>
          <w:sz w:val="17"/>
        </w:rPr>
        <w:t>poliuretano proyectado de celda cerrada</w:t>
      </w:r>
      <w:r>
        <w:rPr>
          <w:b w:val="0"/>
          <w:i w:val="0"/>
          <w:color w:val="1A1A1A"/>
          <w:sz w:val="17"/>
        </w:rPr>
        <w:t xml:space="preserve"> es un material de aislación térmica y acústica de alta densidad, aplicado en forma líquida mediante proyección a alta presión. Al expandirse, forma una espuma rígida de celda cerrada que adhiere directamente a la superficie tratada, eliminando puentes térmicos y creando una barrera continua, impermeable y duradera.</w:t>
      </w:r>
    </w:p>
    <w:p>
      <w:pPr>
        <w:spacing w:before="4" w:after="2"/>
      </w:pPr>
      <w:r>
        <w:rPr>
          <w:b/>
          <w:i w:val="0"/>
          <w:color w:val="0B2545"/>
          <w:sz w:val="17"/>
        </w:rPr>
        <w:t>ESPECIFICACIONES TÉCNICAS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7313"/>
      </w:tblGrid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Tipo de espuma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Celda cerrada (closed cell)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Densidad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35 – 45 kg/m³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Conductividad térmica (λ)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0,022 – 0,026 W/(m·K)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Resistencia a compresión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≥ 150 kPa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Absorción de agua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&lt; 3% (en volumen)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Permeabilidad al vapor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μ ≥ 50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Clasificación ignifugación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Material </w:t>
            </w:r>
            <w:r>
              <w:rPr>
                <w:b/>
                <w:i w:val="0"/>
                <w:color w:val="1A569A"/>
                <w:sz w:val="17"/>
              </w:rPr>
              <w:t>ignífugo</w:t>
            </w:r>
            <w:r>
              <w:rPr>
                <w:b w:val="0"/>
                <w:i w:val="0"/>
                <w:color w:val="1A1A1A"/>
                <w:sz w:val="17"/>
              </w:rPr>
              <w:t xml:space="preserve"> — clase B1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Resistencia a roedores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Sí — estructura rígida de </w:t>
            </w:r>
            <w:r>
              <w:rPr>
                <w:b/>
                <w:i w:val="0"/>
                <w:color w:val="1A569A"/>
                <w:sz w:val="17"/>
              </w:rPr>
              <w:t>celda cerrada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Temperatura de servicio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–50 °C a +100 °C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Temperatura de aplicación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–5 °C a +35 °C (ambiente)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Espesor estándar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3 – 10 cm (según proyecto)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Vida útil — bajo cubierta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&gt; 50 años (protegido de UV, vida útil del edificio)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Vida útil — expuesto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&gt; 20 años con recubrimiento UV; recoatar cada 10–15 años</w:t>
            </w:r>
          </w:p>
        </w:tc>
      </w:tr>
    </w:tbl>
    <w:p>
      <w:pPr>
        <w:spacing w:before="4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5329"/>
      </w:tblGrid>
      <w:tr>
        <w:tc>
          <w:tcPr>
            <w:tcW w:type="dxa" w:w="5216"/>
            <w:tcW w:w="5103" w:type="dxa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7"/>
              </w:rPr>
              <w:t>VENTAJAS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Excelente aislación térmica y acústica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Material ignífugo — resistente al fuego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Repele roedores e insectos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Impermeable al agua y la humedad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Adhiere a cualquier superficie (metal, hormigón, madera)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Sin juntas ni puentes térmicos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Aplicación rápida, en 1 a 2 días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Vida útil superior a 50 años bajo cubierta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Sin deterioro por humedad ni pérdida de propiedades térmicas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No requiere mantención periódica</w:t>
            </w:r>
          </w:p>
        </w:tc>
        <w:tc>
          <w:tcPr>
            <w:tcW w:type="dxa" w:w="5216"/>
            <w:tcW w:w="5329" w:type="dxa"/>
            <w:tcMar>
              <w:top w:w="0" w:type="dxa"/>
              <w:bottom w:w="0" w:type="dxa"/>
              <w:left w:w="60" w:type="dxa"/>
              <w:right w:w="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7"/>
              </w:rPr>
              <w:t>APLICACIONES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Techos y cubiertas (zinc, fibrocemento, hormigón)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Muros y fachadas exteriores e interiores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Suelos y fundaciones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Cámaras frigoríficas y recintos de temperatura controlada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Tuberías y estanques industriales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Naves industriales, bodegas y galpones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Casas, edificios y condominios residenciales</w:t>
            </w:r>
          </w:p>
        </w:tc>
      </w:tr>
    </w:tbl>
    <w:p>
      <w:pPr>
        <w:spacing w:before="4" w:after="2"/>
      </w:pPr>
      <w:r>
        <w:rPr>
          <w:b/>
          <w:i w:val="0"/>
          <w:color w:val="0B2545"/>
          <w:sz w:val="17"/>
        </w:rPr>
        <w:t>PROCESO DE APLICACIÓN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77"/>
        <w:gridCol w:w="3477"/>
        <w:gridCol w:w="3477"/>
      </w:tblGrid>
      <w:tr>
        <w:trPr>
          <w:trHeight w:val="260" w:hRule="exact"/>
        </w:trPr>
        <w:tc>
          <w:tcPr>
            <w:tcW w:type="dxa" w:w="3477"/>
            <w:tcW w:w="567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3477"/>
            <w:tcW w:w="1814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Etapa</w:t>
            </w:r>
          </w:p>
        </w:tc>
        <w:tc>
          <w:tcPr>
            <w:tcW w:type="dxa" w:w="3477"/>
            <w:tcW w:w="8051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1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Preparación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Limpieza y secado de la superficie. Retiro de polvo, grasa u óxido.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2</w:t>
            </w:r>
          </w:p>
        </w:tc>
        <w:tc>
          <w:tcPr>
            <w:tcW w:type="dxa" w:w="3477"/>
            <w:tcW w:w="1814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Imprimación</w:t>
            </w:r>
          </w:p>
        </w:tc>
        <w:tc>
          <w:tcPr>
            <w:tcW w:type="dxa" w:w="3477"/>
            <w:tcW w:w="8051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Aplicación de primer adhesivo según soporte (hormigón, metal, madera).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3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Proyección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Mezcla y proyección del poliuretano mediante equipo de alta presión.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4</w:t>
            </w:r>
          </w:p>
        </w:tc>
        <w:tc>
          <w:tcPr>
            <w:tcW w:type="dxa" w:w="3477"/>
            <w:tcW w:w="1814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Verificación</w:t>
            </w:r>
          </w:p>
        </w:tc>
        <w:tc>
          <w:tcPr>
            <w:tcW w:type="dxa" w:w="3477"/>
            <w:tcW w:w="8051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Revisión de espesores, uniones y posibles irregularidades.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5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Entrega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Inspección final y entrega del trabajo terminado.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1"/>
      </w:tblGrid>
      <w:tr>
        <w:tc>
          <w:tcPr>
            <w:tcW w:type="dxa" w:w="10432"/>
            <w:tcW w:w="10432" w:type="dxa"/>
            <w:shd w:val="clear" w:color="auto" w:fill="EEF3FA"/>
            <w:tcMar>
              <w:top w:w="25" w:type="dxa"/>
              <w:bottom w:w="25" w:type="dxa"/>
              <w:left w:w="80" w:type="dxa"/>
              <w:right w:w="80" w:type="dxa"/>
            </w:tcMar>
            <w:tcBorders>
              <w:top w:val="single" w:sz="4" w:color="A0C4E8"/>
              <w:bottom w:val="single" w:sz="4" w:color="A0C4E8"/>
              <w:left w:val="single" w:sz="4" w:color="A0C4E8"/>
              <w:right w:val="single" w:sz="4" w:color="A0C4E8"/>
            </w:tcBorders>
          </w:tcPr>
          <w:p>
            <w:pPr>
              <w:spacing w:before="0" w:after="3"/>
            </w:pPr>
            <w:r>
              <w:rPr>
                <w:b/>
                <w:i w:val="0"/>
                <w:color w:val="1A569A"/>
                <w:sz w:val="16"/>
              </w:rPr>
              <w:t xml:space="preserve">NOTA:  </w:t>
            </w:r>
            <w:r>
              <w:rPr>
                <w:b w:val="0"/>
                <w:i/>
                <w:color w:val="555555"/>
                <w:sz w:val="16"/>
              </w:rPr>
              <w:t>Los valores indicados corresponden a rangos típicos del material. Las especificaciones exactas pueden variar según el proveedor, las condiciones de aplicación y el espesor requerido. Aispoltec adapta la solución a cada proyecto.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340" w:right="737" w:bottom="34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