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80"/>
      </w:pPr>
    </w:p>
    <w:p>
      <w:pPr>
        <w:jc w:val="right"/>
      </w:pPr>
      <w:r>
        <w:rPr>
          <w:b/>
          <w:color w:val="A3384D"/>
          <w:sz w:val="108"/>
          <w:lang w:val="es-CO"/>
        </w:rPr>
        <w:t>02</w:t>
      </w:r>
    </w:p>
    <w:p>
      <w:pPr>
        <w:pStyle w:val="Title"/>
      </w:pPr>
      <w:r>
        <w:rPr>
          <w:lang w:val="es-CO"/>
        </w:rPr>
        <w:t>Informe técnico de viabilidad</w:t>
        <w:br/>
      </w:r>
      <w:r>
        <w:rPr>
          <w:color w:val="3C838C"/>
          <w:lang w:val="es-CO"/>
        </w:rPr>
        <w:t>Aplicación empresarial independiente</w:t>
      </w:r>
    </w:p>
    <w:p>
      <w:pPr>
        <w:pStyle w:val="Subtitle"/>
      </w:pPr>
      <w:r>
        <w:rPr>
          <w:lang w:val="es-CO"/>
        </w:rPr>
        <w:t>Arquitectura, infraestructura, seguridad, rendimiento, operación y costo total de propiedad</w:t>
      </w:r>
    </w:p>
    <w:p>
      <w:pPr>
        <w:spacing w:after="360"/>
      </w:pPr>
    </w:p>
    <w:tbl>
      <w:tblPr>
        <w:tblW w:type="auto" w:w="0"/>
        <w:jc w:val="center"/>
        <w:tblLayout w:type="fixed"/>
        <w:tblLook w:firstColumn="1" w:firstRow="1" w:lastColumn="0" w:lastRow="0" w:noHBand="0" w:noVBand="1" w:val="04A0"/>
      </w:tblPr>
      <w:tblGrid>
        <w:gridCol w:w="173"/>
        <w:gridCol w:w="9864"/>
      </w:tblGrid>
      <w:tr>
        <w:tc>
          <w:tcPr>
            <w:tcW w:type="dxa" w:w="5083"/>
            <w:shd w:fill="A3384D"/>
          </w:tcPr>
          <w:p/>
        </w:tc>
        <w:tc>
          <w:tcPr>
            <w:tcW w:type="dxa" w:w="5083"/>
            <w:shd w:fill="F2F6F4"/>
            <w:tcMar>
              <w:top w:w="150" w:type="dxa"/>
              <w:start w:w="180" w:type="dxa"/>
              <w:bottom w:w="150" w:type="dxa"/>
              <w:end w:w="180" w:type="dxa"/>
            </w:tcMar>
          </w:tcPr>
          <w:p>
            <w:r>
              <w:rPr>
                <w:b/>
                <w:color w:val="A3384D"/>
                <w:sz w:val="20"/>
              </w:rPr>
              <w:t>DECISIÓN QUE SOPORTA ESTE INFORME</w:t>
              <w:br/>
            </w:r>
            <w:r>
              <w:rPr>
                <w:color w:val="1D2B27"/>
                <w:sz w:val="18"/>
              </w:rPr>
              <w:t>Determinar qué exige construir y operar una plataforma propia, modular y de larga vida útil, sin depender de Power Apps ni de Dataverse como núcleo transaccional.</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tcMar>
              <w:top w:w="100" w:type="dxa"/>
              <w:start w:w="120" w:type="dxa"/>
              <w:bottom w:w="100" w:type="dxa"/>
              <w:end w:w="120" w:type="dxa"/>
            </w:tcMar>
            <w:shd w:fill="2F5048"/>
          </w:tcPr>
          <w:p>
            <w:r/>
            <w:r>
              <w:rPr>
                <w:rFonts w:ascii="Aptos" w:hAnsi="Aptos"/>
                <w:b/>
                <w:color w:val="FFFFFF"/>
                <w:sz w:val="16"/>
              </w:rPr>
              <w:t>Parámetro</w:t>
            </w:r>
          </w:p>
        </w:tc>
        <w:tc>
          <w:tcPr>
            <w:tcW w:type="dxa" w:w="7200"/>
            <w:vAlign w:val="center"/>
            <w:tcMar>
              <w:top w:w="100" w:type="dxa"/>
              <w:start w:w="120" w:type="dxa"/>
              <w:bottom w:w="100" w:type="dxa"/>
              <w:end w:w="120" w:type="dxa"/>
            </w:tcMar>
            <w:shd w:fill="2F5048"/>
          </w:tcPr>
          <w:p>
            <w:r/>
            <w:r>
              <w:rPr>
                <w:rFonts w:ascii="Aptos" w:hAnsi="Aptos"/>
                <w:b/>
                <w:color w:val="FFFFFF"/>
                <w:sz w:val="16"/>
              </w:rPr>
              <w:t>Supuesto de análisis</w:t>
            </w:r>
          </w:p>
        </w:tc>
      </w:tr>
      <w:tr>
        <w:tc>
          <w:tcPr>
            <w:tcW w:type="dxa" w:w="2880"/>
            <w:vAlign w:val="center"/>
            <w:tcMar>
              <w:top w:w="100" w:type="dxa"/>
              <w:start w:w="120" w:type="dxa"/>
              <w:bottom w:w="100" w:type="dxa"/>
              <w:end w:w="120" w:type="dxa"/>
            </w:tcMar>
            <w:shd w:fill="FFFFFF"/>
          </w:tcPr>
          <w:p>
            <w:r/>
            <w:r>
              <w:rPr>
                <w:rFonts w:ascii="Aptos" w:hAnsi="Aptos"/>
                <w:b w:val="0"/>
                <w:color w:val="1D2B27"/>
                <w:sz w:val="18"/>
              </w:rPr>
              <w:t>Organización</w:t>
            </w:r>
          </w:p>
        </w:tc>
        <w:tc>
          <w:tcPr>
            <w:tcW w:type="dxa" w:w="7200"/>
            <w:vAlign w:val="center"/>
            <w:tcMar>
              <w:top w:w="100" w:type="dxa"/>
              <w:start w:w="120" w:type="dxa"/>
              <w:bottom w:w="100" w:type="dxa"/>
              <w:end w:w="120" w:type="dxa"/>
            </w:tcMar>
            <w:shd w:fill="FFFFFF"/>
          </w:tcPr>
          <w:p>
            <w:r/>
            <w:r>
              <w:rPr>
                <w:rFonts w:ascii="Aptos" w:hAnsi="Aptos"/>
                <w:b w:val="0"/>
                <w:color w:val="1D2B27"/>
                <w:sz w:val="18"/>
              </w:rPr>
              <w:t>Fundación Gaia Amazonas</w:t>
            </w:r>
          </w:p>
        </w:tc>
      </w:tr>
      <w:tr>
        <w:tc>
          <w:tcPr>
            <w:tcW w:type="dxa" w:w="2880"/>
            <w:vAlign w:val="center"/>
            <w:tcMar>
              <w:top w:w="100" w:type="dxa"/>
              <w:start w:w="120" w:type="dxa"/>
              <w:bottom w:w="100" w:type="dxa"/>
              <w:end w:w="120" w:type="dxa"/>
            </w:tcMar>
            <w:shd w:fill="F2F6F4"/>
          </w:tcPr>
          <w:p>
            <w:r/>
            <w:r>
              <w:rPr>
                <w:rFonts w:ascii="Aptos" w:hAnsi="Aptos"/>
                <w:b w:val="0"/>
                <w:color w:val="1D2B27"/>
                <w:sz w:val="18"/>
              </w:rPr>
              <w:t>Población total</w:t>
            </w:r>
          </w:p>
        </w:tc>
        <w:tc>
          <w:tcPr>
            <w:tcW w:type="dxa" w:w="7200"/>
            <w:vAlign w:val="center"/>
            <w:tcMar>
              <w:top w:w="100" w:type="dxa"/>
              <w:start w:w="120" w:type="dxa"/>
              <w:bottom w:w="100" w:type="dxa"/>
              <w:end w:w="120" w:type="dxa"/>
            </w:tcMar>
            <w:shd w:fill="F2F6F4"/>
          </w:tcPr>
          <w:p>
            <w:r/>
            <w:r>
              <w:rPr>
                <w:rFonts w:ascii="Aptos" w:hAnsi="Aptos"/>
                <w:b w:val="0"/>
                <w:color w:val="1D2B27"/>
                <w:sz w:val="18"/>
              </w:rPr>
              <w:t>Aproximadamente 170 empleados</w:t>
            </w:r>
          </w:p>
        </w:tc>
      </w:tr>
      <w:tr>
        <w:tc>
          <w:tcPr>
            <w:tcW w:type="dxa" w:w="2880"/>
            <w:vAlign w:val="center"/>
            <w:tcMar>
              <w:top w:w="100" w:type="dxa"/>
              <w:start w:w="120" w:type="dxa"/>
              <w:bottom w:w="100" w:type="dxa"/>
              <w:end w:w="120" w:type="dxa"/>
            </w:tcMar>
            <w:shd w:fill="FFFFFF"/>
          </w:tcPr>
          <w:p>
            <w:r/>
            <w:r>
              <w:rPr>
                <w:rFonts w:ascii="Aptos" w:hAnsi="Aptos"/>
                <w:b w:val="0"/>
                <w:color w:val="1D2B27"/>
                <w:sz w:val="18"/>
              </w:rPr>
              <w:t>Uso previsto</w:t>
            </w:r>
          </w:p>
        </w:tc>
        <w:tc>
          <w:tcPr>
            <w:tcW w:type="dxa" w:w="7200"/>
            <w:vAlign w:val="center"/>
            <w:tcMar>
              <w:top w:w="100" w:type="dxa"/>
              <w:start w:w="120" w:type="dxa"/>
              <w:bottom w:w="100" w:type="dxa"/>
              <w:end w:w="120" w:type="dxa"/>
            </w:tcMar>
            <w:shd w:fill="FFFFFF"/>
          </w:tcPr>
          <w:p>
            <w:r/>
            <w:r>
              <w:rPr>
                <w:rFonts w:ascii="Aptos" w:hAnsi="Aptos"/>
                <w:b w:val="0"/>
                <w:color w:val="1D2B27"/>
                <w:sz w:val="18"/>
              </w:rPr>
              <w:t>30–50 usuarios administrativos conectados, con crecimiento modular</w:t>
            </w:r>
          </w:p>
        </w:tc>
      </w:tr>
      <w:tr>
        <w:tc>
          <w:tcPr>
            <w:tcW w:type="dxa" w:w="2880"/>
            <w:vAlign w:val="center"/>
            <w:tcMar>
              <w:top w:w="100" w:type="dxa"/>
              <w:start w:w="120" w:type="dxa"/>
              <w:bottom w:w="100" w:type="dxa"/>
              <w:end w:w="120" w:type="dxa"/>
            </w:tcMar>
            <w:shd w:fill="F2F6F4"/>
          </w:tcPr>
          <w:p>
            <w:r/>
            <w:r>
              <w:rPr>
                <w:rFonts w:ascii="Aptos" w:hAnsi="Aptos"/>
                <w:b w:val="0"/>
                <w:color w:val="1D2B27"/>
                <w:sz w:val="18"/>
              </w:rPr>
              <w:t>Primer alcance</w:t>
            </w:r>
          </w:p>
        </w:tc>
        <w:tc>
          <w:tcPr>
            <w:tcW w:type="dxa" w:w="7200"/>
            <w:vAlign w:val="center"/>
            <w:tcMar>
              <w:top w:w="100" w:type="dxa"/>
              <w:start w:w="120" w:type="dxa"/>
              <w:bottom w:w="100" w:type="dxa"/>
              <w:end w:w="120" w:type="dxa"/>
            </w:tcMar>
            <w:shd w:fill="F2F6F4"/>
          </w:tcPr>
          <w:p>
            <w:r/>
            <w:r>
              <w:rPr>
                <w:rFonts w:ascii="Aptos" w:hAnsi="Aptos"/>
                <w:b w:val="0"/>
                <w:color w:val="1D2B27"/>
                <w:sz w:val="18"/>
              </w:rPr>
              <w:t>Identidad y permisos, estructura organizacional, terceros, inventario, documentos, reportes y Power BI</w:t>
            </w:r>
          </w:p>
        </w:tc>
      </w:tr>
      <w:tr>
        <w:tc>
          <w:tcPr>
            <w:tcW w:type="dxa" w:w="2880"/>
            <w:vAlign w:val="center"/>
            <w:tcMar>
              <w:top w:w="100" w:type="dxa"/>
              <w:start w:w="120" w:type="dxa"/>
              <w:bottom w:w="100" w:type="dxa"/>
              <w:end w:w="120" w:type="dxa"/>
            </w:tcMar>
            <w:shd w:fill="FFFFFF"/>
          </w:tcPr>
          <w:p>
            <w:r/>
            <w:r>
              <w:rPr>
                <w:rFonts w:ascii="Aptos" w:hAnsi="Aptos"/>
                <w:b w:val="0"/>
                <w:color w:val="1D2B27"/>
                <w:sz w:val="18"/>
              </w:rPr>
              <w:t>Horizonte</w:t>
            </w:r>
          </w:p>
        </w:tc>
        <w:tc>
          <w:tcPr>
            <w:tcW w:type="dxa" w:w="7200"/>
            <w:vAlign w:val="center"/>
            <w:tcMar>
              <w:top w:w="100" w:type="dxa"/>
              <w:start w:w="120" w:type="dxa"/>
              <w:bottom w:w="100" w:type="dxa"/>
              <w:end w:w="120" w:type="dxa"/>
            </w:tcMar>
            <w:shd w:fill="FFFFFF"/>
          </w:tcPr>
          <w:p>
            <w:r/>
            <w:r>
              <w:rPr>
                <w:rFonts w:ascii="Aptos" w:hAnsi="Aptos"/>
                <w:b w:val="0"/>
                <w:color w:val="1D2B27"/>
                <w:sz w:val="18"/>
              </w:rPr>
              <w:t>5–10 años, con evolución tecnológica planificada</w:t>
            </w:r>
          </w:p>
        </w:tc>
      </w:tr>
      <w:tr>
        <w:tc>
          <w:tcPr>
            <w:tcW w:type="dxa" w:w="2880"/>
            <w:vAlign w:val="center"/>
            <w:tcMar>
              <w:top w:w="100" w:type="dxa"/>
              <w:start w:w="120" w:type="dxa"/>
              <w:bottom w:w="100" w:type="dxa"/>
              <w:end w:w="120" w:type="dxa"/>
            </w:tcMar>
            <w:shd w:fill="F2F6F4"/>
          </w:tcPr>
          <w:p>
            <w:r/>
            <w:r>
              <w:rPr>
                <w:rFonts w:ascii="Aptos" w:hAnsi="Aptos"/>
                <w:b w:val="0"/>
                <w:color w:val="1D2B27"/>
                <w:sz w:val="18"/>
              </w:rPr>
              <w:t>Fecha de corte</w:t>
            </w:r>
          </w:p>
        </w:tc>
        <w:tc>
          <w:tcPr>
            <w:tcW w:type="dxa" w:w="7200"/>
            <w:vAlign w:val="center"/>
            <w:tcMar>
              <w:top w:w="100" w:type="dxa"/>
              <w:start w:w="120" w:type="dxa"/>
              <w:bottom w:w="100" w:type="dxa"/>
              <w:end w:w="120" w:type="dxa"/>
            </w:tcMar>
            <w:shd w:fill="F2F6F4"/>
          </w:tcPr>
          <w:p>
            <w:r/>
            <w:r>
              <w:rPr>
                <w:rFonts w:ascii="Aptos" w:hAnsi="Aptos"/>
                <w:b w:val="0"/>
                <w:color w:val="1D2B27"/>
                <w:sz w:val="18"/>
              </w:rPr>
              <w:t>5 de agosto de 2026</w:t>
            </w:r>
          </w:p>
        </w:tc>
      </w:tr>
    </w:tbl>
    <w:p>
      <w:pPr>
        <w:spacing w:after="0"/>
      </w:pPr>
    </w:p>
    <w:p>
      <w:pPr>
        <w:spacing w:after="400"/>
      </w:pPr>
    </w:p>
    <w:p>
      <w:pPr>
        <w:jc w:val="right"/>
      </w:pPr>
      <w:r>
        <w:rPr>
          <w:b/>
          <w:color w:val="2F5048"/>
          <w:sz w:val="22"/>
          <w:lang w:val="es-CO"/>
        </w:rPr>
        <w:t>Documento para evaluación directiva y técnica</w:t>
      </w:r>
    </w:p>
    <w:p>
      <w:pPr>
        <w:jc w:val="right"/>
      </w:pPr>
      <w:r>
        <w:rPr>
          <w:i/>
          <w:lang w:val="es-CO"/>
        </w:rPr>
        <w:t>Versión 1.0  |  Uso interno</w:t>
      </w:r>
    </w:p>
    <w:p>
      <w:r>
        <w:rPr>
          <w:lang w:val="es-CO"/>
        </w:rPr>
        <w:br w:type="page"/>
      </w:r>
    </w:p>
    <w:p>
      <w:pPr>
        <w:pStyle w:val="Heading1"/>
        <w:keepNext/>
      </w:pPr>
      <w:r>
        <w:rPr>
          <w:lang w:val="es-CO"/>
        </w:rPr>
        <w:t>Resumen ejecutivo</w:t>
      </w:r>
    </w:p>
    <w:p>
      <w:r>
        <w:rPr>
          <w:lang w:val="es-CO"/>
        </w:rPr>
        <w:t>La construcción de una aplicación independiente es técnicamente viable para Gaia Amazonas y no exige una infraestructura sobredimensionada. Con 30–50 usuarios conectados, una arquitectura modular basada en Next.js, ASP.NET Core y PostgreSQL puede ofrecer tiempos de respuesta cortos, control integral del diseño y crecimiento por módulos. El factor determinante no será el número de usuarios, sino la disciplina con la que se diseñen las consultas, la seguridad, las copias, la observabilidad y la operación.</w:t>
      </w:r>
    </w:p>
    <w:tbl>
      <w:tblPr>
        <w:tblW w:type="auto" w:w="0"/>
        <w:jc w:val="center"/>
        <w:tblLayout w:type="fixed"/>
        <w:tblLook w:firstColumn="1" w:firstRow="1" w:lastColumn="0" w:lastRow="0" w:noHBand="0" w:noVBand="1" w:val="04A0"/>
      </w:tblPr>
      <w:tblGrid>
        <w:gridCol w:w="173"/>
        <w:gridCol w:w="9864"/>
      </w:tblGrid>
      <w:tr>
        <w:tc>
          <w:tcPr>
            <w:tcW w:type="dxa" w:w="5083"/>
            <w:shd w:fill="2F5048"/>
          </w:tcPr>
          <w:p/>
        </w:tc>
        <w:tc>
          <w:tcPr>
            <w:tcW w:type="dxa" w:w="5083"/>
            <w:shd w:fill="F2F6F4"/>
            <w:tcMar>
              <w:top w:w="150" w:type="dxa"/>
              <w:start w:w="180" w:type="dxa"/>
              <w:bottom w:w="150" w:type="dxa"/>
              <w:end w:w="180" w:type="dxa"/>
            </w:tcMar>
          </w:tcPr>
          <w:p>
            <w:r>
              <w:rPr>
                <w:b/>
                <w:color w:val="2F5048"/>
                <w:sz w:val="20"/>
              </w:rPr>
              <w:t>RECOMENDACIÓN</w:t>
              <w:br/>
            </w:r>
            <w:r>
              <w:rPr>
                <w:color w:val="1D2B27"/>
                <w:sz w:val="18"/>
              </w:rPr>
              <w:t>Continuar con un monolito modular desplegable en contenedores, PostgreSQL como fuente transaccional y almacenamiento de objetos para documentos. Iniciar producción con servicios administrados o con un servidor dedicado correctamente operado; separar módulos en servicios independientes únicamente cuando exista una necesidad técnica medida.</w:t>
            </w:r>
          </w:p>
        </w:tc>
      </w:tr>
    </w:tbl>
    <w:p>
      <w:pPr>
        <w:spacing w:after="0"/>
      </w:pPr>
    </w:p>
    <w:p>
      <w:pPr>
        <w:pStyle w:val="Heading2"/>
        <w:keepNext/>
      </w:pPr>
      <w:r>
        <w:rPr>
          <w:lang w:val="es-CO"/>
        </w:rPr>
        <w:t>Conclusiones principales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944"/>
            <w:vAlign w:val="center"/>
            <w:tcMar>
              <w:top w:w="100" w:type="dxa"/>
              <w:start w:w="120" w:type="dxa"/>
              <w:bottom w:w="100" w:type="dxa"/>
              <w:end w:w="120" w:type="dxa"/>
            </w:tcMar>
            <w:shd w:fill="2F5048"/>
          </w:tcPr>
          <w:p>
            <w:r/>
            <w:r>
              <w:rPr>
                <w:rFonts w:ascii="Aptos" w:hAnsi="Aptos"/>
                <w:b/>
                <w:color w:val="FFFFFF"/>
                <w:sz w:val="16"/>
              </w:rPr>
              <w:t>Hallazgo</w:t>
            </w:r>
          </w:p>
        </w:tc>
        <w:tc>
          <w:tcPr>
            <w:tcW w:type="dxa" w:w="8136"/>
            <w:vAlign w:val="center"/>
            <w:tcMar>
              <w:top w:w="100" w:type="dxa"/>
              <w:start w:w="120" w:type="dxa"/>
              <w:bottom w:w="100" w:type="dxa"/>
              <w:end w:w="120" w:type="dxa"/>
            </w:tcMar>
            <w:shd w:fill="2F5048"/>
          </w:tcPr>
          <w:p>
            <w:r/>
            <w:r>
              <w:rPr>
                <w:rFonts w:ascii="Aptos" w:hAnsi="Aptos"/>
                <w:b/>
                <w:color w:val="FFFFFF"/>
                <w:sz w:val="16"/>
              </w:rPr>
              <w:t>Implicación ejecutiva</w:t>
            </w:r>
          </w:p>
        </w:tc>
      </w:tr>
      <w:tr>
        <w:tc>
          <w:tcPr>
            <w:tcW w:type="dxa" w:w="1944"/>
            <w:vAlign w:val="center"/>
            <w:tcMar>
              <w:top w:w="100" w:type="dxa"/>
              <w:start w:w="120" w:type="dxa"/>
              <w:bottom w:w="100" w:type="dxa"/>
              <w:end w:w="120" w:type="dxa"/>
            </w:tcMar>
            <w:shd w:fill="FFFFFF"/>
          </w:tcPr>
          <w:p>
            <w:r/>
            <w:r>
              <w:rPr>
                <w:rFonts w:ascii="Aptos" w:hAnsi="Aptos"/>
                <w:b w:val="0"/>
                <w:color w:val="1D2B27"/>
                <w:sz w:val="17"/>
              </w:rPr>
              <w:t>Capacidad</w:t>
            </w:r>
          </w:p>
        </w:tc>
        <w:tc>
          <w:tcPr>
            <w:tcW w:type="dxa" w:w="8136"/>
            <w:vAlign w:val="center"/>
            <w:tcMar>
              <w:top w:w="100" w:type="dxa"/>
              <w:start w:w="120" w:type="dxa"/>
              <w:bottom w:w="100" w:type="dxa"/>
              <w:end w:w="120" w:type="dxa"/>
            </w:tcMar>
            <w:shd w:fill="FFFFFF"/>
          </w:tcPr>
          <w:p>
            <w:r/>
            <w:r>
              <w:rPr>
                <w:rFonts w:ascii="Aptos" w:hAnsi="Aptos"/>
                <w:b w:val="0"/>
                <w:color w:val="1D2B27"/>
                <w:sz w:val="17"/>
              </w:rPr>
              <w:t>30–50 usuarios concurrentes son una carga moderada. Un diseño inicial de 2–4 vCPU para aplicación y 2–4 vCPU para base de datos es suficiente como punto de partida, sujeto a prueba de carga.</w:t>
            </w:r>
          </w:p>
        </w:tc>
      </w:tr>
      <w:tr>
        <w:tc>
          <w:tcPr>
            <w:tcW w:type="dxa" w:w="1944"/>
            <w:vAlign w:val="center"/>
            <w:tcMar>
              <w:top w:w="100" w:type="dxa"/>
              <w:start w:w="120" w:type="dxa"/>
              <w:bottom w:w="100" w:type="dxa"/>
              <w:end w:w="120" w:type="dxa"/>
            </w:tcMar>
            <w:shd w:fill="F2F6F4"/>
          </w:tcPr>
          <w:p>
            <w:r/>
            <w:r>
              <w:rPr>
                <w:rFonts w:ascii="Aptos" w:hAnsi="Aptos"/>
                <w:b w:val="0"/>
                <w:color w:val="1D2B27"/>
                <w:sz w:val="17"/>
              </w:rPr>
              <w:t>Rapidez</w:t>
            </w:r>
          </w:p>
        </w:tc>
        <w:tc>
          <w:tcPr>
            <w:tcW w:type="dxa" w:w="8136"/>
            <w:vAlign w:val="center"/>
            <w:tcMar>
              <w:top w:w="100" w:type="dxa"/>
              <w:start w:w="120" w:type="dxa"/>
              <w:bottom w:w="100" w:type="dxa"/>
              <w:end w:w="120" w:type="dxa"/>
            </w:tcMar>
            <w:shd w:fill="F2F6F4"/>
          </w:tcPr>
          <w:p>
            <w:r/>
            <w:r>
              <w:rPr>
                <w:rFonts w:ascii="Aptos" w:hAnsi="Aptos"/>
                <w:b w:val="0"/>
                <w:color w:val="1D2B27"/>
                <w:sz w:val="17"/>
              </w:rPr>
              <w:t>La API filtrará y paginará sobre toda la base de datos. No existe el límite funcional de procesar solo 500/2.000 filas en el cliente; sí deben existir índices, límites de página y consultas optimizadas.</w:t>
            </w:r>
          </w:p>
        </w:tc>
      </w:tr>
      <w:tr>
        <w:tc>
          <w:tcPr>
            <w:tcW w:type="dxa" w:w="1944"/>
            <w:vAlign w:val="center"/>
            <w:tcMar>
              <w:top w:w="100" w:type="dxa"/>
              <w:start w:w="120" w:type="dxa"/>
              <w:bottom w:w="100" w:type="dxa"/>
              <w:end w:w="120" w:type="dxa"/>
            </w:tcMar>
            <w:shd w:fill="FFFFFF"/>
          </w:tcPr>
          <w:p>
            <w:r/>
            <w:r>
              <w:rPr>
                <w:rFonts w:ascii="Aptos" w:hAnsi="Aptos"/>
                <w:b w:val="0"/>
                <w:color w:val="1D2B27"/>
                <w:sz w:val="17"/>
              </w:rPr>
              <w:t>Licencias</w:t>
            </w:r>
          </w:p>
        </w:tc>
        <w:tc>
          <w:tcPr>
            <w:tcW w:type="dxa" w:w="8136"/>
            <w:vAlign w:val="center"/>
            <w:tcMar>
              <w:top w:w="100" w:type="dxa"/>
              <w:start w:w="120" w:type="dxa"/>
              <w:bottom w:w="100" w:type="dxa"/>
              <w:end w:w="120" w:type="dxa"/>
            </w:tcMar>
            <w:shd w:fill="FFFFFF"/>
          </w:tcPr>
          <w:p>
            <w:r/>
            <w:r>
              <w:rPr>
                <w:rFonts w:ascii="Aptos" w:hAnsi="Aptos"/>
                <w:b w:val="0"/>
                <w:color w:val="1D2B27"/>
                <w:sz w:val="17"/>
              </w:rPr>
              <w:t>El núcleo propuesto utiliza tecnologías con licencias abiertas. Esto elimina licencias por usuario de la plataforma propia, pero no elimina infraestructura, respaldo, seguridad, soporte ni trabajo especializado.</w:t>
            </w:r>
          </w:p>
        </w:tc>
      </w:tr>
      <w:tr>
        <w:tc>
          <w:tcPr>
            <w:tcW w:type="dxa" w:w="1944"/>
            <w:vAlign w:val="center"/>
            <w:tcMar>
              <w:top w:w="100" w:type="dxa"/>
              <w:start w:w="120" w:type="dxa"/>
              <w:bottom w:w="100" w:type="dxa"/>
              <w:end w:w="120" w:type="dxa"/>
            </w:tcMar>
            <w:shd w:fill="F2F6F4"/>
          </w:tcPr>
          <w:p>
            <w:r/>
            <w:r>
              <w:rPr>
                <w:rFonts w:ascii="Aptos" w:hAnsi="Aptos"/>
                <w:b w:val="0"/>
                <w:color w:val="1D2B27"/>
                <w:sz w:val="17"/>
              </w:rPr>
              <w:t>Microsoft</w:t>
            </w:r>
          </w:p>
        </w:tc>
        <w:tc>
          <w:tcPr>
            <w:tcW w:type="dxa" w:w="8136"/>
            <w:vAlign w:val="center"/>
            <w:tcMar>
              <w:top w:w="100" w:type="dxa"/>
              <w:start w:w="120" w:type="dxa"/>
              <w:bottom w:w="100" w:type="dxa"/>
              <w:end w:w="120" w:type="dxa"/>
            </w:tcMar>
            <w:shd w:fill="F2F6F4"/>
          </w:tcPr>
          <w:p>
            <w:r/>
            <w:r>
              <w:rPr>
                <w:rFonts w:ascii="Aptos" w:hAnsi="Aptos"/>
                <w:b w:val="0"/>
                <w:color w:val="1D2B27"/>
                <w:sz w:val="17"/>
              </w:rPr>
              <w:t>Se conserva Microsoft Entra ID para inicio de sesión y Power BI para analítica. La aplicación propia no implica abandonar Microsoft 365.</w:t>
            </w:r>
          </w:p>
        </w:tc>
      </w:tr>
      <w:tr>
        <w:tc>
          <w:tcPr>
            <w:tcW w:type="dxa" w:w="1944"/>
            <w:vAlign w:val="center"/>
            <w:tcMar>
              <w:top w:w="100" w:type="dxa"/>
              <w:start w:w="120" w:type="dxa"/>
              <w:bottom w:w="100" w:type="dxa"/>
              <w:end w:w="120" w:type="dxa"/>
            </w:tcMar>
            <w:shd w:fill="FFFFFF"/>
          </w:tcPr>
          <w:p>
            <w:r/>
            <w:r>
              <w:rPr>
                <w:rFonts w:ascii="Aptos" w:hAnsi="Aptos"/>
                <w:b w:val="0"/>
                <w:color w:val="1D2B27"/>
                <w:sz w:val="17"/>
              </w:rPr>
              <w:t>Riesgo principal</w:t>
            </w:r>
          </w:p>
        </w:tc>
        <w:tc>
          <w:tcPr>
            <w:tcW w:type="dxa" w:w="8136"/>
            <w:vAlign w:val="center"/>
            <w:tcMar>
              <w:top w:w="100" w:type="dxa"/>
              <w:start w:w="120" w:type="dxa"/>
              <w:bottom w:w="100" w:type="dxa"/>
              <w:end w:w="120" w:type="dxa"/>
            </w:tcMar>
            <w:shd w:fill="FFFFFF"/>
          </w:tcPr>
          <w:p>
            <w:r/>
            <w:r>
              <w:rPr>
                <w:rFonts w:ascii="Aptos" w:hAnsi="Aptos"/>
                <w:b w:val="0"/>
                <w:color w:val="1D2B27"/>
                <w:sz w:val="17"/>
              </w:rPr>
              <w:t>La dependencia cambia de licenciamiento por usuario a capacidad interna de ingeniería y operación. Sin dueño técnico, QA, monitoreo y mantenimiento, el riesgo aumenta.</w:t>
            </w:r>
          </w:p>
        </w:tc>
      </w:tr>
      <w:tr>
        <w:tc>
          <w:tcPr>
            <w:tcW w:type="dxa" w:w="1944"/>
            <w:vAlign w:val="center"/>
            <w:tcMar>
              <w:top w:w="100" w:type="dxa"/>
              <w:start w:w="120" w:type="dxa"/>
              <w:bottom w:w="100" w:type="dxa"/>
              <w:end w:w="120" w:type="dxa"/>
            </w:tcMar>
            <w:shd w:fill="F2F6F4"/>
          </w:tcPr>
          <w:p>
            <w:r/>
            <w:r>
              <w:rPr>
                <w:rFonts w:ascii="Aptos" w:hAnsi="Aptos"/>
                <w:b w:val="0"/>
                <w:color w:val="1D2B27"/>
                <w:sz w:val="17"/>
              </w:rPr>
              <w:t>Costo dominante</w:t>
            </w:r>
          </w:p>
        </w:tc>
        <w:tc>
          <w:tcPr>
            <w:tcW w:type="dxa" w:w="8136"/>
            <w:vAlign w:val="center"/>
            <w:tcMar>
              <w:top w:w="100" w:type="dxa"/>
              <w:start w:w="120" w:type="dxa"/>
              <w:bottom w:w="100" w:type="dxa"/>
              <w:end w:w="120" w:type="dxa"/>
            </w:tcMar>
            <w:shd w:fill="F2F6F4"/>
          </w:tcPr>
          <w:p>
            <w:r/>
            <w:r>
              <w:rPr>
                <w:rFonts w:ascii="Aptos" w:hAnsi="Aptos"/>
                <w:b w:val="0"/>
                <w:color w:val="1D2B27"/>
                <w:sz w:val="17"/>
              </w:rPr>
              <w:t>En cinco años, el costo humano normalmente supera al costo del servidor. Debe presupuestarse construcción, evolución, soporte, pruebas, seguridad y actualización de dependencias.</w:t>
            </w:r>
          </w:p>
        </w:tc>
      </w:tr>
    </w:tbl>
    <w:p>
      <w:pPr>
        <w:spacing w:after="0"/>
      </w:pPr>
    </w:p>
    <w:p>
      <w:pPr>
        <w:pStyle w:val="Heading2"/>
        <w:keepNext/>
      </w:pPr>
      <w:r>
        <w:rPr>
          <w:lang w:val="es-CO"/>
        </w:rPr>
        <w:t>Decisión recomendada</w:t>
      </w:r>
    </w:p>
    <w:p>
      <w:r>
        <w:rPr>
          <w:lang w:val="es-CO"/>
        </w:rPr>
        <w:t>Autorizar una fase de consolidación productiva por hitos, no una construcción total de una sola vez. El primer hito debe dejar identidad, permisos, auditoría, organización, terceros e inventario en condiciones de producción; después se incorporan documentos, reportes, integraciones y nuevos dominios.</w:t>
      </w:r>
    </w:p>
    <w:p>
      <w:r>
        <w:rPr>
          <w:lang w:val="es-CO"/>
        </w:rPr>
        <w:br w:type="page"/>
      </w:r>
    </w:p>
    <w:p>
      <w:pPr>
        <w:pStyle w:val="Heading1"/>
        <w:keepNext/>
      </w:pPr>
      <w:r>
        <w:rPr>
          <w:lang w:val="es-CO"/>
        </w:rPr>
        <w:t>1. Alcance y criterios de evaluación</w:t>
      </w:r>
    </w:p>
    <w:p>
      <w:pPr>
        <w:pStyle w:val="Heading2"/>
        <w:keepNext/>
      </w:pPr>
      <w:r>
        <w:rPr>
          <w:lang w:val="es-CO"/>
        </w:rPr>
        <w:t>1.1 Qué se evalúa</w:t>
      </w:r>
    </w:p>
    <w:p>
      <w:r>
        <w:rPr>
          <w:lang w:val="es-CO"/>
        </w:rPr>
        <w:t>Este informe analiza exclusivamente el escenario de aplicación independiente: interfaz propia, API propia, base de datos PostgreSQL y almacenamiento de documentos controlado por Gaia. Microsoft 365 permanece como proveedor de identidad y Power BI como consumidor analítico cuando resulte conveniente.</w:t>
      </w:r>
    </w:p>
    <w:p>
      <w:pPr>
        <w:pStyle w:val="Heading2"/>
        <w:keepNext/>
      </w:pPr>
      <w:r>
        <w:rPr>
          <w:lang w:val="es-CO"/>
        </w:rPr>
        <w:t>1.2 Qué no se evalúa aquí</w:t>
      </w:r>
    </w:p>
    <w:p>
      <w:pPr>
        <w:pStyle w:val="ListBullet"/>
      </w:pPr>
      <w:r>
        <w:rPr>
          <w:lang w:val="es-CO"/>
        </w:rPr>
        <w:t>No se presenta una comparación puntuada contra Power Apps/Dataverse; corresponde al Informe 03.</w:t>
      </w:r>
    </w:p>
    <w:p>
      <w:pPr>
        <w:pStyle w:val="ListBullet"/>
      </w:pPr>
      <w:r>
        <w:rPr>
          <w:lang w:val="es-CO"/>
        </w:rPr>
        <w:t>No se cotiza un proveedor específico ni se sustituyen ofertas comerciales. Los valores son rangos de planeación y deben validarse en calculadores y propuestas vigentes.</w:t>
      </w:r>
    </w:p>
    <w:p>
      <w:pPr>
        <w:pStyle w:val="ListBullet"/>
      </w:pPr>
      <w:r>
        <w:rPr>
          <w:lang w:val="es-CO"/>
        </w:rPr>
        <w:t>No se asume que “software libre” equivale a operación sin costo.</w:t>
      </w:r>
    </w:p>
    <w:p>
      <w:pPr>
        <w:pStyle w:val="Heading2"/>
        <w:keepNext/>
      </w:pPr>
      <w:r>
        <w:rPr>
          <w:lang w:val="es-CO"/>
        </w:rPr>
        <w:t>1.3 Criterios de éxito</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72"/>
            <w:vAlign w:val="center"/>
            <w:tcMar>
              <w:top w:w="100" w:type="dxa"/>
              <w:start w:w="120" w:type="dxa"/>
              <w:bottom w:w="100" w:type="dxa"/>
              <w:end w:w="120" w:type="dxa"/>
            </w:tcMar>
            <w:shd w:fill="2F5048"/>
          </w:tcPr>
          <w:p>
            <w:r/>
            <w:r>
              <w:rPr>
                <w:rFonts w:ascii="Aptos" w:hAnsi="Aptos"/>
                <w:b/>
                <w:color w:val="FFFFFF"/>
                <w:sz w:val="16"/>
              </w:rPr>
              <w:t>Dimensión</w:t>
            </w:r>
          </w:p>
        </w:tc>
        <w:tc>
          <w:tcPr>
            <w:tcW w:type="dxa" w:w="8208"/>
            <w:vAlign w:val="center"/>
            <w:tcMar>
              <w:top w:w="100" w:type="dxa"/>
              <w:start w:w="120" w:type="dxa"/>
              <w:bottom w:w="100" w:type="dxa"/>
              <w:end w:w="120" w:type="dxa"/>
            </w:tcMar>
            <w:shd w:fill="2F5048"/>
          </w:tcPr>
          <w:p>
            <w:r/>
            <w:r>
              <w:rPr>
                <w:rFonts w:ascii="Aptos" w:hAnsi="Aptos"/>
                <w:b/>
                <w:color w:val="FFFFFF"/>
                <w:sz w:val="16"/>
              </w:rPr>
              <w:t>Criterio de aceptación propuesto</w:t>
            </w:r>
          </w:p>
        </w:tc>
      </w:tr>
      <w:tr>
        <w:tc>
          <w:tcPr>
            <w:tcW w:type="dxa" w:w="1872"/>
            <w:vAlign w:val="center"/>
            <w:tcMar>
              <w:top w:w="100" w:type="dxa"/>
              <w:start w:w="120" w:type="dxa"/>
              <w:bottom w:w="100" w:type="dxa"/>
              <w:end w:w="120" w:type="dxa"/>
            </w:tcMar>
            <w:shd w:fill="FFFFFF"/>
          </w:tcPr>
          <w:p>
            <w:r/>
            <w:r>
              <w:rPr>
                <w:rFonts w:ascii="Aptos" w:hAnsi="Aptos"/>
                <w:b w:val="0"/>
                <w:color w:val="1D2B27"/>
                <w:sz w:val="17"/>
              </w:rPr>
              <w:t>Experiencia</w:t>
            </w:r>
          </w:p>
        </w:tc>
        <w:tc>
          <w:tcPr>
            <w:tcW w:type="dxa" w:w="8208"/>
            <w:vAlign w:val="center"/>
            <w:tcMar>
              <w:top w:w="100" w:type="dxa"/>
              <w:start w:w="120" w:type="dxa"/>
              <w:bottom w:w="100" w:type="dxa"/>
              <w:end w:w="120" w:type="dxa"/>
            </w:tcMar>
            <w:shd w:fill="FFFFFF"/>
          </w:tcPr>
          <w:p>
            <w:r/>
            <w:r>
              <w:rPr>
                <w:rFonts w:ascii="Aptos" w:hAnsi="Aptos"/>
                <w:b w:val="0"/>
                <w:color w:val="1D2B27"/>
                <w:sz w:val="17"/>
              </w:rPr>
              <w:t>Navegación coherente, responsive, accesible y alineada con la identidad Gaia.</w:t>
            </w:r>
          </w:p>
        </w:tc>
      </w:tr>
      <w:tr>
        <w:tc>
          <w:tcPr>
            <w:tcW w:type="dxa" w:w="1872"/>
            <w:vAlign w:val="center"/>
            <w:tcMar>
              <w:top w:w="100" w:type="dxa"/>
              <w:start w:w="120" w:type="dxa"/>
              <w:bottom w:w="100" w:type="dxa"/>
              <w:end w:w="120" w:type="dxa"/>
            </w:tcMar>
            <w:shd w:fill="F2F6F4"/>
          </w:tcPr>
          <w:p>
            <w:r/>
            <w:r>
              <w:rPr>
                <w:rFonts w:ascii="Aptos" w:hAnsi="Aptos"/>
                <w:b w:val="0"/>
                <w:color w:val="1D2B27"/>
                <w:sz w:val="17"/>
              </w:rPr>
              <w:t>Rendimiento</w:t>
            </w:r>
          </w:p>
        </w:tc>
        <w:tc>
          <w:tcPr>
            <w:tcW w:type="dxa" w:w="8208"/>
            <w:vAlign w:val="center"/>
            <w:tcMar>
              <w:top w:w="100" w:type="dxa"/>
              <w:start w:w="120" w:type="dxa"/>
              <w:bottom w:w="100" w:type="dxa"/>
              <w:end w:w="120" w:type="dxa"/>
            </w:tcMar>
            <w:shd w:fill="F2F6F4"/>
          </w:tcPr>
          <w:p>
            <w:r/>
            <w:r>
              <w:rPr>
                <w:rFonts w:ascii="Aptos" w:hAnsi="Aptos"/>
                <w:b w:val="0"/>
                <w:color w:val="1D2B27"/>
                <w:sz w:val="17"/>
              </w:rPr>
              <w:t>Consultas comunes p95 ≤ 1,5 s; apertura de ficha p95 ≤ 2 s; guardado p95 ≤ 2,5 s bajo carga objetivo.</w:t>
            </w:r>
          </w:p>
        </w:tc>
      </w:tr>
      <w:tr>
        <w:tc>
          <w:tcPr>
            <w:tcW w:type="dxa" w:w="1872"/>
            <w:vAlign w:val="center"/>
            <w:tcMar>
              <w:top w:w="100" w:type="dxa"/>
              <w:start w:w="120" w:type="dxa"/>
              <w:bottom w:w="100" w:type="dxa"/>
              <w:end w:w="120" w:type="dxa"/>
            </w:tcMar>
            <w:shd w:fill="FFFFFF"/>
          </w:tcPr>
          <w:p>
            <w:r/>
            <w:r>
              <w:rPr>
                <w:rFonts w:ascii="Aptos" w:hAnsi="Aptos"/>
                <w:b w:val="0"/>
                <w:color w:val="1D2B27"/>
                <w:sz w:val="17"/>
              </w:rPr>
              <w:t>Datos</w:t>
            </w:r>
          </w:p>
        </w:tc>
        <w:tc>
          <w:tcPr>
            <w:tcW w:type="dxa" w:w="8208"/>
            <w:vAlign w:val="center"/>
            <w:tcMar>
              <w:top w:w="100" w:type="dxa"/>
              <w:start w:w="120" w:type="dxa"/>
              <w:bottom w:w="100" w:type="dxa"/>
              <w:end w:w="120" w:type="dxa"/>
            </w:tcMar>
            <w:shd w:fill="FFFFFF"/>
          </w:tcPr>
          <w:p>
            <w:r/>
            <w:r>
              <w:rPr>
                <w:rFonts w:ascii="Aptos" w:hAnsi="Aptos"/>
                <w:b w:val="0"/>
                <w:color w:val="1D2B27"/>
                <w:sz w:val="17"/>
              </w:rPr>
              <w:t>Integridad referencial, auditoría, trazabilidad y restauración probada.</w:t>
            </w:r>
          </w:p>
        </w:tc>
      </w:tr>
      <w:tr>
        <w:tc>
          <w:tcPr>
            <w:tcW w:type="dxa" w:w="1872"/>
            <w:vAlign w:val="center"/>
            <w:tcMar>
              <w:top w:w="100" w:type="dxa"/>
              <w:start w:w="120" w:type="dxa"/>
              <w:bottom w:w="100" w:type="dxa"/>
              <w:end w:w="120" w:type="dxa"/>
            </w:tcMar>
            <w:shd w:fill="F2F6F4"/>
          </w:tcPr>
          <w:p>
            <w:r/>
            <w:r>
              <w:rPr>
                <w:rFonts w:ascii="Aptos" w:hAnsi="Aptos"/>
                <w:b w:val="0"/>
                <w:color w:val="1D2B27"/>
                <w:sz w:val="17"/>
              </w:rPr>
              <w:t>Seguridad</w:t>
            </w:r>
          </w:p>
        </w:tc>
        <w:tc>
          <w:tcPr>
            <w:tcW w:type="dxa" w:w="8208"/>
            <w:vAlign w:val="center"/>
            <w:tcMar>
              <w:top w:w="100" w:type="dxa"/>
              <w:start w:w="120" w:type="dxa"/>
              <w:bottom w:w="100" w:type="dxa"/>
              <w:end w:w="120" w:type="dxa"/>
            </w:tcMar>
            <w:shd w:fill="F2F6F4"/>
          </w:tcPr>
          <w:p>
            <w:r/>
            <w:r>
              <w:rPr>
                <w:rFonts w:ascii="Aptos" w:hAnsi="Aptos"/>
                <w:b w:val="0"/>
                <w:color w:val="1D2B27"/>
                <w:sz w:val="17"/>
              </w:rPr>
              <w:t>Inicio con Entra ID, mínimo privilegio, protección web, gestión de secretos y evidencias de auditoría.</w:t>
            </w:r>
          </w:p>
        </w:tc>
      </w:tr>
      <w:tr>
        <w:tc>
          <w:tcPr>
            <w:tcW w:type="dxa" w:w="1872"/>
            <w:vAlign w:val="center"/>
            <w:tcMar>
              <w:top w:w="100" w:type="dxa"/>
              <w:start w:w="120" w:type="dxa"/>
              <w:bottom w:w="100" w:type="dxa"/>
              <w:end w:w="120" w:type="dxa"/>
            </w:tcMar>
            <w:shd w:fill="FFFFFF"/>
          </w:tcPr>
          <w:p>
            <w:r/>
            <w:r>
              <w:rPr>
                <w:rFonts w:ascii="Aptos" w:hAnsi="Aptos"/>
                <w:b w:val="0"/>
                <w:color w:val="1D2B27"/>
                <w:sz w:val="17"/>
              </w:rPr>
              <w:t>Operación</w:t>
            </w:r>
          </w:p>
        </w:tc>
        <w:tc>
          <w:tcPr>
            <w:tcW w:type="dxa" w:w="8208"/>
            <w:vAlign w:val="center"/>
            <w:tcMar>
              <w:top w:w="100" w:type="dxa"/>
              <w:start w:w="120" w:type="dxa"/>
              <w:bottom w:w="100" w:type="dxa"/>
              <w:end w:w="120" w:type="dxa"/>
            </w:tcMar>
            <w:shd w:fill="FFFFFF"/>
          </w:tcPr>
          <w:p>
            <w:r/>
            <w:r>
              <w:rPr>
                <w:rFonts w:ascii="Aptos" w:hAnsi="Aptos"/>
                <w:b w:val="0"/>
                <w:color w:val="1D2B27"/>
                <w:sz w:val="17"/>
              </w:rPr>
              <w:t>Ambientes separados, despliegue repetible, alertas, respaldos y procedimiento de recuperación.</w:t>
            </w:r>
          </w:p>
        </w:tc>
      </w:tr>
      <w:tr>
        <w:tc>
          <w:tcPr>
            <w:tcW w:type="dxa" w:w="1872"/>
            <w:vAlign w:val="center"/>
            <w:tcMar>
              <w:top w:w="100" w:type="dxa"/>
              <w:start w:w="120" w:type="dxa"/>
              <w:bottom w:w="100" w:type="dxa"/>
              <w:end w:w="120" w:type="dxa"/>
            </w:tcMar>
            <w:shd w:fill="F2F6F4"/>
          </w:tcPr>
          <w:p>
            <w:r/>
            <w:r>
              <w:rPr>
                <w:rFonts w:ascii="Aptos" w:hAnsi="Aptos"/>
                <w:b w:val="0"/>
                <w:color w:val="1D2B27"/>
                <w:sz w:val="17"/>
              </w:rPr>
              <w:t>Evolución</w:t>
            </w:r>
          </w:p>
        </w:tc>
        <w:tc>
          <w:tcPr>
            <w:tcW w:type="dxa" w:w="8208"/>
            <w:vAlign w:val="center"/>
            <w:tcMar>
              <w:top w:w="100" w:type="dxa"/>
              <w:start w:w="120" w:type="dxa"/>
              <w:bottom w:w="100" w:type="dxa"/>
              <w:end w:w="120" w:type="dxa"/>
            </w:tcMar>
            <w:shd w:fill="F2F6F4"/>
          </w:tcPr>
          <w:p>
            <w:r/>
            <w:r>
              <w:rPr>
                <w:rFonts w:ascii="Aptos" w:hAnsi="Aptos"/>
                <w:b w:val="0"/>
                <w:color w:val="1D2B27"/>
                <w:sz w:val="17"/>
              </w:rPr>
              <w:t>Módulos aislados lógicamente y contratos de API versionables.</w:t>
            </w:r>
          </w:p>
        </w:tc>
      </w:tr>
    </w:tbl>
    <w:p>
      <w:pPr>
        <w:spacing w:after="0"/>
      </w:pPr>
    </w:p>
    <w:p>
      <w:pPr>
        <w:pStyle w:val="Heading2"/>
        <w:keepNext/>
      </w:pPr>
      <w:r>
        <w:rPr>
          <w:lang w:val="es-CO"/>
        </w:rPr>
        <w:t>1.4 Estado aprovechable del proyecto</w:t>
      </w:r>
    </w:p>
    <w:p>
      <w:r>
        <w:rPr>
          <w:lang w:val="es-CO"/>
        </w:rPr>
        <w:t>La base existente ya reduce incertidumbre: se ha adoptado un monolito modular, ASP.NET Core/.NET 10, Next.js 16, PostgreSQL 18, identidad local preparada para Entra ID y módulos iniciales de organización, terceros e inventario. El prototipo contiene datos de referencia y permite validar diseño y flujos. Esta ventaja no debe confundirse con preparación productiva: faltan endurecimiento, pruebas de carga, recuperación, observabilidad, CI/CD y validación de seguridad.</w:t>
      </w:r>
    </w:p>
    <w:p>
      <w:r>
        <w:rPr>
          <w:lang w:val="es-CO"/>
        </w:rPr>
        <w:br w:type="page"/>
      </w:r>
    </w:p>
    <w:p>
      <w:pPr>
        <w:pStyle w:val="Heading1"/>
        <w:keepNext/>
      </w:pPr>
      <w:r>
        <w:rPr>
          <w:lang w:val="es-CO"/>
        </w:rPr>
        <w:t>2. Arquitectura propuesta</w:t>
      </w:r>
    </w:p>
    <w:p>
      <w:pPr>
        <w:pStyle w:val="Heading2"/>
        <w:keepNext/>
      </w:pPr>
      <w:r>
        <w:rPr>
          <w:lang w:val="es-CO"/>
        </w:rPr>
        <w:t>2.1 Estilo arquitectónico</w:t>
      </w:r>
    </w:p>
    <w:p>
      <w:r>
        <w:rPr>
          <w:lang w:val="es-CO"/>
        </w:rPr>
        <w:t>Se recomienda un monolito modular. Es una aplicación desplegable como una unidad, pero internamente separada por dominios y reglas. En 2026 sigue siendo una decisión moderna cuando el equipo es pequeño o mediano, el volumen es moderado y se necesita avanzar rápido sin asumir la complejidad operativa de microservicios.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vAlign w:val="center"/>
            <w:tcMar>
              <w:top w:w="100" w:type="dxa"/>
              <w:start w:w="120" w:type="dxa"/>
              <w:bottom w:w="100" w:type="dxa"/>
              <w:end w:w="120" w:type="dxa"/>
            </w:tcMar>
            <w:shd w:fill="2F5048"/>
          </w:tcPr>
          <w:p>
            <w:r/>
            <w:r>
              <w:rPr>
                <w:rFonts w:ascii="Aptos" w:hAnsi="Aptos"/>
                <w:b/>
                <w:color w:val="FFFFFF"/>
                <w:sz w:val="16"/>
              </w:rPr>
              <w:t>Capa</w:t>
            </w:r>
          </w:p>
        </w:tc>
        <w:tc>
          <w:tcPr>
            <w:tcW w:type="dxa" w:w="4896"/>
            <w:vAlign w:val="center"/>
            <w:tcMar>
              <w:top w:w="100" w:type="dxa"/>
              <w:start w:w="120" w:type="dxa"/>
              <w:bottom w:w="100" w:type="dxa"/>
              <w:end w:w="120" w:type="dxa"/>
            </w:tcMar>
            <w:shd w:fill="2F5048"/>
          </w:tcPr>
          <w:p>
            <w:r/>
            <w:r>
              <w:rPr>
                <w:rFonts w:ascii="Aptos" w:hAnsi="Aptos"/>
                <w:b/>
                <w:color w:val="FFFFFF"/>
                <w:sz w:val="16"/>
              </w:rPr>
              <w:t>Responsabilidad</w:t>
            </w:r>
          </w:p>
        </w:tc>
        <w:tc>
          <w:tcPr>
            <w:tcW w:type="dxa" w:w="3528"/>
            <w:vAlign w:val="center"/>
            <w:tcMar>
              <w:top w:w="100" w:type="dxa"/>
              <w:start w:w="120" w:type="dxa"/>
              <w:bottom w:w="100" w:type="dxa"/>
              <w:end w:w="120" w:type="dxa"/>
            </w:tcMar>
            <w:shd w:fill="2F5048"/>
          </w:tcPr>
          <w:p>
            <w:r/>
            <w:r>
              <w:rPr>
                <w:rFonts w:ascii="Aptos" w:hAnsi="Aptos"/>
                <w:b/>
                <w:color w:val="FFFFFF"/>
                <w:sz w:val="16"/>
              </w:rPr>
              <w:t>Tecnología</w:t>
            </w:r>
          </w:p>
        </w:tc>
      </w:tr>
      <w:tr>
        <w:tc>
          <w:tcPr>
            <w:tcW w:type="dxa" w:w="1656"/>
            <w:vAlign w:val="center"/>
            <w:tcMar>
              <w:top w:w="100" w:type="dxa"/>
              <w:start w:w="120" w:type="dxa"/>
              <w:bottom w:w="100" w:type="dxa"/>
              <w:end w:w="120" w:type="dxa"/>
            </w:tcMar>
            <w:shd w:fill="FFFFFF"/>
          </w:tcPr>
          <w:p>
            <w:r/>
            <w:r>
              <w:rPr>
                <w:rFonts w:ascii="Aptos" w:hAnsi="Aptos"/>
                <w:b w:val="0"/>
                <w:color w:val="1D2B27"/>
                <w:sz w:val="16"/>
              </w:rPr>
              <w:t>Experiencia</w:t>
            </w:r>
          </w:p>
        </w:tc>
        <w:tc>
          <w:tcPr>
            <w:tcW w:type="dxa" w:w="4896"/>
            <w:vAlign w:val="center"/>
            <w:tcMar>
              <w:top w:w="100" w:type="dxa"/>
              <w:start w:w="120" w:type="dxa"/>
              <w:bottom w:w="100" w:type="dxa"/>
              <w:end w:w="120" w:type="dxa"/>
            </w:tcMar>
            <w:shd w:fill="FFFFFF"/>
          </w:tcPr>
          <w:p>
            <w:r/>
            <w:r>
              <w:rPr>
                <w:rFonts w:ascii="Aptos" w:hAnsi="Aptos"/>
                <w:b w:val="0"/>
                <w:color w:val="1D2B27"/>
                <w:sz w:val="16"/>
              </w:rPr>
              <w:t>Intranet, aplicación administrativa, navegación, formularios y visualización</w:t>
            </w:r>
          </w:p>
        </w:tc>
        <w:tc>
          <w:tcPr>
            <w:tcW w:type="dxa" w:w="3528"/>
            <w:vAlign w:val="center"/>
            <w:tcMar>
              <w:top w:w="100" w:type="dxa"/>
              <w:start w:w="120" w:type="dxa"/>
              <w:bottom w:w="100" w:type="dxa"/>
              <w:end w:w="120" w:type="dxa"/>
            </w:tcMar>
            <w:shd w:fill="FFFFFF"/>
          </w:tcPr>
          <w:p>
            <w:r/>
            <w:r>
              <w:rPr>
                <w:rFonts w:ascii="Aptos" w:hAnsi="Aptos"/>
                <w:b w:val="0"/>
                <w:color w:val="1D2B27"/>
                <w:sz w:val="16"/>
              </w:rPr>
              <w:t>Next.js 16 + React 19 + TypeScript</w:t>
            </w:r>
          </w:p>
        </w:tc>
      </w:tr>
      <w:tr>
        <w:tc>
          <w:tcPr>
            <w:tcW w:type="dxa" w:w="1656"/>
            <w:vAlign w:val="center"/>
            <w:tcMar>
              <w:top w:w="100" w:type="dxa"/>
              <w:start w:w="120" w:type="dxa"/>
              <w:bottom w:w="100" w:type="dxa"/>
              <w:end w:w="120" w:type="dxa"/>
            </w:tcMar>
            <w:shd w:fill="F2F6F4"/>
          </w:tcPr>
          <w:p>
            <w:r/>
            <w:r>
              <w:rPr>
                <w:rFonts w:ascii="Aptos" w:hAnsi="Aptos"/>
                <w:b w:val="0"/>
                <w:color w:val="1D2B27"/>
                <w:sz w:val="16"/>
              </w:rPr>
              <w:t>Aplicación</w:t>
            </w:r>
          </w:p>
        </w:tc>
        <w:tc>
          <w:tcPr>
            <w:tcW w:type="dxa" w:w="4896"/>
            <w:vAlign w:val="center"/>
            <w:tcMar>
              <w:top w:w="100" w:type="dxa"/>
              <w:start w:w="120" w:type="dxa"/>
              <w:bottom w:w="100" w:type="dxa"/>
              <w:end w:w="120" w:type="dxa"/>
            </w:tcMar>
            <w:shd w:fill="F2F6F4"/>
          </w:tcPr>
          <w:p>
            <w:r/>
            <w:r>
              <w:rPr>
                <w:rFonts w:ascii="Aptos" w:hAnsi="Aptos"/>
                <w:b w:val="0"/>
                <w:color w:val="1D2B27"/>
                <w:sz w:val="16"/>
              </w:rPr>
              <w:t>Casos de uso, validación, autorización, auditoría y API</w:t>
            </w:r>
          </w:p>
        </w:tc>
        <w:tc>
          <w:tcPr>
            <w:tcW w:type="dxa" w:w="3528"/>
            <w:vAlign w:val="center"/>
            <w:tcMar>
              <w:top w:w="100" w:type="dxa"/>
              <w:start w:w="120" w:type="dxa"/>
              <w:bottom w:w="100" w:type="dxa"/>
              <w:end w:w="120" w:type="dxa"/>
            </w:tcMar>
            <w:shd w:fill="F2F6F4"/>
          </w:tcPr>
          <w:p>
            <w:r/>
            <w:r>
              <w:rPr>
                <w:rFonts w:ascii="Aptos" w:hAnsi="Aptos"/>
                <w:b w:val="0"/>
                <w:color w:val="1D2B27"/>
                <w:sz w:val="16"/>
              </w:rPr>
              <w:t>ASP.NET Core / .NET 10</w:t>
            </w:r>
          </w:p>
        </w:tc>
      </w:tr>
      <w:tr>
        <w:tc>
          <w:tcPr>
            <w:tcW w:type="dxa" w:w="1656"/>
            <w:vAlign w:val="center"/>
            <w:tcMar>
              <w:top w:w="100" w:type="dxa"/>
              <w:start w:w="120" w:type="dxa"/>
              <w:bottom w:w="100" w:type="dxa"/>
              <w:end w:w="120" w:type="dxa"/>
            </w:tcMar>
            <w:shd w:fill="FFFFFF"/>
          </w:tcPr>
          <w:p>
            <w:r/>
            <w:r>
              <w:rPr>
                <w:rFonts w:ascii="Aptos" w:hAnsi="Aptos"/>
                <w:b w:val="0"/>
                <w:color w:val="1D2B27"/>
                <w:sz w:val="16"/>
              </w:rPr>
              <w:t>Dominio</w:t>
            </w:r>
          </w:p>
        </w:tc>
        <w:tc>
          <w:tcPr>
            <w:tcW w:type="dxa" w:w="4896"/>
            <w:vAlign w:val="center"/>
            <w:tcMar>
              <w:top w:w="100" w:type="dxa"/>
              <w:start w:w="120" w:type="dxa"/>
              <w:bottom w:w="100" w:type="dxa"/>
              <w:end w:w="120" w:type="dxa"/>
            </w:tcMar>
            <w:shd w:fill="FFFFFF"/>
          </w:tcPr>
          <w:p>
            <w:r/>
            <w:r>
              <w:rPr>
                <w:rFonts w:ascii="Aptos" w:hAnsi="Aptos"/>
                <w:b w:val="0"/>
                <w:color w:val="1D2B27"/>
                <w:sz w:val="16"/>
              </w:rPr>
              <w:t>Reglas por organización, terceros, inventario y futuros módulos</w:t>
            </w:r>
          </w:p>
        </w:tc>
        <w:tc>
          <w:tcPr>
            <w:tcW w:type="dxa" w:w="3528"/>
            <w:vAlign w:val="center"/>
            <w:tcMar>
              <w:top w:w="100" w:type="dxa"/>
              <w:start w:w="120" w:type="dxa"/>
              <w:bottom w:w="100" w:type="dxa"/>
              <w:end w:w="120" w:type="dxa"/>
            </w:tcMar>
            <w:shd w:fill="FFFFFF"/>
          </w:tcPr>
          <w:p>
            <w:r/>
            <w:r>
              <w:rPr>
                <w:rFonts w:ascii="Aptos" w:hAnsi="Aptos"/>
                <w:b w:val="0"/>
                <w:color w:val="1D2B27"/>
                <w:sz w:val="16"/>
              </w:rPr>
              <w:t>Módulos .NET independientes lógicamente</w:t>
            </w:r>
          </w:p>
        </w:tc>
      </w:tr>
      <w:tr>
        <w:tc>
          <w:tcPr>
            <w:tcW w:type="dxa" w:w="1656"/>
            <w:vAlign w:val="center"/>
            <w:tcMar>
              <w:top w:w="100" w:type="dxa"/>
              <w:start w:w="120" w:type="dxa"/>
              <w:bottom w:w="100" w:type="dxa"/>
              <w:end w:w="120" w:type="dxa"/>
            </w:tcMar>
            <w:shd w:fill="F2F6F4"/>
          </w:tcPr>
          <w:p>
            <w:r/>
            <w:r>
              <w:rPr>
                <w:rFonts w:ascii="Aptos" w:hAnsi="Aptos"/>
                <w:b w:val="0"/>
                <w:color w:val="1D2B27"/>
                <w:sz w:val="16"/>
              </w:rPr>
              <w:t>Datos</w:t>
            </w:r>
          </w:p>
        </w:tc>
        <w:tc>
          <w:tcPr>
            <w:tcW w:type="dxa" w:w="4896"/>
            <w:vAlign w:val="center"/>
            <w:tcMar>
              <w:top w:w="100" w:type="dxa"/>
              <w:start w:w="120" w:type="dxa"/>
              <w:bottom w:w="100" w:type="dxa"/>
              <w:end w:w="120" w:type="dxa"/>
            </w:tcMar>
            <w:shd w:fill="F2F6F4"/>
          </w:tcPr>
          <w:p>
            <w:r/>
            <w:r>
              <w:rPr>
                <w:rFonts w:ascii="Aptos" w:hAnsi="Aptos"/>
                <w:b w:val="0"/>
                <w:color w:val="1D2B27"/>
                <w:sz w:val="16"/>
              </w:rPr>
              <w:t>Transacciones, relaciones, índices, historial y consultas</w:t>
            </w:r>
          </w:p>
        </w:tc>
        <w:tc>
          <w:tcPr>
            <w:tcW w:type="dxa" w:w="3528"/>
            <w:vAlign w:val="center"/>
            <w:tcMar>
              <w:top w:w="100" w:type="dxa"/>
              <w:start w:w="120" w:type="dxa"/>
              <w:bottom w:w="100" w:type="dxa"/>
              <w:end w:w="120" w:type="dxa"/>
            </w:tcMar>
            <w:shd w:fill="F2F6F4"/>
          </w:tcPr>
          <w:p>
            <w:r/>
            <w:r>
              <w:rPr>
                <w:rFonts w:ascii="Aptos" w:hAnsi="Aptos"/>
                <w:b w:val="0"/>
                <w:color w:val="1D2B27"/>
                <w:sz w:val="16"/>
              </w:rPr>
              <w:t>PostgreSQL 18</w:t>
            </w:r>
          </w:p>
        </w:tc>
      </w:tr>
      <w:tr>
        <w:tc>
          <w:tcPr>
            <w:tcW w:type="dxa" w:w="1656"/>
            <w:vAlign w:val="center"/>
            <w:tcMar>
              <w:top w:w="100" w:type="dxa"/>
              <w:start w:w="120" w:type="dxa"/>
              <w:bottom w:w="100" w:type="dxa"/>
              <w:end w:w="120" w:type="dxa"/>
            </w:tcMar>
            <w:shd w:fill="FFFFFF"/>
          </w:tcPr>
          <w:p>
            <w:r/>
            <w:r>
              <w:rPr>
                <w:rFonts w:ascii="Aptos" w:hAnsi="Aptos"/>
                <w:b w:val="0"/>
                <w:color w:val="1D2B27"/>
                <w:sz w:val="16"/>
              </w:rPr>
              <w:t>Documentos</w:t>
            </w:r>
          </w:p>
        </w:tc>
        <w:tc>
          <w:tcPr>
            <w:tcW w:type="dxa" w:w="4896"/>
            <w:vAlign w:val="center"/>
            <w:tcMar>
              <w:top w:w="100" w:type="dxa"/>
              <w:start w:w="120" w:type="dxa"/>
              <w:bottom w:w="100" w:type="dxa"/>
              <w:end w:w="120" w:type="dxa"/>
            </w:tcMar>
            <w:shd w:fill="FFFFFF"/>
          </w:tcPr>
          <w:p>
            <w:r/>
            <w:r>
              <w:rPr>
                <w:rFonts w:ascii="Aptos" w:hAnsi="Aptos"/>
                <w:b w:val="0"/>
                <w:color w:val="1D2B27"/>
                <w:sz w:val="16"/>
              </w:rPr>
              <w:t>PDF, imágenes, soportes, versiones y metadatos</w:t>
            </w:r>
          </w:p>
        </w:tc>
        <w:tc>
          <w:tcPr>
            <w:tcW w:type="dxa" w:w="3528"/>
            <w:vAlign w:val="center"/>
            <w:tcMar>
              <w:top w:w="100" w:type="dxa"/>
              <w:start w:w="120" w:type="dxa"/>
              <w:bottom w:w="100" w:type="dxa"/>
              <w:end w:w="120" w:type="dxa"/>
            </w:tcMar>
            <w:shd w:fill="FFFFFF"/>
          </w:tcPr>
          <w:p>
            <w:r/>
            <w:r>
              <w:rPr>
                <w:rFonts w:ascii="Aptos" w:hAnsi="Aptos"/>
                <w:b w:val="0"/>
                <w:color w:val="1D2B27"/>
                <w:sz w:val="16"/>
              </w:rPr>
              <w:t>Almacenamiento de objetos compatible con S3 o Azure Blob</w:t>
            </w:r>
          </w:p>
        </w:tc>
      </w:tr>
      <w:tr>
        <w:tc>
          <w:tcPr>
            <w:tcW w:type="dxa" w:w="1656"/>
            <w:vAlign w:val="center"/>
            <w:tcMar>
              <w:top w:w="100" w:type="dxa"/>
              <w:start w:w="120" w:type="dxa"/>
              <w:bottom w:w="100" w:type="dxa"/>
              <w:end w:w="120" w:type="dxa"/>
            </w:tcMar>
            <w:shd w:fill="F2F6F4"/>
          </w:tcPr>
          <w:p>
            <w:r/>
            <w:r>
              <w:rPr>
                <w:rFonts w:ascii="Aptos" w:hAnsi="Aptos"/>
                <w:b w:val="0"/>
                <w:color w:val="1D2B27"/>
                <w:sz w:val="16"/>
              </w:rPr>
              <w:t>Identidad</w:t>
            </w:r>
          </w:p>
        </w:tc>
        <w:tc>
          <w:tcPr>
            <w:tcW w:type="dxa" w:w="4896"/>
            <w:vAlign w:val="center"/>
            <w:tcMar>
              <w:top w:w="100" w:type="dxa"/>
              <w:start w:w="120" w:type="dxa"/>
              <w:bottom w:w="100" w:type="dxa"/>
              <w:end w:w="120" w:type="dxa"/>
            </w:tcMar>
            <w:shd w:fill="F2F6F4"/>
          </w:tcPr>
          <w:p>
            <w:r/>
            <w:r>
              <w:rPr>
                <w:rFonts w:ascii="Aptos" w:hAnsi="Aptos"/>
                <w:b w:val="0"/>
                <w:color w:val="1D2B27"/>
                <w:sz w:val="16"/>
              </w:rPr>
              <w:t>Inicio de sesión corporativo y MFA</w:t>
            </w:r>
          </w:p>
        </w:tc>
        <w:tc>
          <w:tcPr>
            <w:tcW w:type="dxa" w:w="3528"/>
            <w:vAlign w:val="center"/>
            <w:tcMar>
              <w:top w:w="100" w:type="dxa"/>
              <w:start w:w="120" w:type="dxa"/>
              <w:bottom w:w="100" w:type="dxa"/>
              <w:end w:w="120" w:type="dxa"/>
            </w:tcMar>
            <w:shd w:fill="F2F6F4"/>
          </w:tcPr>
          <w:p>
            <w:r/>
            <w:r>
              <w:rPr>
                <w:rFonts w:ascii="Aptos" w:hAnsi="Aptos"/>
                <w:b w:val="0"/>
                <w:color w:val="1D2B27"/>
                <w:sz w:val="16"/>
              </w:rPr>
              <w:t>Microsoft Entra ID mediante OpenID Connect</w:t>
            </w:r>
          </w:p>
        </w:tc>
      </w:tr>
      <w:tr>
        <w:tc>
          <w:tcPr>
            <w:tcW w:type="dxa" w:w="1656"/>
            <w:vAlign w:val="center"/>
            <w:tcMar>
              <w:top w:w="100" w:type="dxa"/>
              <w:start w:w="120" w:type="dxa"/>
              <w:bottom w:w="100" w:type="dxa"/>
              <w:end w:w="120" w:type="dxa"/>
            </w:tcMar>
            <w:shd w:fill="FFFFFF"/>
          </w:tcPr>
          <w:p>
            <w:r/>
            <w:r>
              <w:rPr>
                <w:rFonts w:ascii="Aptos" w:hAnsi="Aptos"/>
                <w:b w:val="0"/>
                <w:color w:val="1D2B27"/>
                <w:sz w:val="16"/>
              </w:rPr>
              <w:t>Analítica</w:t>
            </w:r>
          </w:p>
        </w:tc>
        <w:tc>
          <w:tcPr>
            <w:tcW w:type="dxa" w:w="4896"/>
            <w:vAlign w:val="center"/>
            <w:tcMar>
              <w:top w:w="100" w:type="dxa"/>
              <w:start w:w="120" w:type="dxa"/>
              <w:bottom w:w="100" w:type="dxa"/>
              <w:end w:w="120" w:type="dxa"/>
            </w:tcMar>
            <w:shd w:fill="FFFFFF"/>
          </w:tcPr>
          <w:p>
            <w:r/>
            <w:r>
              <w:rPr>
                <w:rFonts w:ascii="Aptos" w:hAnsi="Aptos"/>
                <w:b w:val="0"/>
                <w:color w:val="1D2B27"/>
                <w:sz w:val="16"/>
              </w:rPr>
              <w:t>Modelos, tableros y consumo ejecutivo</w:t>
            </w:r>
          </w:p>
        </w:tc>
        <w:tc>
          <w:tcPr>
            <w:tcW w:type="dxa" w:w="3528"/>
            <w:vAlign w:val="center"/>
            <w:tcMar>
              <w:top w:w="100" w:type="dxa"/>
              <w:start w:w="120" w:type="dxa"/>
              <w:bottom w:w="100" w:type="dxa"/>
              <w:end w:w="120" w:type="dxa"/>
            </w:tcMar>
            <w:shd w:fill="FFFFFF"/>
          </w:tcPr>
          <w:p>
            <w:r/>
            <w:r>
              <w:rPr>
                <w:rFonts w:ascii="Aptos" w:hAnsi="Aptos"/>
                <w:b w:val="0"/>
                <w:color w:val="1D2B27"/>
                <w:sz w:val="16"/>
              </w:rPr>
              <w:t>Power BI conectado a vistas de lectura</w:t>
            </w:r>
          </w:p>
        </w:tc>
      </w:tr>
    </w:tbl>
    <w:p>
      <w:pPr>
        <w:spacing w:after="0"/>
      </w:pPr>
    </w:p>
    <w:p>
      <w:pPr>
        <w:pStyle w:val="Heading2"/>
        <w:keepNext/>
      </w:pPr>
      <w:r>
        <w:rPr>
          <w:lang w:val="es-CO"/>
        </w:rPr>
        <w:t>2.2 Flujo de una solicitud</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864"/>
            <w:vAlign w:val="center"/>
            <w:tcMar>
              <w:top w:w="100" w:type="dxa"/>
              <w:start w:w="120" w:type="dxa"/>
              <w:bottom w:w="100" w:type="dxa"/>
              <w:end w:w="120" w:type="dxa"/>
            </w:tcMar>
            <w:shd w:fill="2F5048"/>
          </w:tcPr>
          <w:p>
            <w:r/>
            <w:r>
              <w:rPr>
                <w:rFonts w:ascii="Aptos" w:hAnsi="Aptos"/>
                <w:b/>
                <w:color w:val="FFFFFF"/>
                <w:sz w:val="16"/>
              </w:rPr>
              <w:t>Paso</w:t>
            </w:r>
          </w:p>
        </w:tc>
        <w:tc>
          <w:tcPr>
            <w:tcW w:type="dxa" w:w="9216"/>
            <w:vAlign w:val="center"/>
            <w:tcMar>
              <w:top w:w="100" w:type="dxa"/>
              <w:start w:w="120" w:type="dxa"/>
              <w:bottom w:w="100" w:type="dxa"/>
              <w:end w:w="120" w:type="dxa"/>
            </w:tcMar>
            <w:shd w:fill="2F5048"/>
          </w:tcPr>
          <w:p>
            <w:r/>
            <w:r>
              <w:rPr>
                <w:rFonts w:ascii="Aptos" w:hAnsi="Aptos"/>
                <w:b/>
                <w:color w:val="FFFFFF"/>
                <w:sz w:val="16"/>
              </w:rPr>
              <w:t>Qué ocurre</w:t>
            </w:r>
          </w:p>
        </w:tc>
      </w:tr>
      <w:tr>
        <w:tc>
          <w:tcPr>
            <w:tcW w:type="dxa" w:w="864"/>
            <w:vAlign w:val="center"/>
            <w:tcMar>
              <w:top w:w="100" w:type="dxa"/>
              <w:start w:w="120" w:type="dxa"/>
              <w:bottom w:w="100" w:type="dxa"/>
              <w:end w:w="120" w:type="dxa"/>
            </w:tcMar>
            <w:shd w:fill="FFFFFF"/>
          </w:tcPr>
          <w:p>
            <w:r/>
            <w:r>
              <w:rPr>
                <w:rFonts w:ascii="Aptos" w:hAnsi="Aptos"/>
                <w:b w:val="0"/>
                <w:color w:val="1D2B27"/>
                <w:sz w:val="17"/>
              </w:rPr>
              <w:t>1</w:t>
            </w:r>
          </w:p>
        </w:tc>
        <w:tc>
          <w:tcPr>
            <w:tcW w:type="dxa" w:w="9216"/>
            <w:vAlign w:val="center"/>
            <w:tcMar>
              <w:top w:w="100" w:type="dxa"/>
              <w:start w:w="120" w:type="dxa"/>
              <w:bottom w:w="100" w:type="dxa"/>
              <w:end w:w="120" w:type="dxa"/>
            </w:tcMar>
            <w:shd w:fill="FFFFFF"/>
          </w:tcPr>
          <w:p>
            <w:r/>
            <w:r>
              <w:rPr>
                <w:rFonts w:ascii="Aptos" w:hAnsi="Aptos"/>
                <w:b w:val="0"/>
                <w:color w:val="1D2B27"/>
                <w:sz w:val="17"/>
              </w:rPr>
              <w:t>El navegador solicita la interfaz a través de HTTPS y un proxy inverso.</w:t>
            </w:r>
          </w:p>
        </w:tc>
      </w:tr>
      <w:tr>
        <w:tc>
          <w:tcPr>
            <w:tcW w:type="dxa" w:w="864"/>
            <w:vAlign w:val="center"/>
            <w:tcMar>
              <w:top w:w="100" w:type="dxa"/>
              <w:start w:w="120" w:type="dxa"/>
              <w:bottom w:w="100" w:type="dxa"/>
              <w:end w:w="120" w:type="dxa"/>
            </w:tcMar>
            <w:shd w:fill="F2F6F4"/>
          </w:tcPr>
          <w:p>
            <w:r/>
            <w:r>
              <w:rPr>
                <w:rFonts w:ascii="Aptos" w:hAnsi="Aptos"/>
                <w:b w:val="0"/>
                <w:color w:val="1D2B27"/>
                <w:sz w:val="17"/>
              </w:rPr>
              <w:t>2</w:t>
            </w:r>
          </w:p>
        </w:tc>
        <w:tc>
          <w:tcPr>
            <w:tcW w:type="dxa" w:w="9216"/>
            <w:vAlign w:val="center"/>
            <w:tcMar>
              <w:top w:w="100" w:type="dxa"/>
              <w:start w:w="120" w:type="dxa"/>
              <w:bottom w:w="100" w:type="dxa"/>
              <w:end w:w="120" w:type="dxa"/>
            </w:tcMar>
            <w:shd w:fill="F2F6F4"/>
          </w:tcPr>
          <w:p>
            <w:r/>
            <w:r>
              <w:rPr>
                <w:rFonts w:ascii="Aptos" w:hAnsi="Aptos"/>
                <w:b w:val="0"/>
                <w:color w:val="1D2B27"/>
                <w:sz w:val="17"/>
              </w:rPr>
              <w:t>Entra ID autentica al usuario; la aplicación valida tenant, sesión y permisos.</w:t>
            </w:r>
          </w:p>
        </w:tc>
      </w:tr>
      <w:tr>
        <w:tc>
          <w:tcPr>
            <w:tcW w:type="dxa" w:w="864"/>
            <w:vAlign w:val="center"/>
            <w:tcMar>
              <w:top w:w="100" w:type="dxa"/>
              <w:start w:w="120" w:type="dxa"/>
              <w:bottom w:w="100" w:type="dxa"/>
              <w:end w:w="120" w:type="dxa"/>
            </w:tcMar>
            <w:shd w:fill="FFFFFF"/>
          </w:tcPr>
          <w:p>
            <w:r/>
            <w:r>
              <w:rPr>
                <w:rFonts w:ascii="Aptos" w:hAnsi="Aptos"/>
                <w:b w:val="0"/>
                <w:color w:val="1D2B27"/>
                <w:sz w:val="17"/>
              </w:rPr>
              <w:t>3</w:t>
            </w:r>
          </w:p>
        </w:tc>
        <w:tc>
          <w:tcPr>
            <w:tcW w:type="dxa" w:w="9216"/>
            <w:vAlign w:val="center"/>
            <w:tcMar>
              <w:top w:w="100" w:type="dxa"/>
              <w:start w:w="120" w:type="dxa"/>
              <w:bottom w:w="100" w:type="dxa"/>
              <w:end w:w="120" w:type="dxa"/>
            </w:tcMar>
            <w:shd w:fill="FFFFFF"/>
          </w:tcPr>
          <w:p>
            <w:r/>
            <w:r>
              <w:rPr>
                <w:rFonts w:ascii="Aptos" w:hAnsi="Aptos"/>
                <w:b w:val="0"/>
                <w:color w:val="1D2B27"/>
                <w:sz w:val="17"/>
              </w:rPr>
              <w:t>La interfaz llama una operación concreta de la API, por ejemplo: buscar terceros con filtros y página.</w:t>
            </w:r>
          </w:p>
        </w:tc>
      </w:tr>
      <w:tr>
        <w:tc>
          <w:tcPr>
            <w:tcW w:type="dxa" w:w="864"/>
            <w:vAlign w:val="center"/>
            <w:tcMar>
              <w:top w:w="100" w:type="dxa"/>
              <w:start w:w="120" w:type="dxa"/>
              <w:bottom w:w="100" w:type="dxa"/>
              <w:end w:w="120" w:type="dxa"/>
            </w:tcMar>
            <w:shd w:fill="F2F6F4"/>
          </w:tcPr>
          <w:p>
            <w:r/>
            <w:r>
              <w:rPr>
                <w:rFonts w:ascii="Aptos" w:hAnsi="Aptos"/>
                <w:b w:val="0"/>
                <w:color w:val="1D2B27"/>
                <w:sz w:val="17"/>
              </w:rPr>
              <w:t>4</w:t>
            </w:r>
          </w:p>
        </w:tc>
        <w:tc>
          <w:tcPr>
            <w:tcW w:type="dxa" w:w="9216"/>
            <w:vAlign w:val="center"/>
            <w:tcMar>
              <w:top w:w="100" w:type="dxa"/>
              <w:start w:w="120" w:type="dxa"/>
              <w:bottom w:w="100" w:type="dxa"/>
              <w:end w:w="120" w:type="dxa"/>
            </w:tcMar>
            <w:shd w:fill="F2F6F4"/>
          </w:tcPr>
          <w:p>
            <w:r/>
            <w:r>
              <w:rPr>
                <w:rFonts w:ascii="Aptos" w:hAnsi="Aptos"/>
                <w:b w:val="0"/>
                <w:color w:val="1D2B27"/>
                <w:sz w:val="17"/>
              </w:rPr>
              <w:t>La API aplica reglas, permisos, paginación e índices; PostgreSQL devuelve solo las columnas necesarias.</w:t>
            </w:r>
          </w:p>
        </w:tc>
      </w:tr>
      <w:tr>
        <w:tc>
          <w:tcPr>
            <w:tcW w:type="dxa" w:w="864"/>
            <w:vAlign w:val="center"/>
            <w:tcMar>
              <w:top w:w="100" w:type="dxa"/>
              <w:start w:w="120" w:type="dxa"/>
              <w:bottom w:w="100" w:type="dxa"/>
              <w:end w:w="120" w:type="dxa"/>
            </w:tcMar>
            <w:shd w:fill="FFFFFF"/>
          </w:tcPr>
          <w:p>
            <w:r/>
            <w:r>
              <w:rPr>
                <w:rFonts w:ascii="Aptos" w:hAnsi="Aptos"/>
                <w:b w:val="0"/>
                <w:color w:val="1D2B27"/>
                <w:sz w:val="17"/>
              </w:rPr>
              <w:t>5</w:t>
            </w:r>
          </w:p>
        </w:tc>
        <w:tc>
          <w:tcPr>
            <w:tcW w:type="dxa" w:w="9216"/>
            <w:vAlign w:val="center"/>
            <w:tcMar>
              <w:top w:w="100" w:type="dxa"/>
              <w:start w:w="120" w:type="dxa"/>
              <w:bottom w:w="100" w:type="dxa"/>
              <w:end w:w="120" w:type="dxa"/>
            </w:tcMar>
            <w:shd w:fill="FFFFFF"/>
          </w:tcPr>
          <w:p>
            <w:r/>
            <w:r>
              <w:rPr>
                <w:rFonts w:ascii="Aptos" w:hAnsi="Aptos"/>
                <w:b w:val="0"/>
                <w:color w:val="1D2B27"/>
                <w:sz w:val="17"/>
              </w:rPr>
              <w:t>La respuesta se entrega al usuario y se registran métricas, errores y eventos de auditoría.</w:t>
            </w:r>
          </w:p>
        </w:tc>
      </w:tr>
    </w:tbl>
    <w:p>
      <w:pPr>
        <w:spacing w:after="0"/>
      </w:pPr>
    </w:p>
    <w:tbl>
      <w:tblPr>
        <w:tblW w:type="auto" w:w="0"/>
        <w:jc w:val="center"/>
        <w:tblLayout w:type="fixed"/>
        <w:tblLook w:firstColumn="1" w:firstRow="1" w:lastColumn="0" w:lastRow="0" w:noHBand="0" w:noVBand="1" w:val="04A0"/>
      </w:tblPr>
      <w:tblGrid>
        <w:gridCol w:w="173"/>
        <w:gridCol w:w="9864"/>
      </w:tblGrid>
      <w:tr>
        <w:tc>
          <w:tcPr>
            <w:tcW w:type="dxa" w:w="5083"/>
            <w:shd w:fill="3C838C"/>
          </w:tcPr>
          <w:p/>
        </w:tc>
        <w:tc>
          <w:tcPr>
            <w:tcW w:type="dxa" w:w="5083"/>
            <w:shd w:fill="F2F6F4"/>
            <w:tcMar>
              <w:top w:w="150" w:type="dxa"/>
              <w:start w:w="180" w:type="dxa"/>
              <w:bottom w:w="150" w:type="dxa"/>
              <w:end w:w="180" w:type="dxa"/>
            </w:tcMar>
          </w:tcPr>
          <w:p>
            <w:r>
              <w:rPr>
                <w:b/>
                <w:color w:val="3C838C"/>
                <w:sz w:val="20"/>
              </w:rPr>
              <w:t>CONTRATOS DE API</w:t>
              <w:br/>
            </w:r>
            <w:r>
              <w:rPr>
                <w:color w:val="1D2B27"/>
                <w:sz w:val="18"/>
              </w:rPr>
              <w:t>Un contrato es la definición estable de lo que la interfaz envía y recibe: campos, tipos, filtros, códigos de error y versión. Permite cambiar la implementación interna sin romper la interfaz ni las futuras integraciones.</w:t>
            </w:r>
          </w:p>
        </w:tc>
      </w:tr>
    </w:tbl>
    <w:p>
      <w:pPr>
        <w:spacing w:after="0"/>
      </w:pPr>
    </w:p>
    <w:p>
      <w:pPr>
        <w:pStyle w:val="Heading2"/>
        <w:keepNext/>
      </w:pPr>
      <w:r>
        <w:rPr>
          <w:lang w:val="es-CO"/>
        </w:rPr>
        <w:t>2.3 Por qué no iniciar con microservicios</w:t>
      </w:r>
    </w:p>
    <w:p>
      <w:r>
        <w:rPr>
          <w:lang w:val="es-CO"/>
        </w:rPr>
        <w:t>Separar desde el inicio cada módulo en un servicio agregaría redes internas, autenticación entre servicios, consistencia distribuida, múltiples despliegues y mayor monitoreo. No aporta una ventaja medible para 30–50 usuarios. La modularidad deja una vía de extracción futura si inventarios, reportes u otro dominio desarrolla necesidades de escala o equipo independientes.</w:t>
      </w:r>
    </w:p>
    <w:p>
      <w:pPr>
        <w:pStyle w:val="Heading1"/>
        <w:keepNext/>
      </w:pPr>
      <w:r>
        <w:rPr>
          <w:lang w:val="es-CO"/>
        </w:rPr>
        <w:t>3. Tecnologías y ciclo de vida</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28"/>
            <w:vAlign w:val="center"/>
            <w:tcMar>
              <w:top w:w="100" w:type="dxa"/>
              <w:start w:w="120" w:type="dxa"/>
              <w:bottom w:w="100" w:type="dxa"/>
              <w:end w:w="120" w:type="dxa"/>
            </w:tcMar>
            <w:shd w:fill="2F5048"/>
          </w:tcPr>
          <w:p>
            <w:r/>
            <w:r>
              <w:rPr>
                <w:rFonts w:ascii="Aptos" w:hAnsi="Aptos"/>
                <w:b/>
                <w:color w:val="FFFFFF"/>
                <w:sz w:val="16"/>
              </w:rPr>
              <w:t>Componente</w:t>
            </w:r>
          </w:p>
        </w:tc>
        <w:tc>
          <w:tcPr>
            <w:tcW w:type="dxa" w:w="2304"/>
            <w:vAlign w:val="center"/>
            <w:tcMar>
              <w:top w:w="100" w:type="dxa"/>
              <w:start w:w="120" w:type="dxa"/>
              <w:bottom w:w="100" w:type="dxa"/>
              <w:end w:w="120" w:type="dxa"/>
            </w:tcMar>
            <w:shd w:fill="2F5048"/>
          </w:tcPr>
          <w:p>
            <w:r/>
            <w:r>
              <w:rPr>
                <w:rFonts w:ascii="Aptos" w:hAnsi="Aptos"/>
                <w:b/>
                <w:color w:val="FFFFFF"/>
                <w:sz w:val="16"/>
              </w:rPr>
              <w:t>Decisión</w:t>
            </w:r>
          </w:p>
        </w:tc>
        <w:tc>
          <w:tcPr>
            <w:tcW w:type="dxa" w:w="2520"/>
            <w:vAlign w:val="center"/>
            <w:tcMar>
              <w:top w:w="100" w:type="dxa"/>
              <w:start w:w="120" w:type="dxa"/>
              <w:bottom w:w="100" w:type="dxa"/>
              <w:end w:w="120" w:type="dxa"/>
            </w:tcMar>
            <w:shd w:fill="2F5048"/>
          </w:tcPr>
          <w:p>
            <w:r/>
            <w:r>
              <w:rPr>
                <w:rFonts w:ascii="Aptos" w:hAnsi="Aptos"/>
                <w:b/>
                <w:color w:val="FFFFFF"/>
                <w:sz w:val="16"/>
              </w:rPr>
              <w:t>Licencia / costo de software</w:t>
            </w:r>
          </w:p>
        </w:tc>
        <w:tc>
          <w:tcPr>
            <w:tcW w:type="dxa" w:w="3528"/>
            <w:vAlign w:val="center"/>
            <w:tcMar>
              <w:top w:w="100" w:type="dxa"/>
              <w:start w:w="120" w:type="dxa"/>
              <w:bottom w:w="100" w:type="dxa"/>
              <w:end w:w="120" w:type="dxa"/>
            </w:tcMar>
            <w:shd w:fill="2F5048"/>
          </w:tcPr>
          <w:p>
            <w:r/>
            <w:r>
              <w:rPr>
                <w:rFonts w:ascii="Aptos" w:hAnsi="Aptos"/>
                <w:b/>
                <w:color w:val="FFFFFF"/>
                <w:sz w:val="16"/>
              </w:rPr>
              <w:t>Política</w:t>
            </w:r>
          </w:p>
        </w:tc>
      </w:tr>
      <w:tr>
        <w:tc>
          <w:tcPr>
            <w:tcW w:type="dxa" w:w="1728"/>
            <w:vAlign w:val="center"/>
            <w:tcMar>
              <w:top w:w="100" w:type="dxa"/>
              <w:start w:w="120" w:type="dxa"/>
              <w:bottom w:w="100" w:type="dxa"/>
              <w:end w:w="120" w:type="dxa"/>
            </w:tcMar>
            <w:shd w:fill="FFFFFF"/>
          </w:tcPr>
          <w:p>
            <w:r/>
            <w:r>
              <w:rPr>
                <w:rFonts w:ascii="Aptos" w:hAnsi="Aptos"/>
                <w:b w:val="0"/>
                <w:color w:val="1D2B27"/>
                <w:sz w:val="15"/>
              </w:rPr>
              <w:t>Frontend</w:t>
            </w:r>
          </w:p>
        </w:tc>
        <w:tc>
          <w:tcPr>
            <w:tcW w:type="dxa" w:w="2304"/>
            <w:vAlign w:val="center"/>
            <w:tcMar>
              <w:top w:w="100" w:type="dxa"/>
              <w:start w:w="120" w:type="dxa"/>
              <w:bottom w:w="100" w:type="dxa"/>
              <w:end w:w="120" w:type="dxa"/>
            </w:tcMar>
            <w:shd w:fill="FFFFFF"/>
          </w:tcPr>
          <w:p>
            <w:r/>
            <w:r>
              <w:rPr>
                <w:rFonts w:ascii="Aptos" w:hAnsi="Aptos"/>
                <w:b w:val="0"/>
                <w:color w:val="1D2B27"/>
                <w:sz w:val="15"/>
              </w:rPr>
              <w:t>Next.js 16, React 19, TypeScript</w:t>
            </w:r>
          </w:p>
        </w:tc>
        <w:tc>
          <w:tcPr>
            <w:tcW w:type="dxa" w:w="2520"/>
            <w:vAlign w:val="center"/>
            <w:tcMar>
              <w:top w:w="100" w:type="dxa"/>
              <w:start w:w="120" w:type="dxa"/>
              <w:bottom w:w="100" w:type="dxa"/>
              <w:end w:w="120" w:type="dxa"/>
            </w:tcMar>
            <w:shd w:fill="FFFFFF"/>
          </w:tcPr>
          <w:p>
            <w:r/>
            <w:r>
              <w:rPr>
                <w:rFonts w:ascii="Aptos" w:hAnsi="Aptos"/>
                <w:b w:val="0"/>
                <w:color w:val="1D2B27"/>
                <w:sz w:val="15"/>
              </w:rPr>
              <w:t>Código abierto; sin licencia por usuario</w:t>
            </w:r>
          </w:p>
        </w:tc>
        <w:tc>
          <w:tcPr>
            <w:tcW w:type="dxa" w:w="3528"/>
            <w:vAlign w:val="center"/>
            <w:tcMar>
              <w:top w:w="100" w:type="dxa"/>
              <w:start w:w="120" w:type="dxa"/>
              <w:bottom w:w="100" w:type="dxa"/>
              <w:end w:w="120" w:type="dxa"/>
            </w:tcMar>
            <w:shd w:fill="FFFFFF"/>
          </w:tcPr>
          <w:p>
            <w:r/>
            <w:r>
              <w:rPr>
                <w:rFonts w:ascii="Aptos" w:hAnsi="Aptos"/>
                <w:b w:val="0"/>
                <w:color w:val="1D2B27"/>
                <w:sz w:val="15"/>
              </w:rPr>
              <w:t>Actualizar Node únicamente en líneas LTS y aplicar parches mensuales.</w:t>
            </w:r>
          </w:p>
        </w:tc>
      </w:tr>
      <w:tr>
        <w:tc>
          <w:tcPr>
            <w:tcW w:type="dxa" w:w="1728"/>
            <w:vAlign w:val="center"/>
            <w:tcMar>
              <w:top w:w="100" w:type="dxa"/>
              <w:start w:w="120" w:type="dxa"/>
              <w:bottom w:w="100" w:type="dxa"/>
              <w:end w:w="120" w:type="dxa"/>
            </w:tcMar>
            <w:shd w:fill="F2F6F4"/>
          </w:tcPr>
          <w:p>
            <w:r/>
            <w:r>
              <w:rPr>
                <w:rFonts w:ascii="Aptos" w:hAnsi="Aptos"/>
                <w:b w:val="0"/>
                <w:color w:val="1D2B27"/>
                <w:sz w:val="15"/>
              </w:rPr>
              <w:t>Backend</w:t>
            </w:r>
          </w:p>
        </w:tc>
        <w:tc>
          <w:tcPr>
            <w:tcW w:type="dxa" w:w="2304"/>
            <w:vAlign w:val="center"/>
            <w:tcMar>
              <w:top w:w="100" w:type="dxa"/>
              <w:start w:w="120" w:type="dxa"/>
              <w:bottom w:w="100" w:type="dxa"/>
              <w:end w:w="120" w:type="dxa"/>
            </w:tcMar>
            <w:shd w:fill="F2F6F4"/>
          </w:tcPr>
          <w:p>
            <w:r/>
            <w:r>
              <w:rPr>
                <w:rFonts w:ascii="Aptos" w:hAnsi="Aptos"/>
                <w:b w:val="0"/>
                <w:color w:val="1D2B27"/>
                <w:sz w:val="15"/>
              </w:rPr>
              <w:t>ASP.NET Core sobre .NET 10 LTS</w:t>
            </w:r>
          </w:p>
        </w:tc>
        <w:tc>
          <w:tcPr>
            <w:tcW w:type="dxa" w:w="2520"/>
            <w:vAlign w:val="center"/>
            <w:tcMar>
              <w:top w:w="100" w:type="dxa"/>
              <w:start w:w="120" w:type="dxa"/>
              <w:bottom w:w="100" w:type="dxa"/>
              <w:end w:w="120" w:type="dxa"/>
            </w:tcMar>
            <w:shd w:fill="F2F6F4"/>
          </w:tcPr>
          <w:p>
            <w:r/>
            <w:r>
              <w:rPr>
                <w:rFonts w:ascii="Aptos" w:hAnsi="Aptos"/>
                <w:b w:val="0"/>
                <w:color w:val="1D2B27"/>
                <w:sz w:val="15"/>
              </w:rPr>
              <w:t>Código abierto; sin licencia por usuario</w:t>
            </w:r>
          </w:p>
        </w:tc>
        <w:tc>
          <w:tcPr>
            <w:tcW w:type="dxa" w:w="3528"/>
            <w:vAlign w:val="center"/>
            <w:tcMar>
              <w:top w:w="100" w:type="dxa"/>
              <w:start w:w="120" w:type="dxa"/>
              <w:bottom w:w="100" w:type="dxa"/>
              <w:end w:w="120" w:type="dxa"/>
            </w:tcMar>
            <w:shd w:fill="F2F6F4"/>
          </w:tcPr>
          <w:p>
            <w:r/>
            <w:r>
              <w:rPr>
                <w:rFonts w:ascii="Aptos" w:hAnsi="Aptos"/>
                <w:b w:val="0"/>
                <w:color w:val="1D2B27"/>
                <w:sz w:val="15"/>
              </w:rPr>
              <w:t>.NET 10 tiene soporte hasta noviembre de 2028; planificar salto a la siguiente LTS.</w:t>
            </w:r>
          </w:p>
        </w:tc>
      </w:tr>
      <w:tr>
        <w:tc>
          <w:tcPr>
            <w:tcW w:type="dxa" w:w="1728"/>
            <w:vAlign w:val="center"/>
            <w:tcMar>
              <w:top w:w="100" w:type="dxa"/>
              <w:start w:w="120" w:type="dxa"/>
              <w:bottom w:w="100" w:type="dxa"/>
              <w:end w:w="120" w:type="dxa"/>
            </w:tcMar>
            <w:shd w:fill="FFFFFF"/>
          </w:tcPr>
          <w:p>
            <w:r/>
            <w:r>
              <w:rPr>
                <w:rFonts w:ascii="Aptos" w:hAnsi="Aptos"/>
                <w:b w:val="0"/>
                <w:color w:val="1D2B27"/>
                <w:sz w:val="15"/>
              </w:rPr>
              <w:t>Base de datos</w:t>
            </w:r>
          </w:p>
        </w:tc>
        <w:tc>
          <w:tcPr>
            <w:tcW w:type="dxa" w:w="2304"/>
            <w:vAlign w:val="center"/>
            <w:tcMar>
              <w:top w:w="100" w:type="dxa"/>
              <w:start w:w="120" w:type="dxa"/>
              <w:bottom w:w="100" w:type="dxa"/>
              <w:end w:w="120" w:type="dxa"/>
            </w:tcMar>
            <w:shd w:fill="FFFFFF"/>
          </w:tcPr>
          <w:p>
            <w:r/>
            <w:r>
              <w:rPr>
                <w:rFonts w:ascii="Aptos" w:hAnsi="Aptos"/>
                <w:b w:val="0"/>
                <w:color w:val="1D2B27"/>
                <w:sz w:val="15"/>
              </w:rPr>
              <w:t>PostgreSQL 18</w:t>
            </w:r>
          </w:p>
        </w:tc>
        <w:tc>
          <w:tcPr>
            <w:tcW w:type="dxa" w:w="2520"/>
            <w:vAlign w:val="center"/>
            <w:tcMar>
              <w:top w:w="100" w:type="dxa"/>
              <w:start w:w="120" w:type="dxa"/>
              <w:bottom w:w="100" w:type="dxa"/>
              <w:end w:w="120" w:type="dxa"/>
            </w:tcMar>
            <w:shd w:fill="FFFFFF"/>
          </w:tcPr>
          <w:p>
            <w:r/>
            <w:r>
              <w:rPr>
                <w:rFonts w:ascii="Aptos" w:hAnsi="Aptos"/>
                <w:b w:val="0"/>
                <w:color w:val="1D2B27"/>
                <w:sz w:val="15"/>
              </w:rPr>
              <w:t>Licencia PostgreSQL; sin licencia por núcleo o usuario</w:t>
            </w:r>
          </w:p>
        </w:tc>
        <w:tc>
          <w:tcPr>
            <w:tcW w:type="dxa" w:w="3528"/>
            <w:vAlign w:val="center"/>
            <w:tcMar>
              <w:top w:w="100" w:type="dxa"/>
              <w:start w:w="120" w:type="dxa"/>
              <w:bottom w:w="100" w:type="dxa"/>
              <w:end w:w="120" w:type="dxa"/>
            </w:tcMar>
            <w:shd w:fill="FFFFFF"/>
          </w:tcPr>
          <w:p>
            <w:r/>
            <w:r>
              <w:rPr>
                <w:rFonts w:ascii="Aptos" w:hAnsi="Aptos"/>
                <w:b w:val="0"/>
                <w:color w:val="1D2B27"/>
                <w:sz w:val="15"/>
              </w:rPr>
              <w:t>Soporte de la versión mayor hasta noviembre de 2030; aplicar versiones menores.</w:t>
            </w:r>
          </w:p>
        </w:tc>
      </w:tr>
      <w:tr>
        <w:tc>
          <w:tcPr>
            <w:tcW w:type="dxa" w:w="1728"/>
            <w:vAlign w:val="center"/>
            <w:tcMar>
              <w:top w:w="100" w:type="dxa"/>
              <w:start w:w="120" w:type="dxa"/>
              <w:bottom w:w="100" w:type="dxa"/>
              <w:end w:w="120" w:type="dxa"/>
            </w:tcMar>
            <w:shd w:fill="F2F6F4"/>
          </w:tcPr>
          <w:p>
            <w:r/>
            <w:r>
              <w:rPr>
                <w:rFonts w:ascii="Aptos" w:hAnsi="Aptos"/>
                <w:b w:val="0"/>
                <w:color w:val="1D2B27"/>
                <w:sz w:val="15"/>
              </w:rPr>
              <w:t>Contenedores</w:t>
            </w:r>
          </w:p>
        </w:tc>
        <w:tc>
          <w:tcPr>
            <w:tcW w:type="dxa" w:w="2304"/>
            <w:vAlign w:val="center"/>
            <w:tcMar>
              <w:top w:w="100" w:type="dxa"/>
              <w:start w:w="120" w:type="dxa"/>
              <w:bottom w:w="100" w:type="dxa"/>
              <w:end w:w="120" w:type="dxa"/>
            </w:tcMar>
            <w:shd w:fill="F2F6F4"/>
          </w:tcPr>
          <w:p>
            <w:r/>
            <w:r>
              <w:rPr>
                <w:rFonts w:ascii="Aptos" w:hAnsi="Aptos"/>
                <w:b w:val="0"/>
                <w:color w:val="1D2B27"/>
                <w:sz w:val="15"/>
              </w:rPr>
              <w:t>OCI/Docker-compatible</w:t>
            </w:r>
          </w:p>
        </w:tc>
        <w:tc>
          <w:tcPr>
            <w:tcW w:type="dxa" w:w="2520"/>
            <w:vAlign w:val="center"/>
            <w:tcMar>
              <w:top w:w="100" w:type="dxa"/>
              <w:start w:w="120" w:type="dxa"/>
              <w:bottom w:w="100" w:type="dxa"/>
              <w:end w:w="120" w:type="dxa"/>
            </w:tcMar>
            <w:shd w:fill="F2F6F4"/>
          </w:tcPr>
          <w:p>
            <w:r/>
            <w:r>
              <w:rPr>
                <w:rFonts w:ascii="Aptos" w:hAnsi="Aptos"/>
                <w:b w:val="0"/>
                <w:color w:val="1D2B27"/>
                <w:sz w:val="15"/>
              </w:rPr>
              <w:t>Motor y herramientas abiertos según distribución</w:t>
            </w:r>
          </w:p>
        </w:tc>
        <w:tc>
          <w:tcPr>
            <w:tcW w:type="dxa" w:w="3528"/>
            <w:vAlign w:val="center"/>
            <w:tcMar>
              <w:top w:w="100" w:type="dxa"/>
              <w:start w:w="120" w:type="dxa"/>
              <w:bottom w:w="100" w:type="dxa"/>
              <w:end w:w="120" w:type="dxa"/>
            </w:tcMar>
            <w:shd w:fill="F2F6F4"/>
          </w:tcPr>
          <w:p>
            <w:r/>
            <w:r>
              <w:rPr>
                <w:rFonts w:ascii="Aptos" w:hAnsi="Aptos"/>
                <w:b w:val="0"/>
                <w:color w:val="1D2B27"/>
                <w:sz w:val="15"/>
              </w:rPr>
              <w:t>Imágenes mínimas, firmadas, escaneadas y reproducibles.</w:t>
            </w:r>
          </w:p>
        </w:tc>
      </w:tr>
      <w:tr>
        <w:tc>
          <w:tcPr>
            <w:tcW w:type="dxa" w:w="1728"/>
            <w:vAlign w:val="center"/>
            <w:tcMar>
              <w:top w:w="100" w:type="dxa"/>
              <w:start w:w="120" w:type="dxa"/>
              <w:bottom w:w="100" w:type="dxa"/>
              <w:end w:w="120" w:type="dxa"/>
            </w:tcMar>
            <w:shd w:fill="FFFFFF"/>
          </w:tcPr>
          <w:p>
            <w:r/>
            <w:r>
              <w:rPr>
                <w:rFonts w:ascii="Aptos" w:hAnsi="Aptos"/>
                <w:b w:val="0"/>
                <w:color w:val="1D2B27"/>
                <w:sz w:val="15"/>
              </w:rPr>
              <w:t>Proxy/TLS</w:t>
            </w:r>
          </w:p>
        </w:tc>
        <w:tc>
          <w:tcPr>
            <w:tcW w:type="dxa" w:w="2304"/>
            <w:vAlign w:val="center"/>
            <w:tcMar>
              <w:top w:w="100" w:type="dxa"/>
              <w:start w:w="120" w:type="dxa"/>
              <w:bottom w:w="100" w:type="dxa"/>
              <w:end w:w="120" w:type="dxa"/>
            </w:tcMar>
            <w:shd w:fill="FFFFFF"/>
          </w:tcPr>
          <w:p>
            <w:r/>
            <w:r>
              <w:rPr>
                <w:rFonts w:ascii="Aptos" w:hAnsi="Aptos"/>
                <w:b w:val="0"/>
                <w:color w:val="1D2B27"/>
                <w:sz w:val="15"/>
              </w:rPr>
              <w:t>Caddy o nginx + Let’s Encrypt</w:t>
            </w:r>
          </w:p>
        </w:tc>
        <w:tc>
          <w:tcPr>
            <w:tcW w:type="dxa" w:w="2520"/>
            <w:vAlign w:val="center"/>
            <w:tcMar>
              <w:top w:w="100" w:type="dxa"/>
              <w:start w:w="120" w:type="dxa"/>
              <w:bottom w:w="100" w:type="dxa"/>
              <w:end w:w="120" w:type="dxa"/>
            </w:tcMar>
            <w:shd w:fill="FFFFFF"/>
          </w:tcPr>
          <w:p>
            <w:r/>
            <w:r>
              <w:rPr>
                <w:rFonts w:ascii="Aptos" w:hAnsi="Aptos"/>
                <w:b w:val="0"/>
                <w:color w:val="1D2B27"/>
                <w:sz w:val="15"/>
              </w:rPr>
              <w:t>Código abierto; certificados públicos sin costo</w:t>
            </w:r>
          </w:p>
        </w:tc>
        <w:tc>
          <w:tcPr>
            <w:tcW w:type="dxa" w:w="3528"/>
            <w:vAlign w:val="center"/>
            <w:tcMar>
              <w:top w:w="100" w:type="dxa"/>
              <w:start w:w="120" w:type="dxa"/>
              <w:bottom w:w="100" w:type="dxa"/>
              <w:end w:w="120" w:type="dxa"/>
            </w:tcMar>
            <w:shd w:fill="FFFFFF"/>
          </w:tcPr>
          <w:p>
            <w:r/>
            <w:r>
              <w:rPr>
                <w:rFonts w:ascii="Aptos" w:hAnsi="Aptos"/>
                <w:b w:val="0"/>
                <w:color w:val="1D2B27"/>
                <w:sz w:val="15"/>
              </w:rPr>
              <w:t>Renovación automática y configuración segura.</w:t>
            </w:r>
          </w:p>
        </w:tc>
      </w:tr>
      <w:tr>
        <w:tc>
          <w:tcPr>
            <w:tcW w:type="dxa" w:w="1728"/>
            <w:vAlign w:val="center"/>
            <w:tcMar>
              <w:top w:w="100" w:type="dxa"/>
              <w:start w:w="120" w:type="dxa"/>
              <w:bottom w:w="100" w:type="dxa"/>
              <w:end w:w="120" w:type="dxa"/>
            </w:tcMar>
            <w:shd w:fill="F2F6F4"/>
          </w:tcPr>
          <w:p>
            <w:r/>
            <w:r>
              <w:rPr>
                <w:rFonts w:ascii="Aptos" w:hAnsi="Aptos"/>
                <w:b w:val="0"/>
                <w:color w:val="1D2B27"/>
                <w:sz w:val="15"/>
              </w:rPr>
              <w:t>Observabilidad</w:t>
            </w:r>
          </w:p>
        </w:tc>
        <w:tc>
          <w:tcPr>
            <w:tcW w:type="dxa" w:w="2304"/>
            <w:vAlign w:val="center"/>
            <w:tcMar>
              <w:top w:w="100" w:type="dxa"/>
              <w:start w:w="120" w:type="dxa"/>
              <w:bottom w:w="100" w:type="dxa"/>
              <w:end w:w="120" w:type="dxa"/>
            </w:tcMar>
            <w:shd w:fill="F2F6F4"/>
          </w:tcPr>
          <w:p>
            <w:r/>
            <w:r>
              <w:rPr>
                <w:rFonts w:ascii="Aptos" w:hAnsi="Aptos"/>
                <w:b w:val="0"/>
                <w:color w:val="1D2B27"/>
                <w:sz w:val="15"/>
              </w:rPr>
              <w:t>OpenTelemetry + Prometheus/Grafana/Loki</w:t>
            </w:r>
          </w:p>
        </w:tc>
        <w:tc>
          <w:tcPr>
            <w:tcW w:type="dxa" w:w="2520"/>
            <w:vAlign w:val="center"/>
            <w:tcMar>
              <w:top w:w="100" w:type="dxa"/>
              <w:start w:w="120" w:type="dxa"/>
              <w:bottom w:w="100" w:type="dxa"/>
              <w:end w:w="120" w:type="dxa"/>
            </w:tcMar>
            <w:shd w:fill="F2F6F4"/>
          </w:tcPr>
          <w:p>
            <w:r/>
            <w:r>
              <w:rPr>
                <w:rFonts w:ascii="Aptos" w:hAnsi="Aptos"/>
                <w:b w:val="0"/>
                <w:color w:val="1D2B27"/>
                <w:sz w:val="15"/>
              </w:rPr>
              <w:t>Código abierto</w:t>
            </w:r>
          </w:p>
        </w:tc>
        <w:tc>
          <w:tcPr>
            <w:tcW w:type="dxa" w:w="3528"/>
            <w:vAlign w:val="center"/>
            <w:tcMar>
              <w:top w:w="100" w:type="dxa"/>
              <w:start w:w="120" w:type="dxa"/>
              <w:bottom w:w="100" w:type="dxa"/>
              <w:end w:w="120" w:type="dxa"/>
            </w:tcMar>
            <w:shd w:fill="F2F6F4"/>
          </w:tcPr>
          <w:p>
            <w:r/>
            <w:r>
              <w:rPr>
                <w:rFonts w:ascii="Aptos" w:hAnsi="Aptos"/>
                <w:b w:val="0"/>
                <w:color w:val="1D2B27"/>
                <w:sz w:val="15"/>
              </w:rPr>
              <w:t>Retención y alertas según criticidad.</w:t>
            </w:r>
          </w:p>
        </w:tc>
      </w:tr>
    </w:tbl>
    <w:p>
      <w:pPr>
        <w:spacing w:after="0"/>
      </w:pPr>
    </w:p>
    <w:p>
      <w:pPr>
        <w:pStyle w:val="Heading2"/>
        <w:keepNext/>
      </w:pPr>
      <w:r>
        <w:rPr>
          <w:lang w:val="es-CO"/>
        </w:rPr>
        <w:t>3.1 Longevidad real</w:t>
      </w:r>
    </w:p>
    <w:p>
      <w:r>
        <w:rPr>
          <w:lang w:val="es-CO"/>
        </w:rPr>
        <w:t>Una arquitectura para 10 años no significa congelar versiones durante 10 años. Significa conservar el dominio y los datos mientras se sustituyen runtimes y componentes por ciclos planificados. El presupuesto debe incluir actualizaciones LTS, migraciones de base de datos, pruebas de regresión y retiro de dependencias vulnerables.</w:t>
      </w:r>
    </w:p>
    <w:p>
      <w:pPr>
        <w:pStyle w:val="Heading2"/>
        <w:keepNext/>
      </w:pPr>
      <w:r>
        <w:rPr>
          <w:lang w:val="es-CO"/>
        </w:rPr>
        <w:t>3.2 Política mínima de dependencias</w:t>
      </w:r>
    </w:p>
    <w:p>
      <w:pPr>
        <w:pStyle w:val="ListBullet"/>
      </w:pPr>
      <w:r>
        <w:rPr>
          <w:lang w:val="es-CO"/>
        </w:rPr>
        <w:t>Revisión mensual de vulnerabilidades y parches; corrección acelerada para severidad crítica.</w:t>
      </w:r>
    </w:p>
    <w:p>
      <w:pPr>
        <w:pStyle w:val="ListBullet"/>
      </w:pPr>
      <w:r>
        <w:rPr>
          <w:lang w:val="es-CO"/>
        </w:rPr>
        <w:t>Actualización trimestral de dependencias no críticas y revisión anual de arquitectura.</w:t>
      </w:r>
    </w:p>
    <w:p>
      <w:pPr>
        <w:pStyle w:val="ListBullet"/>
      </w:pPr>
      <w:r>
        <w:rPr>
          <w:lang w:val="es-CO"/>
        </w:rPr>
        <w:t>Inventario/SBOM por versión, bloqueo de paquetes y verificación de licencias de terceros.</w:t>
      </w:r>
    </w:p>
    <w:p>
      <w:pPr>
        <w:pStyle w:val="ListBullet"/>
      </w:pPr>
      <w:r>
        <w:rPr>
          <w:lang w:val="es-CO"/>
        </w:rPr>
        <w:t>Nunca depender de una biblioteca abandonada para una función central sin una ruta de reemplazo.</w:t>
      </w:r>
    </w:p>
    <w:tbl>
      <w:tblPr>
        <w:tblW w:type="auto" w:w="0"/>
        <w:jc w:val="center"/>
        <w:tblLayout w:type="fixed"/>
        <w:tblLook w:firstColumn="1" w:firstRow="1" w:lastColumn="0" w:lastRow="0" w:noHBand="0" w:noVBand="1" w:val="04A0"/>
      </w:tblPr>
      <w:tblGrid>
        <w:gridCol w:w="173"/>
        <w:gridCol w:w="9864"/>
      </w:tblGrid>
      <w:tr>
        <w:tc>
          <w:tcPr>
            <w:tcW w:type="dxa" w:w="5083"/>
            <w:shd w:fill="6F3873"/>
          </w:tcPr>
          <w:p/>
        </w:tc>
        <w:tc>
          <w:tcPr>
            <w:tcW w:type="dxa" w:w="5083"/>
            <w:shd w:fill="F2F6F4"/>
            <w:tcMar>
              <w:top w:w="150" w:type="dxa"/>
              <w:start w:w="180" w:type="dxa"/>
              <w:bottom w:w="150" w:type="dxa"/>
              <w:end w:w="180" w:type="dxa"/>
            </w:tcMar>
          </w:tcPr>
          <w:p>
            <w:r>
              <w:rPr>
                <w:b/>
                <w:color w:val="6F3873"/>
                <w:sz w:val="20"/>
              </w:rPr>
              <w:t>CONTROL DE DEPENDENCIA</w:t>
              <w:br/>
            </w:r>
            <w:r>
              <w:rPr>
                <w:color w:val="1D2B27"/>
                <w:sz w:val="18"/>
              </w:rPr>
              <w:t>El uso de estándares abiertos reduce el encierro tecnológico, pero no lo elimina. PostgreSQL, HTTP/OIDC, contenedores OCI y formatos exportables permiten migrar; la disciplina de arquitectura y documentación vuelve efectiva esa portabilidad.</w:t>
            </w:r>
          </w:p>
        </w:tc>
      </w:tr>
    </w:tbl>
    <w:p>
      <w:pPr>
        <w:spacing w:after="0"/>
      </w:pPr>
    </w:p>
    <w:p>
      <w:r>
        <w:rPr>
          <w:lang w:val="es-CO"/>
        </w:rPr>
        <w:br w:type="page"/>
      </w:r>
    </w:p>
    <w:p>
      <w:pPr>
        <w:pStyle w:val="Heading1"/>
        <w:keepNext/>
      </w:pPr>
      <w:r>
        <w:rPr>
          <w:lang w:val="es-CO"/>
        </w:rPr>
        <w:t>4. Rendimiento y capacidad</w:t>
      </w:r>
    </w:p>
    <w:p>
      <w:pPr>
        <w:pStyle w:val="Heading2"/>
        <w:keepNext/>
      </w:pPr>
      <w:r>
        <w:rPr>
          <w:lang w:val="es-CO"/>
        </w:rPr>
        <w:t>4.1 Carga esperada</w:t>
      </w:r>
    </w:p>
    <w:p>
      <w:r>
        <w:rPr>
          <w:lang w:val="es-CO"/>
        </w:rPr>
        <w:t>Treinta a cincuenta usuarios conectados no equivalen a cincuenta solicitudes simultáneas permanentes. En operación administrativa normal se esperan periodos de lectura y edición, con ráfagas al abrir fichas, filtrar o generar reportes. Como prueba conservadora se propone validar 50 usuarios virtuales, 5–20 solicitudes por segundo sostenidas y ráfagas de hasta 100 solicitudes por segundo en operaciones livianas.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vAlign w:val="center"/>
            <w:tcMar>
              <w:top w:w="100" w:type="dxa"/>
              <w:start w:w="120" w:type="dxa"/>
              <w:bottom w:w="100" w:type="dxa"/>
              <w:end w:w="120" w:type="dxa"/>
            </w:tcMar>
            <w:shd w:fill="2F5048"/>
          </w:tcPr>
          <w:p>
            <w:r/>
            <w:r>
              <w:rPr>
                <w:rFonts w:ascii="Aptos" w:hAnsi="Aptos"/>
                <w:b/>
                <w:color w:val="FFFFFF"/>
                <w:sz w:val="16"/>
              </w:rPr>
              <w:t>Métrica</w:t>
            </w:r>
          </w:p>
        </w:tc>
        <w:tc>
          <w:tcPr>
            <w:tcW w:type="dxa" w:w="2016"/>
            <w:vAlign w:val="center"/>
            <w:tcMar>
              <w:top w:w="100" w:type="dxa"/>
              <w:start w:w="120" w:type="dxa"/>
              <w:bottom w:w="100" w:type="dxa"/>
              <w:end w:w="120" w:type="dxa"/>
            </w:tcMar>
            <w:shd w:fill="2F5048"/>
          </w:tcPr>
          <w:p>
            <w:r/>
            <w:r>
              <w:rPr>
                <w:rFonts w:ascii="Aptos" w:hAnsi="Aptos"/>
                <w:b/>
                <w:color w:val="FFFFFF"/>
                <w:sz w:val="16"/>
              </w:rPr>
              <w:t>Objetivo inicial</w:t>
            </w:r>
          </w:p>
        </w:tc>
        <w:tc>
          <w:tcPr>
            <w:tcW w:type="dxa" w:w="5184"/>
            <w:vAlign w:val="center"/>
            <w:tcMar>
              <w:top w:w="100" w:type="dxa"/>
              <w:start w:w="120" w:type="dxa"/>
              <w:bottom w:w="100" w:type="dxa"/>
              <w:end w:w="120" w:type="dxa"/>
            </w:tcMar>
            <w:shd w:fill="2F5048"/>
          </w:tcPr>
          <w:p>
            <w:r/>
            <w:r>
              <w:rPr>
                <w:rFonts w:ascii="Aptos" w:hAnsi="Aptos"/>
                <w:b/>
                <w:color w:val="FFFFFF"/>
                <w:sz w:val="16"/>
              </w:rPr>
              <w:t>Cómo se valida</w:t>
            </w:r>
          </w:p>
        </w:tc>
      </w:tr>
      <w:tr>
        <w:tc>
          <w:tcPr>
            <w:tcW w:type="dxa" w:w="2880"/>
            <w:vAlign w:val="center"/>
            <w:tcMar>
              <w:top w:w="100" w:type="dxa"/>
              <w:start w:w="120" w:type="dxa"/>
              <w:bottom w:w="100" w:type="dxa"/>
              <w:end w:w="120" w:type="dxa"/>
            </w:tcMar>
            <w:shd w:fill="FFFFFF"/>
          </w:tcPr>
          <w:p>
            <w:r/>
            <w:r>
              <w:rPr>
                <w:rFonts w:ascii="Aptos" w:hAnsi="Aptos"/>
                <w:b w:val="0"/>
                <w:color w:val="1D2B27"/>
                <w:sz w:val="17"/>
              </w:rPr>
              <w:t>API lectura común</w:t>
            </w:r>
          </w:p>
        </w:tc>
        <w:tc>
          <w:tcPr>
            <w:tcW w:type="dxa" w:w="2016"/>
            <w:vAlign w:val="center"/>
            <w:tcMar>
              <w:top w:w="100" w:type="dxa"/>
              <w:start w:w="120" w:type="dxa"/>
              <w:bottom w:w="100" w:type="dxa"/>
              <w:end w:w="120" w:type="dxa"/>
            </w:tcMar>
            <w:shd w:fill="FFFFFF"/>
          </w:tcPr>
          <w:p>
            <w:r/>
            <w:r>
              <w:rPr>
                <w:rFonts w:ascii="Aptos" w:hAnsi="Aptos"/>
                <w:b w:val="0"/>
                <w:color w:val="1D2B27"/>
                <w:sz w:val="17"/>
              </w:rPr>
              <w:t>p95 ≤ 400 ms</w:t>
            </w:r>
          </w:p>
        </w:tc>
        <w:tc>
          <w:tcPr>
            <w:tcW w:type="dxa" w:w="5184"/>
            <w:vAlign w:val="center"/>
            <w:tcMar>
              <w:top w:w="100" w:type="dxa"/>
              <w:start w:w="120" w:type="dxa"/>
              <w:bottom w:w="100" w:type="dxa"/>
              <w:end w:w="120" w:type="dxa"/>
            </w:tcMar>
            <w:shd w:fill="FFFFFF"/>
          </w:tcPr>
          <w:p>
            <w:r/>
            <w:r>
              <w:rPr>
                <w:rFonts w:ascii="Aptos" w:hAnsi="Aptos"/>
                <w:b w:val="0"/>
                <w:color w:val="1D2B27"/>
                <w:sz w:val="17"/>
              </w:rPr>
              <w:t>Prueba de carga con datos representativos</w:t>
            </w:r>
          </w:p>
        </w:tc>
      </w:tr>
      <w:tr>
        <w:tc>
          <w:tcPr>
            <w:tcW w:type="dxa" w:w="2880"/>
            <w:vAlign w:val="center"/>
            <w:tcMar>
              <w:top w:w="100" w:type="dxa"/>
              <w:start w:w="120" w:type="dxa"/>
              <w:bottom w:w="100" w:type="dxa"/>
              <w:end w:w="120" w:type="dxa"/>
            </w:tcMar>
            <w:shd w:fill="F2F6F4"/>
          </w:tcPr>
          <w:p>
            <w:r/>
            <w:r>
              <w:rPr>
                <w:rFonts w:ascii="Aptos" w:hAnsi="Aptos"/>
                <w:b w:val="0"/>
                <w:color w:val="1D2B27"/>
                <w:sz w:val="17"/>
              </w:rPr>
              <w:t>Consulta en base de datos</w:t>
            </w:r>
          </w:p>
        </w:tc>
        <w:tc>
          <w:tcPr>
            <w:tcW w:type="dxa" w:w="2016"/>
            <w:vAlign w:val="center"/>
            <w:tcMar>
              <w:top w:w="100" w:type="dxa"/>
              <w:start w:w="120" w:type="dxa"/>
              <w:bottom w:w="100" w:type="dxa"/>
              <w:end w:w="120" w:type="dxa"/>
            </w:tcMar>
            <w:shd w:fill="F2F6F4"/>
          </w:tcPr>
          <w:p>
            <w:r/>
            <w:r>
              <w:rPr>
                <w:rFonts w:ascii="Aptos" w:hAnsi="Aptos"/>
                <w:b w:val="0"/>
                <w:color w:val="1D2B27"/>
                <w:sz w:val="17"/>
              </w:rPr>
              <w:t>p95 ≤ 150 ms</w:t>
            </w:r>
          </w:p>
        </w:tc>
        <w:tc>
          <w:tcPr>
            <w:tcW w:type="dxa" w:w="5184"/>
            <w:vAlign w:val="center"/>
            <w:tcMar>
              <w:top w:w="100" w:type="dxa"/>
              <w:start w:w="120" w:type="dxa"/>
              <w:bottom w:w="100" w:type="dxa"/>
              <w:end w:w="120" w:type="dxa"/>
            </w:tcMar>
            <w:shd w:fill="F2F6F4"/>
          </w:tcPr>
          <w:p>
            <w:r/>
            <w:r>
              <w:rPr>
                <w:rFonts w:ascii="Aptos" w:hAnsi="Aptos"/>
                <w:b w:val="0"/>
                <w:color w:val="1D2B27"/>
                <w:sz w:val="17"/>
              </w:rPr>
              <w:t>Trazas y análisis de planes SQL</w:t>
            </w:r>
          </w:p>
        </w:tc>
      </w:tr>
      <w:tr>
        <w:tc>
          <w:tcPr>
            <w:tcW w:type="dxa" w:w="2880"/>
            <w:vAlign w:val="center"/>
            <w:tcMar>
              <w:top w:w="100" w:type="dxa"/>
              <w:start w:w="120" w:type="dxa"/>
              <w:bottom w:w="100" w:type="dxa"/>
              <w:end w:w="120" w:type="dxa"/>
            </w:tcMar>
            <w:shd w:fill="FFFFFF"/>
          </w:tcPr>
          <w:p>
            <w:r/>
            <w:r>
              <w:rPr>
                <w:rFonts w:ascii="Aptos" w:hAnsi="Aptos"/>
                <w:b w:val="0"/>
                <w:color w:val="1D2B27"/>
                <w:sz w:val="17"/>
              </w:rPr>
              <w:t>Búsqueda/filtro en pantalla</w:t>
            </w:r>
          </w:p>
        </w:tc>
        <w:tc>
          <w:tcPr>
            <w:tcW w:type="dxa" w:w="2016"/>
            <w:vAlign w:val="center"/>
            <w:tcMar>
              <w:top w:w="100" w:type="dxa"/>
              <w:start w:w="120" w:type="dxa"/>
              <w:bottom w:w="100" w:type="dxa"/>
              <w:end w:w="120" w:type="dxa"/>
            </w:tcMar>
            <w:shd w:fill="FFFFFF"/>
          </w:tcPr>
          <w:p>
            <w:r/>
            <w:r>
              <w:rPr>
                <w:rFonts w:ascii="Aptos" w:hAnsi="Aptos"/>
                <w:b w:val="0"/>
                <w:color w:val="1D2B27"/>
                <w:sz w:val="17"/>
              </w:rPr>
              <w:t>p95 ≤ 1,5 s</w:t>
            </w:r>
          </w:p>
        </w:tc>
        <w:tc>
          <w:tcPr>
            <w:tcW w:type="dxa" w:w="5184"/>
            <w:vAlign w:val="center"/>
            <w:tcMar>
              <w:top w:w="100" w:type="dxa"/>
              <w:start w:w="120" w:type="dxa"/>
              <w:bottom w:w="100" w:type="dxa"/>
              <w:end w:w="120" w:type="dxa"/>
            </w:tcMar>
            <w:shd w:fill="FFFFFF"/>
          </w:tcPr>
          <w:p>
            <w:r/>
            <w:r>
              <w:rPr>
                <w:rFonts w:ascii="Aptos" w:hAnsi="Aptos"/>
                <w:b w:val="0"/>
                <w:color w:val="1D2B27"/>
                <w:sz w:val="17"/>
              </w:rPr>
              <w:t>Prueba extremo a extremo</w:t>
            </w:r>
          </w:p>
        </w:tc>
      </w:tr>
      <w:tr>
        <w:tc>
          <w:tcPr>
            <w:tcW w:type="dxa" w:w="2880"/>
            <w:vAlign w:val="center"/>
            <w:tcMar>
              <w:top w:w="100" w:type="dxa"/>
              <w:start w:w="120" w:type="dxa"/>
              <w:bottom w:w="100" w:type="dxa"/>
              <w:end w:w="120" w:type="dxa"/>
            </w:tcMar>
            <w:shd w:fill="F2F6F4"/>
          </w:tcPr>
          <w:p>
            <w:r/>
            <w:r>
              <w:rPr>
                <w:rFonts w:ascii="Aptos" w:hAnsi="Aptos"/>
                <w:b w:val="0"/>
                <w:color w:val="1D2B27"/>
                <w:sz w:val="17"/>
              </w:rPr>
              <w:t>Apertura de ficha completa</w:t>
            </w:r>
          </w:p>
        </w:tc>
        <w:tc>
          <w:tcPr>
            <w:tcW w:type="dxa" w:w="2016"/>
            <w:vAlign w:val="center"/>
            <w:tcMar>
              <w:top w:w="100" w:type="dxa"/>
              <w:start w:w="120" w:type="dxa"/>
              <w:bottom w:w="100" w:type="dxa"/>
              <w:end w:w="120" w:type="dxa"/>
            </w:tcMar>
            <w:shd w:fill="F2F6F4"/>
          </w:tcPr>
          <w:p>
            <w:r/>
            <w:r>
              <w:rPr>
                <w:rFonts w:ascii="Aptos" w:hAnsi="Aptos"/>
                <w:b w:val="0"/>
                <w:color w:val="1D2B27"/>
                <w:sz w:val="17"/>
              </w:rPr>
              <w:t>p95 ≤ 2 s</w:t>
            </w:r>
          </w:p>
        </w:tc>
        <w:tc>
          <w:tcPr>
            <w:tcW w:type="dxa" w:w="5184"/>
            <w:vAlign w:val="center"/>
            <w:tcMar>
              <w:top w:w="100" w:type="dxa"/>
              <w:start w:w="120" w:type="dxa"/>
              <w:bottom w:w="100" w:type="dxa"/>
              <w:end w:w="120" w:type="dxa"/>
            </w:tcMar>
            <w:shd w:fill="F2F6F4"/>
          </w:tcPr>
          <w:p>
            <w:r/>
            <w:r>
              <w:rPr>
                <w:rFonts w:ascii="Aptos" w:hAnsi="Aptos"/>
                <w:b w:val="0"/>
                <w:color w:val="1D2B27"/>
                <w:sz w:val="17"/>
              </w:rPr>
              <w:t>Incluye pestaña inicial; secundarias bajo demanda</w:t>
            </w:r>
          </w:p>
        </w:tc>
      </w:tr>
      <w:tr>
        <w:tc>
          <w:tcPr>
            <w:tcW w:type="dxa" w:w="2880"/>
            <w:vAlign w:val="center"/>
            <w:tcMar>
              <w:top w:w="100" w:type="dxa"/>
              <w:start w:w="120" w:type="dxa"/>
              <w:bottom w:w="100" w:type="dxa"/>
              <w:end w:w="120" w:type="dxa"/>
            </w:tcMar>
            <w:shd w:fill="FFFFFF"/>
          </w:tcPr>
          <w:p>
            <w:r/>
            <w:r>
              <w:rPr>
                <w:rFonts w:ascii="Aptos" w:hAnsi="Aptos"/>
                <w:b w:val="0"/>
                <w:color w:val="1D2B27"/>
                <w:sz w:val="17"/>
              </w:rPr>
              <w:t>Guardar transacción</w:t>
            </w:r>
          </w:p>
        </w:tc>
        <w:tc>
          <w:tcPr>
            <w:tcW w:type="dxa" w:w="2016"/>
            <w:vAlign w:val="center"/>
            <w:tcMar>
              <w:top w:w="100" w:type="dxa"/>
              <w:start w:w="120" w:type="dxa"/>
              <w:bottom w:w="100" w:type="dxa"/>
              <w:end w:w="120" w:type="dxa"/>
            </w:tcMar>
            <w:shd w:fill="FFFFFF"/>
          </w:tcPr>
          <w:p>
            <w:r/>
            <w:r>
              <w:rPr>
                <w:rFonts w:ascii="Aptos" w:hAnsi="Aptos"/>
                <w:b w:val="0"/>
                <w:color w:val="1D2B27"/>
                <w:sz w:val="17"/>
              </w:rPr>
              <w:t>p95 ≤ 2,5 s</w:t>
            </w:r>
          </w:p>
        </w:tc>
        <w:tc>
          <w:tcPr>
            <w:tcW w:type="dxa" w:w="5184"/>
            <w:vAlign w:val="center"/>
            <w:tcMar>
              <w:top w:w="100" w:type="dxa"/>
              <w:start w:w="120" w:type="dxa"/>
              <w:bottom w:w="100" w:type="dxa"/>
              <w:end w:w="120" w:type="dxa"/>
            </w:tcMar>
            <w:shd w:fill="FFFFFF"/>
          </w:tcPr>
          <w:p>
            <w:r/>
            <w:r>
              <w:rPr>
                <w:rFonts w:ascii="Aptos" w:hAnsi="Aptos"/>
                <w:b w:val="0"/>
                <w:color w:val="1D2B27"/>
                <w:sz w:val="17"/>
              </w:rPr>
              <w:t>Incluye validación, auditoría y confirmación</w:t>
            </w:r>
          </w:p>
        </w:tc>
      </w:tr>
      <w:tr>
        <w:tc>
          <w:tcPr>
            <w:tcW w:type="dxa" w:w="2880"/>
            <w:vAlign w:val="center"/>
            <w:tcMar>
              <w:top w:w="100" w:type="dxa"/>
              <w:start w:w="120" w:type="dxa"/>
              <w:bottom w:w="100" w:type="dxa"/>
              <w:end w:w="120" w:type="dxa"/>
            </w:tcMar>
            <w:shd w:fill="F2F6F4"/>
          </w:tcPr>
          <w:p>
            <w:r/>
            <w:r>
              <w:rPr>
                <w:rFonts w:ascii="Aptos" w:hAnsi="Aptos"/>
                <w:b w:val="0"/>
                <w:color w:val="1D2B27"/>
                <w:sz w:val="17"/>
              </w:rPr>
              <w:t>Errores técnicos</w:t>
            </w:r>
          </w:p>
        </w:tc>
        <w:tc>
          <w:tcPr>
            <w:tcW w:type="dxa" w:w="2016"/>
            <w:vAlign w:val="center"/>
            <w:tcMar>
              <w:top w:w="100" w:type="dxa"/>
              <w:start w:w="120" w:type="dxa"/>
              <w:bottom w:w="100" w:type="dxa"/>
              <w:end w:w="120" w:type="dxa"/>
            </w:tcMar>
            <w:shd w:fill="F2F6F4"/>
          </w:tcPr>
          <w:p>
            <w:r/>
            <w:r>
              <w:rPr>
                <w:rFonts w:ascii="Aptos" w:hAnsi="Aptos"/>
                <w:b w:val="0"/>
                <w:color w:val="1D2B27"/>
                <w:sz w:val="17"/>
              </w:rPr>
              <w:t>&lt; 0,5 %</w:t>
            </w:r>
          </w:p>
        </w:tc>
        <w:tc>
          <w:tcPr>
            <w:tcW w:type="dxa" w:w="5184"/>
            <w:vAlign w:val="center"/>
            <w:tcMar>
              <w:top w:w="100" w:type="dxa"/>
              <w:start w:w="120" w:type="dxa"/>
              <w:bottom w:w="100" w:type="dxa"/>
              <w:end w:w="120" w:type="dxa"/>
            </w:tcMar>
            <w:shd w:fill="F2F6F4"/>
          </w:tcPr>
          <w:p>
            <w:r/>
            <w:r>
              <w:rPr>
                <w:rFonts w:ascii="Aptos" w:hAnsi="Aptos"/>
                <w:b w:val="0"/>
                <w:color w:val="1D2B27"/>
                <w:sz w:val="17"/>
              </w:rPr>
              <w:t>Métricas por endpoint y versión</w:t>
            </w:r>
          </w:p>
        </w:tc>
      </w:tr>
    </w:tbl>
    <w:p>
      <w:pPr>
        <w:spacing w:after="0"/>
      </w:pPr>
    </w:p>
    <w:p>
      <w:pPr>
        <w:pStyle w:val="Heading2"/>
        <w:keepNext/>
      </w:pPr>
      <w:r>
        <w:rPr>
          <w:lang w:val="es-CO"/>
        </w:rPr>
        <w:t>4.2 Cómo se evita multiplicar solicitudes</w:t>
      </w:r>
    </w:p>
    <w:p>
      <w:pPr>
        <w:pStyle w:val="ListBullet"/>
      </w:pPr>
      <w:r>
        <w:rPr>
          <w:lang w:val="es-CO"/>
        </w:rPr>
        <w:t>Una ficha de tercero devuelve un resumen inicial. Idiomas, estudios, experiencia y adjuntos se cargan cuando se abre cada pestaña o mediante una consulta agregada diseñada explícitamente.</w:t>
      </w:r>
    </w:p>
    <w:p>
      <w:pPr>
        <w:pStyle w:val="ListBullet"/>
      </w:pPr>
      <w:r>
        <w:rPr>
          <w:lang w:val="es-CO"/>
        </w:rPr>
        <w:t>Los filtros se ejecutan en PostgreSQL con índices, paginación y orden estable; no se descarga toda la tabla al navegador.</w:t>
      </w:r>
    </w:p>
    <w:p>
      <w:pPr>
        <w:pStyle w:val="ListBullet"/>
      </w:pPr>
      <w:r>
        <w:rPr>
          <w:lang w:val="es-CO"/>
        </w:rPr>
        <w:t>El buscador usa espera corta (debounce), cancela solicitudes anteriores y no consulta por cada tecla.</w:t>
      </w:r>
    </w:p>
    <w:p>
      <w:pPr>
        <w:pStyle w:val="ListBullet"/>
      </w:pPr>
      <w:r>
        <w:rPr>
          <w:lang w:val="es-CO"/>
        </w:rPr>
        <w:t>Catálogos pequeños se almacenan temporalmente en caché; los datos sensibles o variables se revalidan.</w:t>
      </w:r>
    </w:p>
    <w:p>
      <w:pPr>
        <w:pStyle w:val="ListBullet"/>
      </w:pPr>
      <w:r>
        <w:rPr>
          <w:lang w:val="es-CO"/>
        </w:rPr>
        <w:t>Reportes pesados se ejecutan en segundo plano y notifican cuando el archivo está listo.</w:t>
      </w:r>
    </w:p>
    <w:p>
      <w:pPr>
        <w:pStyle w:val="Heading2"/>
        <w:keepNext/>
      </w:pPr>
      <w:r>
        <w:rPr>
          <w:lang w:val="es-CO"/>
        </w:rPr>
        <w:t>4.3 Diferencia funcional relevante</w:t>
      </w:r>
    </w:p>
    <w:tbl>
      <w:tblPr>
        <w:tblW w:type="auto" w:w="0"/>
        <w:jc w:val="center"/>
        <w:tblLayout w:type="fixed"/>
        <w:tblLook w:firstColumn="1" w:firstRow="1" w:lastColumn="0" w:lastRow="0" w:noHBand="0" w:noVBand="1" w:val="04A0"/>
      </w:tblPr>
      <w:tblGrid>
        <w:gridCol w:w="173"/>
        <w:gridCol w:w="9864"/>
      </w:tblGrid>
      <w:tr>
        <w:tc>
          <w:tcPr>
            <w:tcW w:type="dxa" w:w="5083"/>
            <w:shd w:fill="2F5048"/>
          </w:tcPr>
          <w:p/>
        </w:tc>
        <w:tc>
          <w:tcPr>
            <w:tcW w:type="dxa" w:w="5083"/>
            <w:shd w:fill="F2F6F4"/>
            <w:tcMar>
              <w:top w:w="150" w:type="dxa"/>
              <w:start w:w="180" w:type="dxa"/>
              <w:bottom w:w="150" w:type="dxa"/>
              <w:end w:w="180" w:type="dxa"/>
            </w:tcMar>
          </w:tcPr>
          <w:p>
            <w:r>
              <w:rPr>
                <w:b/>
                <w:color w:val="2F5048"/>
                <w:sz w:val="20"/>
              </w:rPr>
              <w:t>SIN TECHO DE 500/2.000 REGISTROS</w:t>
              <w:br/>
            </w:r>
            <w:r>
              <w:rPr>
                <w:color w:val="1D2B27"/>
                <w:sz w:val="18"/>
              </w:rPr>
              <w:t>La plataforma propia no depende de la delegación de Power Fx. La API consulta el conjunto completo en PostgreSQL y retorna la página correcta. Esto no autoriza respuestas ilimitadas: se imponen tamaños máximos de página para preservar memoria, red y experiencia.</w:t>
            </w:r>
          </w:p>
        </w:tc>
      </w:tr>
    </w:tbl>
    <w:p>
      <w:pPr>
        <w:spacing w:after="0"/>
      </w:pPr>
    </w:p>
    <w:p>
      <w:r>
        <w:rPr>
          <w:lang w:val="es-CO"/>
        </w:rPr>
        <w:br w:type="page"/>
      </w:r>
    </w:p>
    <w:p>
      <w:pPr>
        <w:pStyle w:val="Heading1"/>
        <w:keepNext/>
      </w:pPr>
      <w:r>
        <w:rPr>
          <w:lang w:val="es-CO"/>
        </w:rPr>
        <w:t>5. Infraestructura de ejecución</w:t>
      </w:r>
    </w:p>
    <w:p>
      <w:pPr>
        <w:pStyle w:val="Heading2"/>
        <w:keepNext/>
      </w:pPr>
      <w:r>
        <w:rPr>
          <w:lang w:val="es-CO"/>
        </w:rPr>
        <w:t>5.1 Dimensionamiento inicial recomendado</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vAlign w:val="center"/>
            <w:tcMar>
              <w:top w:w="100" w:type="dxa"/>
              <w:start w:w="120" w:type="dxa"/>
              <w:bottom w:w="100" w:type="dxa"/>
              <w:end w:w="120" w:type="dxa"/>
            </w:tcMar>
            <w:shd w:fill="2F5048"/>
          </w:tcPr>
          <w:p>
            <w:r/>
            <w:r>
              <w:rPr>
                <w:rFonts w:ascii="Aptos" w:hAnsi="Aptos"/>
                <w:b/>
                <w:color w:val="FFFFFF"/>
                <w:sz w:val="16"/>
              </w:rPr>
              <w:t>Servicio</w:t>
            </w:r>
          </w:p>
        </w:tc>
        <w:tc>
          <w:tcPr>
            <w:tcW w:type="dxa" w:w="2664"/>
            <w:vAlign w:val="center"/>
            <w:tcMar>
              <w:top w:w="100" w:type="dxa"/>
              <w:start w:w="120" w:type="dxa"/>
              <w:bottom w:w="100" w:type="dxa"/>
              <w:end w:w="120" w:type="dxa"/>
            </w:tcMar>
            <w:shd w:fill="2F5048"/>
          </w:tcPr>
          <w:p>
            <w:r/>
            <w:r>
              <w:rPr>
                <w:rFonts w:ascii="Aptos" w:hAnsi="Aptos"/>
                <w:b/>
                <w:color w:val="FFFFFF"/>
                <w:sz w:val="16"/>
              </w:rPr>
              <w:t>Piloto / presentación</w:t>
            </w:r>
          </w:p>
        </w:tc>
        <w:tc>
          <w:tcPr>
            <w:tcW w:type="dxa" w:w="2952"/>
            <w:vAlign w:val="center"/>
            <w:tcMar>
              <w:top w:w="100" w:type="dxa"/>
              <w:start w:w="120" w:type="dxa"/>
              <w:bottom w:w="100" w:type="dxa"/>
              <w:end w:w="120" w:type="dxa"/>
            </w:tcMar>
            <w:shd w:fill="2F5048"/>
          </w:tcPr>
          <w:p>
            <w:r/>
            <w:r>
              <w:rPr>
                <w:rFonts w:ascii="Aptos" w:hAnsi="Aptos"/>
                <w:b/>
                <w:color w:val="FFFFFF"/>
                <w:sz w:val="16"/>
              </w:rPr>
              <w:t>Producción inicial</w:t>
            </w:r>
          </w:p>
        </w:tc>
        <w:tc>
          <w:tcPr>
            <w:tcW w:type="dxa" w:w="2664"/>
            <w:vAlign w:val="center"/>
            <w:tcMar>
              <w:top w:w="100" w:type="dxa"/>
              <w:start w:w="120" w:type="dxa"/>
              <w:bottom w:w="100" w:type="dxa"/>
              <w:end w:w="120" w:type="dxa"/>
            </w:tcMar>
            <w:shd w:fill="2F5048"/>
          </w:tcPr>
          <w:p>
            <w:r/>
            <w:r>
              <w:rPr>
                <w:rFonts w:ascii="Aptos" w:hAnsi="Aptos"/>
                <w:b/>
                <w:color w:val="FFFFFF"/>
                <w:sz w:val="16"/>
              </w:rPr>
              <w:t>Crecimiento / alta disponibilidad</w:t>
            </w:r>
          </w:p>
        </w:tc>
      </w:tr>
      <w:tr>
        <w:tc>
          <w:tcPr>
            <w:tcW w:type="dxa" w:w="1800"/>
            <w:vAlign w:val="center"/>
            <w:tcMar>
              <w:top w:w="100" w:type="dxa"/>
              <w:start w:w="120" w:type="dxa"/>
              <w:bottom w:w="100" w:type="dxa"/>
              <w:end w:w="120" w:type="dxa"/>
            </w:tcMar>
            <w:shd w:fill="FFFFFF"/>
          </w:tcPr>
          <w:p>
            <w:r/>
            <w:r>
              <w:rPr>
                <w:rFonts w:ascii="Aptos" w:hAnsi="Aptos"/>
                <w:b w:val="0"/>
                <w:color w:val="1D2B27"/>
                <w:sz w:val="15"/>
              </w:rPr>
              <w:t>Frontend + API</w:t>
            </w:r>
          </w:p>
        </w:tc>
        <w:tc>
          <w:tcPr>
            <w:tcW w:type="dxa" w:w="2664"/>
            <w:vAlign w:val="center"/>
            <w:tcMar>
              <w:top w:w="100" w:type="dxa"/>
              <w:start w:w="120" w:type="dxa"/>
              <w:bottom w:w="100" w:type="dxa"/>
              <w:end w:w="120" w:type="dxa"/>
            </w:tcMar>
            <w:shd w:fill="FFFFFF"/>
          </w:tcPr>
          <w:p>
            <w:r/>
            <w:r>
              <w:rPr>
                <w:rFonts w:ascii="Aptos" w:hAnsi="Aptos"/>
                <w:b w:val="0"/>
                <w:color w:val="1D2B27"/>
                <w:sz w:val="15"/>
              </w:rPr>
              <w:t>4 vCPU, 8 GB RAM compartidos</w:t>
            </w:r>
          </w:p>
        </w:tc>
        <w:tc>
          <w:tcPr>
            <w:tcW w:type="dxa" w:w="2952"/>
            <w:vAlign w:val="center"/>
            <w:tcMar>
              <w:top w:w="100" w:type="dxa"/>
              <w:start w:w="120" w:type="dxa"/>
              <w:bottom w:w="100" w:type="dxa"/>
              <w:end w:w="120" w:type="dxa"/>
            </w:tcMar>
            <w:shd w:fill="FFFFFF"/>
          </w:tcPr>
          <w:p>
            <w:r/>
            <w:r>
              <w:rPr>
                <w:rFonts w:ascii="Aptos" w:hAnsi="Aptos"/>
                <w:b w:val="0"/>
                <w:color w:val="1D2B27"/>
                <w:sz w:val="15"/>
              </w:rPr>
              <w:t>2 instancias de 2 vCPU y 4 GB, o 1 de 4 vCPU/8 GB</w:t>
            </w:r>
          </w:p>
        </w:tc>
        <w:tc>
          <w:tcPr>
            <w:tcW w:type="dxa" w:w="2664"/>
            <w:vAlign w:val="center"/>
            <w:tcMar>
              <w:top w:w="100" w:type="dxa"/>
              <w:start w:w="120" w:type="dxa"/>
              <w:bottom w:w="100" w:type="dxa"/>
              <w:end w:w="120" w:type="dxa"/>
            </w:tcMar>
            <w:shd w:fill="FFFFFF"/>
          </w:tcPr>
          <w:p>
            <w:r/>
            <w:r>
              <w:rPr>
                <w:rFonts w:ascii="Aptos" w:hAnsi="Aptos"/>
                <w:b w:val="0"/>
                <w:color w:val="1D2B27"/>
                <w:sz w:val="15"/>
              </w:rPr>
              <w:t>2+ instancias de 4 vCPU/8 GB detrás de balanceador</w:t>
            </w:r>
          </w:p>
        </w:tc>
      </w:tr>
      <w:tr>
        <w:tc>
          <w:tcPr>
            <w:tcW w:type="dxa" w:w="1800"/>
            <w:vAlign w:val="center"/>
            <w:tcMar>
              <w:top w:w="100" w:type="dxa"/>
              <w:start w:w="120" w:type="dxa"/>
              <w:bottom w:w="100" w:type="dxa"/>
              <w:end w:w="120" w:type="dxa"/>
            </w:tcMar>
            <w:shd w:fill="F2F6F4"/>
          </w:tcPr>
          <w:p>
            <w:r/>
            <w:r>
              <w:rPr>
                <w:rFonts w:ascii="Aptos" w:hAnsi="Aptos"/>
                <w:b w:val="0"/>
                <w:color w:val="1D2B27"/>
                <w:sz w:val="15"/>
              </w:rPr>
              <w:t>PostgreSQL</w:t>
            </w:r>
          </w:p>
        </w:tc>
        <w:tc>
          <w:tcPr>
            <w:tcW w:type="dxa" w:w="2664"/>
            <w:vAlign w:val="center"/>
            <w:tcMar>
              <w:top w:w="100" w:type="dxa"/>
              <w:start w:w="120" w:type="dxa"/>
              <w:bottom w:w="100" w:type="dxa"/>
              <w:end w:w="120" w:type="dxa"/>
            </w:tcMar>
            <w:shd w:fill="F2F6F4"/>
          </w:tcPr>
          <w:p>
            <w:r/>
            <w:r>
              <w:rPr>
                <w:rFonts w:ascii="Aptos" w:hAnsi="Aptos"/>
                <w:b w:val="0"/>
                <w:color w:val="1D2B27"/>
                <w:sz w:val="15"/>
              </w:rPr>
              <w:t>2–4 vCPU, 8 GB, SSD</w:t>
            </w:r>
          </w:p>
        </w:tc>
        <w:tc>
          <w:tcPr>
            <w:tcW w:type="dxa" w:w="2952"/>
            <w:vAlign w:val="center"/>
            <w:tcMar>
              <w:top w:w="100" w:type="dxa"/>
              <w:start w:w="120" w:type="dxa"/>
              <w:bottom w:w="100" w:type="dxa"/>
              <w:end w:w="120" w:type="dxa"/>
            </w:tcMar>
            <w:shd w:fill="F2F6F4"/>
          </w:tcPr>
          <w:p>
            <w:r/>
            <w:r>
              <w:rPr>
                <w:rFonts w:ascii="Aptos" w:hAnsi="Aptos"/>
                <w:b w:val="0"/>
                <w:color w:val="1D2B27"/>
                <w:sz w:val="15"/>
              </w:rPr>
              <w:t>2–4 vCPU, 8–16 GB, SSD/NVMe administrado</w:t>
            </w:r>
          </w:p>
        </w:tc>
        <w:tc>
          <w:tcPr>
            <w:tcW w:type="dxa" w:w="2664"/>
            <w:vAlign w:val="center"/>
            <w:tcMar>
              <w:top w:w="100" w:type="dxa"/>
              <w:start w:w="120" w:type="dxa"/>
              <w:bottom w:w="100" w:type="dxa"/>
              <w:end w:w="120" w:type="dxa"/>
            </w:tcMar>
            <w:shd w:fill="F2F6F4"/>
          </w:tcPr>
          <w:p>
            <w:r/>
            <w:r>
              <w:rPr>
                <w:rFonts w:ascii="Aptos" w:hAnsi="Aptos"/>
                <w:b w:val="0"/>
                <w:color w:val="1D2B27"/>
                <w:sz w:val="15"/>
              </w:rPr>
              <w:t>Alta disponibilidad, 4–8 vCPU, 16–32 GB, réplica según medición</w:t>
            </w:r>
          </w:p>
        </w:tc>
      </w:tr>
      <w:tr>
        <w:tc>
          <w:tcPr>
            <w:tcW w:type="dxa" w:w="1800"/>
            <w:vAlign w:val="center"/>
            <w:tcMar>
              <w:top w:w="100" w:type="dxa"/>
              <w:start w:w="120" w:type="dxa"/>
              <w:bottom w:w="100" w:type="dxa"/>
              <w:end w:w="120" w:type="dxa"/>
            </w:tcMar>
            <w:shd w:fill="FFFFFF"/>
          </w:tcPr>
          <w:p>
            <w:r/>
            <w:r>
              <w:rPr>
                <w:rFonts w:ascii="Aptos" w:hAnsi="Aptos"/>
                <w:b w:val="0"/>
                <w:color w:val="1D2B27"/>
                <w:sz w:val="15"/>
              </w:rPr>
              <w:t>Documentos</w:t>
            </w:r>
          </w:p>
        </w:tc>
        <w:tc>
          <w:tcPr>
            <w:tcW w:type="dxa" w:w="2664"/>
            <w:vAlign w:val="center"/>
            <w:tcMar>
              <w:top w:w="100" w:type="dxa"/>
              <w:start w:w="120" w:type="dxa"/>
              <w:bottom w:w="100" w:type="dxa"/>
              <w:end w:w="120" w:type="dxa"/>
            </w:tcMar>
            <w:shd w:fill="FFFFFF"/>
          </w:tcPr>
          <w:p>
            <w:r/>
            <w:r>
              <w:rPr>
                <w:rFonts w:ascii="Aptos" w:hAnsi="Aptos"/>
                <w:b w:val="0"/>
                <w:color w:val="1D2B27"/>
                <w:sz w:val="15"/>
              </w:rPr>
              <w:t>20–50 GB</w:t>
            </w:r>
          </w:p>
        </w:tc>
        <w:tc>
          <w:tcPr>
            <w:tcW w:type="dxa" w:w="2952"/>
            <w:vAlign w:val="center"/>
            <w:tcMar>
              <w:top w:w="100" w:type="dxa"/>
              <w:start w:w="120" w:type="dxa"/>
              <w:bottom w:w="100" w:type="dxa"/>
              <w:end w:w="120" w:type="dxa"/>
            </w:tcMar>
            <w:shd w:fill="FFFFFF"/>
          </w:tcPr>
          <w:p>
            <w:r/>
            <w:r>
              <w:rPr>
                <w:rFonts w:ascii="Aptos" w:hAnsi="Aptos"/>
                <w:b w:val="0"/>
                <w:color w:val="1D2B27"/>
                <w:sz w:val="15"/>
              </w:rPr>
              <w:t>100 GB inicial escalable</w:t>
            </w:r>
          </w:p>
        </w:tc>
        <w:tc>
          <w:tcPr>
            <w:tcW w:type="dxa" w:w="2664"/>
            <w:vAlign w:val="center"/>
            <w:tcMar>
              <w:top w:w="100" w:type="dxa"/>
              <w:start w:w="120" w:type="dxa"/>
              <w:bottom w:w="100" w:type="dxa"/>
              <w:end w:w="120" w:type="dxa"/>
            </w:tcMar>
            <w:shd w:fill="FFFFFF"/>
          </w:tcPr>
          <w:p>
            <w:r/>
            <w:r>
              <w:rPr>
                <w:rFonts w:ascii="Aptos" w:hAnsi="Aptos"/>
                <w:b w:val="0"/>
                <w:color w:val="1D2B27"/>
                <w:sz w:val="15"/>
              </w:rPr>
              <w:t>Almacenamiento de objetos, versionado y políticas de ciclo de vida</w:t>
            </w:r>
          </w:p>
        </w:tc>
      </w:tr>
      <w:tr>
        <w:tc>
          <w:tcPr>
            <w:tcW w:type="dxa" w:w="1800"/>
            <w:vAlign w:val="center"/>
            <w:tcMar>
              <w:top w:w="100" w:type="dxa"/>
              <w:start w:w="120" w:type="dxa"/>
              <w:bottom w:w="100" w:type="dxa"/>
              <w:end w:w="120" w:type="dxa"/>
            </w:tcMar>
            <w:shd w:fill="F2F6F4"/>
          </w:tcPr>
          <w:p>
            <w:r/>
            <w:r>
              <w:rPr>
                <w:rFonts w:ascii="Aptos" w:hAnsi="Aptos"/>
                <w:b w:val="0"/>
                <w:color w:val="1D2B27"/>
                <w:sz w:val="15"/>
              </w:rPr>
              <w:t>Red</w:t>
            </w:r>
          </w:p>
        </w:tc>
        <w:tc>
          <w:tcPr>
            <w:tcW w:type="dxa" w:w="2664"/>
            <w:vAlign w:val="center"/>
            <w:tcMar>
              <w:top w:w="100" w:type="dxa"/>
              <w:start w:w="120" w:type="dxa"/>
              <w:bottom w:w="100" w:type="dxa"/>
              <w:end w:w="120" w:type="dxa"/>
            </w:tcMar>
            <w:shd w:fill="F2F6F4"/>
          </w:tcPr>
          <w:p>
            <w:r/>
            <w:r>
              <w:rPr>
                <w:rFonts w:ascii="Aptos" w:hAnsi="Aptos"/>
                <w:b w:val="0"/>
                <w:color w:val="1D2B27"/>
                <w:sz w:val="15"/>
              </w:rPr>
              <w:t>Local o VPN</w:t>
            </w:r>
          </w:p>
        </w:tc>
        <w:tc>
          <w:tcPr>
            <w:tcW w:type="dxa" w:w="2952"/>
            <w:vAlign w:val="center"/>
            <w:tcMar>
              <w:top w:w="100" w:type="dxa"/>
              <w:start w:w="120" w:type="dxa"/>
              <w:bottom w:w="100" w:type="dxa"/>
              <w:end w:w="120" w:type="dxa"/>
            </w:tcMar>
            <w:shd w:fill="F2F6F4"/>
          </w:tcPr>
          <w:p>
            <w:r/>
            <w:r>
              <w:rPr>
                <w:rFonts w:ascii="Aptos" w:hAnsi="Aptos"/>
                <w:b w:val="0"/>
                <w:color w:val="1D2B27"/>
                <w:sz w:val="15"/>
              </w:rPr>
              <w:t>TLS público o red privada/VPN</w:t>
            </w:r>
          </w:p>
        </w:tc>
        <w:tc>
          <w:tcPr>
            <w:tcW w:type="dxa" w:w="2664"/>
            <w:vAlign w:val="center"/>
            <w:tcMar>
              <w:top w:w="100" w:type="dxa"/>
              <w:start w:w="120" w:type="dxa"/>
              <w:bottom w:w="100" w:type="dxa"/>
              <w:end w:w="120" w:type="dxa"/>
            </w:tcMar>
            <w:shd w:fill="F2F6F4"/>
          </w:tcPr>
          <w:p>
            <w:r/>
            <w:r>
              <w:rPr>
                <w:rFonts w:ascii="Aptos" w:hAnsi="Aptos"/>
                <w:b w:val="0"/>
                <w:color w:val="1D2B27"/>
                <w:sz w:val="15"/>
              </w:rPr>
              <w:t>WAF, balanceador, segmentación y egreso controlado</w:t>
            </w:r>
          </w:p>
        </w:tc>
      </w:tr>
    </w:tbl>
    <w:p>
      <w:pPr>
        <w:spacing w:after="0"/>
      </w:pPr>
    </w:p>
    <w:p>
      <w:r>
        <w:rPr>
          <w:lang w:val="es-CO"/>
        </w:rPr>
        <w:t>Estas cifras son un punto de partida, no una promesa de capacidad. La prueba de carga con volumen real de datos determina el tamaño definitivo. Para una aplicación administrativa de esta escala, la calidad de índices y consultas suele influir más que aumentar CPU.</w:t>
      </w:r>
    </w:p>
    <w:p>
      <w:pPr>
        <w:pStyle w:val="Heading2"/>
        <w:keepNext/>
      </w:pPr>
      <w:r>
        <w:rPr>
          <w:lang w:val="es-CO"/>
        </w:rPr>
        <w:t>5.2 Alternativas de hospedaje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vAlign w:val="center"/>
            <w:tcMar>
              <w:top w:w="100" w:type="dxa"/>
              <w:start w:w="120" w:type="dxa"/>
              <w:bottom w:w="100" w:type="dxa"/>
              <w:end w:w="120" w:type="dxa"/>
            </w:tcMar>
            <w:shd w:fill="2F5048"/>
          </w:tcPr>
          <w:p>
            <w:r/>
            <w:r>
              <w:rPr>
                <w:rFonts w:ascii="Aptos" w:hAnsi="Aptos"/>
                <w:b/>
                <w:color w:val="FFFFFF"/>
                <w:sz w:val="16"/>
              </w:rPr>
              <w:t>Alternativa</w:t>
            </w:r>
          </w:p>
        </w:tc>
        <w:tc>
          <w:tcPr>
            <w:tcW w:type="dxa" w:w="2592"/>
            <w:vAlign w:val="center"/>
            <w:tcMar>
              <w:top w:w="100" w:type="dxa"/>
              <w:start w:w="120" w:type="dxa"/>
              <w:bottom w:w="100" w:type="dxa"/>
              <w:end w:w="120" w:type="dxa"/>
            </w:tcMar>
            <w:shd w:fill="2F5048"/>
          </w:tcPr>
          <w:p>
            <w:r/>
            <w:r>
              <w:rPr>
                <w:rFonts w:ascii="Aptos" w:hAnsi="Aptos"/>
                <w:b/>
                <w:color w:val="FFFFFF"/>
                <w:sz w:val="16"/>
              </w:rPr>
              <w:t>Ventaja</w:t>
            </w:r>
          </w:p>
        </w:tc>
        <w:tc>
          <w:tcPr>
            <w:tcW w:type="dxa" w:w="3672"/>
            <w:vAlign w:val="center"/>
            <w:tcMar>
              <w:top w:w="100" w:type="dxa"/>
              <w:start w:w="120" w:type="dxa"/>
              <w:bottom w:w="100" w:type="dxa"/>
              <w:end w:w="120" w:type="dxa"/>
            </w:tcMar>
            <w:shd w:fill="2F5048"/>
          </w:tcPr>
          <w:p>
            <w:r/>
            <w:r>
              <w:rPr>
                <w:rFonts w:ascii="Aptos" w:hAnsi="Aptos"/>
                <w:b/>
                <w:color w:val="FFFFFF"/>
                <w:sz w:val="16"/>
              </w:rPr>
              <w:t>Riesgo / obligación</w:t>
            </w:r>
          </w:p>
        </w:tc>
        <w:tc>
          <w:tcPr>
            <w:tcW w:type="dxa" w:w="2016"/>
            <w:vAlign w:val="center"/>
            <w:tcMar>
              <w:top w:w="100" w:type="dxa"/>
              <w:start w:w="120" w:type="dxa"/>
              <w:bottom w:w="100" w:type="dxa"/>
              <w:end w:w="120" w:type="dxa"/>
            </w:tcMar>
            <w:shd w:fill="2F5048"/>
          </w:tcPr>
          <w:p>
            <w:r/>
            <w:r>
              <w:rPr>
                <w:rFonts w:ascii="Aptos" w:hAnsi="Aptos"/>
                <w:b/>
                <w:color w:val="FFFFFF"/>
                <w:sz w:val="16"/>
              </w:rPr>
              <w:t>Uso recomendado</w:t>
            </w:r>
          </w:p>
        </w:tc>
      </w:tr>
      <w:tr>
        <w:tc>
          <w:tcPr>
            <w:tcW w:type="dxa" w:w="1800"/>
            <w:vAlign w:val="center"/>
            <w:tcMar>
              <w:top w:w="100" w:type="dxa"/>
              <w:start w:w="120" w:type="dxa"/>
              <w:bottom w:w="100" w:type="dxa"/>
              <w:end w:w="120" w:type="dxa"/>
            </w:tcMar>
            <w:shd w:fill="FFFFFF"/>
          </w:tcPr>
          <w:p>
            <w:r/>
            <w:r>
              <w:rPr>
                <w:rFonts w:ascii="Aptos" w:hAnsi="Aptos"/>
                <w:b w:val="0"/>
                <w:color w:val="1D2B27"/>
                <w:sz w:val="15"/>
              </w:rPr>
              <w:t>Servidor propio</w:t>
            </w:r>
          </w:p>
        </w:tc>
        <w:tc>
          <w:tcPr>
            <w:tcW w:type="dxa" w:w="2592"/>
            <w:vAlign w:val="center"/>
            <w:tcMar>
              <w:top w:w="100" w:type="dxa"/>
              <w:start w:w="120" w:type="dxa"/>
              <w:bottom w:w="100" w:type="dxa"/>
              <w:end w:w="120" w:type="dxa"/>
            </w:tcMar>
            <w:shd w:fill="FFFFFF"/>
          </w:tcPr>
          <w:p>
            <w:r/>
            <w:r>
              <w:rPr>
                <w:rFonts w:ascii="Aptos" w:hAnsi="Aptos"/>
                <w:b w:val="0"/>
                <w:color w:val="1D2B27"/>
                <w:sz w:val="15"/>
              </w:rPr>
              <w:t>Aprovecha infraestructura existente y control interno</w:t>
            </w:r>
          </w:p>
        </w:tc>
        <w:tc>
          <w:tcPr>
            <w:tcW w:type="dxa" w:w="3672"/>
            <w:vAlign w:val="center"/>
            <w:tcMar>
              <w:top w:w="100" w:type="dxa"/>
              <w:start w:w="120" w:type="dxa"/>
              <w:bottom w:w="100" w:type="dxa"/>
              <w:end w:w="120" w:type="dxa"/>
            </w:tcMar>
            <w:shd w:fill="FFFFFF"/>
          </w:tcPr>
          <w:p>
            <w:r/>
            <w:r>
              <w:rPr>
                <w:rFonts w:ascii="Aptos" w:hAnsi="Aptos"/>
                <w:b w:val="0"/>
                <w:color w:val="1D2B27"/>
                <w:sz w:val="15"/>
              </w:rPr>
              <w:t>Gaia asume energía, UPS, red, parches, copias, disponibilidad y recuperación</w:t>
            </w:r>
          </w:p>
        </w:tc>
        <w:tc>
          <w:tcPr>
            <w:tcW w:type="dxa" w:w="2016"/>
            <w:vAlign w:val="center"/>
            <w:tcMar>
              <w:top w:w="100" w:type="dxa"/>
              <w:start w:w="120" w:type="dxa"/>
              <w:bottom w:w="100" w:type="dxa"/>
              <w:end w:w="120" w:type="dxa"/>
            </w:tcMar>
            <w:shd w:fill="FFFFFF"/>
          </w:tcPr>
          <w:p>
            <w:r/>
            <w:r>
              <w:rPr>
                <w:rFonts w:ascii="Aptos" w:hAnsi="Aptos"/>
                <w:b w:val="0"/>
                <w:color w:val="1D2B27"/>
                <w:sz w:val="15"/>
              </w:rPr>
              <w:t>Piloto o producción interna si existe operación TI formal</w:t>
            </w:r>
          </w:p>
        </w:tc>
      </w:tr>
      <w:tr>
        <w:tc>
          <w:tcPr>
            <w:tcW w:type="dxa" w:w="1800"/>
            <w:vAlign w:val="center"/>
            <w:tcMar>
              <w:top w:w="100" w:type="dxa"/>
              <w:start w:w="120" w:type="dxa"/>
              <w:bottom w:w="100" w:type="dxa"/>
              <w:end w:w="120" w:type="dxa"/>
            </w:tcMar>
            <w:shd w:fill="F2F6F4"/>
          </w:tcPr>
          <w:p>
            <w:r/>
            <w:r>
              <w:rPr>
                <w:rFonts w:ascii="Aptos" w:hAnsi="Aptos"/>
                <w:b w:val="0"/>
                <w:color w:val="1D2B27"/>
                <w:sz w:val="15"/>
              </w:rPr>
              <w:t>VPS Linux</w:t>
            </w:r>
          </w:p>
        </w:tc>
        <w:tc>
          <w:tcPr>
            <w:tcW w:type="dxa" w:w="2592"/>
            <w:vAlign w:val="center"/>
            <w:tcMar>
              <w:top w:w="100" w:type="dxa"/>
              <w:start w:w="120" w:type="dxa"/>
              <w:bottom w:w="100" w:type="dxa"/>
              <w:end w:w="120" w:type="dxa"/>
            </w:tcMar>
            <w:shd w:fill="F2F6F4"/>
          </w:tcPr>
          <w:p>
            <w:r/>
            <w:r>
              <w:rPr>
                <w:rFonts w:ascii="Aptos" w:hAnsi="Aptos"/>
                <w:b w:val="0"/>
                <w:color w:val="1D2B27"/>
                <w:sz w:val="15"/>
              </w:rPr>
              <w:t>Bajo costo y portabilidad</w:t>
            </w:r>
          </w:p>
        </w:tc>
        <w:tc>
          <w:tcPr>
            <w:tcW w:type="dxa" w:w="3672"/>
            <w:vAlign w:val="center"/>
            <w:tcMar>
              <w:top w:w="100" w:type="dxa"/>
              <w:start w:w="120" w:type="dxa"/>
              <w:bottom w:w="100" w:type="dxa"/>
              <w:end w:w="120" w:type="dxa"/>
            </w:tcMar>
            <w:shd w:fill="F2F6F4"/>
          </w:tcPr>
          <w:p>
            <w:r/>
            <w:r>
              <w:rPr>
                <w:rFonts w:ascii="Aptos" w:hAnsi="Aptos"/>
                <w:b w:val="0"/>
                <w:color w:val="1D2B27"/>
                <w:sz w:val="15"/>
              </w:rPr>
              <w:t>Administración completa del sistema, base y respaldo</w:t>
            </w:r>
          </w:p>
        </w:tc>
        <w:tc>
          <w:tcPr>
            <w:tcW w:type="dxa" w:w="2016"/>
            <w:vAlign w:val="center"/>
            <w:tcMar>
              <w:top w:w="100" w:type="dxa"/>
              <w:start w:w="120" w:type="dxa"/>
              <w:bottom w:w="100" w:type="dxa"/>
              <w:end w:w="120" w:type="dxa"/>
            </w:tcMar>
            <w:shd w:fill="F2F6F4"/>
          </w:tcPr>
          <w:p>
            <w:r/>
            <w:r>
              <w:rPr>
                <w:rFonts w:ascii="Aptos" w:hAnsi="Aptos"/>
                <w:b w:val="0"/>
                <w:color w:val="1D2B27"/>
                <w:sz w:val="15"/>
              </w:rPr>
              <w:t>Producción económica con responsable DevOps</w:t>
            </w:r>
          </w:p>
        </w:tc>
      </w:tr>
      <w:tr>
        <w:tc>
          <w:tcPr>
            <w:tcW w:type="dxa" w:w="1800"/>
            <w:vAlign w:val="center"/>
            <w:tcMar>
              <w:top w:w="100" w:type="dxa"/>
              <w:start w:w="120" w:type="dxa"/>
              <w:bottom w:w="100" w:type="dxa"/>
              <w:end w:w="120" w:type="dxa"/>
            </w:tcMar>
            <w:shd w:fill="FFFFFF"/>
          </w:tcPr>
          <w:p>
            <w:r/>
            <w:r>
              <w:rPr>
                <w:rFonts w:ascii="Aptos" w:hAnsi="Aptos"/>
                <w:b w:val="0"/>
                <w:color w:val="1D2B27"/>
                <w:sz w:val="15"/>
              </w:rPr>
              <w:t>Servicios Azure administrados</w:t>
            </w:r>
          </w:p>
        </w:tc>
        <w:tc>
          <w:tcPr>
            <w:tcW w:type="dxa" w:w="2592"/>
            <w:vAlign w:val="center"/>
            <w:tcMar>
              <w:top w:w="100" w:type="dxa"/>
              <w:start w:w="120" w:type="dxa"/>
              <w:bottom w:w="100" w:type="dxa"/>
              <w:end w:w="120" w:type="dxa"/>
            </w:tcMar>
            <w:shd w:fill="FFFFFF"/>
          </w:tcPr>
          <w:p>
            <w:r/>
            <w:r>
              <w:rPr>
                <w:rFonts w:ascii="Aptos" w:hAnsi="Aptos"/>
                <w:b w:val="0"/>
                <w:color w:val="1D2B27"/>
                <w:sz w:val="15"/>
              </w:rPr>
              <w:t>Integración corporativa y menor carga operativa</w:t>
            </w:r>
          </w:p>
        </w:tc>
        <w:tc>
          <w:tcPr>
            <w:tcW w:type="dxa" w:w="3672"/>
            <w:vAlign w:val="center"/>
            <w:tcMar>
              <w:top w:w="100" w:type="dxa"/>
              <w:start w:w="120" w:type="dxa"/>
              <w:bottom w:w="100" w:type="dxa"/>
              <w:end w:w="120" w:type="dxa"/>
            </w:tcMar>
            <w:shd w:fill="FFFFFF"/>
          </w:tcPr>
          <w:p>
            <w:r/>
            <w:r>
              <w:rPr>
                <w:rFonts w:ascii="Aptos" w:hAnsi="Aptos"/>
                <w:b w:val="0"/>
                <w:color w:val="1D2B27"/>
                <w:sz w:val="15"/>
              </w:rPr>
              <w:t>Costo mensual mayor y dependencia del proveedor</w:t>
            </w:r>
          </w:p>
        </w:tc>
        <w:tc>
          <w:tcPr>
            <w:tcW w:type="dxa" w:w="2016"/>
            <w:vAlign w:val="center"/>
            <w:tcMar>
              <w:top w:w="100" w:type="dxa"/>
              <w:start w:w="120" w:type="dxa"/>
              <w:bottom w:w="100" w:type="dxa"/>
              <w:end w:w="120" w:type="dxa"/>
            </w:tcMar>
            <w:shd w:fill="FFFFFF"/>
          </w:tcPr>
          <w:p>
            <w:r/>
            <w:r>
              <w:rPr>
                <w:rFonts w:ascii="Aptos" w:hAnsi="Aptos"/>
                <w:b w:val="0"/>
                <w:color w:val="1D2B27"/>
                <w:sz w:val="15"/>
              </w:rPr>
              <w:t>Producción cuando se prioriza continuidad y soporte</w:t>
            </w:r>
          </w:p>
        </w:tc>
      </w:tr>
      <w:tr>
        <w:tc>
          <w:tcPr>
            <w:tcW w:type="dxa" w:w="1800"/>
            <w:vAlign w:val="center"/>
            <w:tcMar>
              <w:top w:w="100" w:type="dxa"/>
              <w:start w:w="120" w:type="dxa"/>
              <w:bottom w:w="100" w:type="dxa"/>
              <w:end w:w="120" w:type="dxa"/>
            </w:tcMar>
            <w:shd w:fill="F2F6F4"/>
          </w:tcPr>
          <w:p>
            <w:r/>
            <w:r>
              <w:rPr>
                <w:rFonts w:ascii="Aptos" w:hAnsi="Aptos"/>
                <w:b w:val="0"/>
                <w:color w:val="1D2B27"/>
                <w:sz w:val="15"/>
              </w:rPr>
              <w:t>Híbrido</w:t>
            </w:r>
          </w:p>
        </w:tc>
        <w:tc>
          <w:tcPr>
            <w:tcW w:type="dxa" w:w="2592"/>
            <w:vAlign w:val="center"/>
            <w:tcMar>
              <w:top w:w="100" w:type="dxa"/>
              <w:start w:w="120" w:type="dxa"/>
              <w:bottom w:w="100" w:type="dxa"/>
              <w:end w:w="120" w:type="dxa"/>
            </w:tcMar>
            <w:shd w:fill="F2F6F4"/>
          </w:tcPr>
          <w:p>
            <w:r/>
            <w:r>
              <w:rPr>
                <w:rFonts w:ascii="Aptos" w:hAnsi="Aptos"/>
                <w:b w:val="0"/>
                <w:color w:val="1D2B27"/>
                <w:sz w:val="15"/>
              </w:rPr>
              <w:t>Aplicación propia con Entra/Power BI y componentes administrados</w:t>
            </w:r>
          </w:p>
        </w:tc>
        <w:tc>
          <w:tcPr>
            <w:tcW w:type="dxa" w:w="3672"/>
            <w:vAlign w:val="center"/>
            <w:tcMar>
              <w:top w:w="100" w:type="dxa"/>
              <w:start w:w="120" w:type="dxa"/>
              <w:bottom w:w="100" w:type="dxa"/>
              <w:end w:w="120" w:type="dxa"/>
            </w:tcMar>
            <w:shd w:fill="F2F6F4"/>
          </w:tcPr>
          <w:p>
            <w:r/>
            <w:r>
              <w:rPr>
                <w:rFonts w:ascii="Aptos" w:hAnsi="Aptos"/>
                <w:b w:val="0"/>
                <w:color w:val="1D2B27"/>
                <w:sz w:val="15"/>
              </w:rPr>
              <w:t>Más piezas y gobierno de conectividad</w:t>
            </w:r>
          </w:p>
        </w:tc>
        <w:tc>
          <w:tcPr>
            <w:tcW w:type="dxa" w:w="2016"/>
            <w:vAlign w:val="center"/>
            <w:tcMar>
              <w:top w:w="100" w:type="dxa"/>
              <w:start w:w="120" w:type="dxa"/>
              <w:bottom w:w="100" w:type="dxa"/>
              <w:end w:w="120" w:type="dxa"/>
            </w:tcMar>
            <w:shd w:fill="F2F6F4"/>
          </w:tcPr>
          <w:p>
            <w:r/>
            <w:r>
              <w:rPr>
                <w:rFonts w:ascii="Aptos" w:hAnsi="Aptos"/>
                <w:b w:val="0"/>
                <w:color w:val="1D2B27"/>
                <w:sz w:val="15"/>
              </w:rPr>
              <w:t>Ruta equilibrada recomendada</w:t>
            </w:r>
          </w:p>
        </w:tc>
      </w:tr>
    </w:tbl>
    <w:p>
      <w:pPr>
        <w:spacing w:after="0"/>
      </w:pPr>
    </w:p>
    <w:p>
      <w:pPr>
        <w:pStyle w:val="Heading2"/>
        <w:keepNext/>
      </w:pPr>
      <w:r>
        <w:rPr>
          <w:lang w:val="es-CO"/>
        </w:rPr>
        <w:t>5.3 Si Gaia coloca “la CPU”</w:t>
      </w:r>
    </w:p>
    <w:p>
      <w:r>
        <w:rPr>
          <w:lang w:val="es-CO"/>
        </w:rPr>
        <w:t>Sí es posible ejecutar la plataforma en un equipo de la empresa, pero debe ser un servidor dedicado, no el computador de trabajo de un usuario. Requiere Windows Server o Linux, dirección estable, almacenamiento redundante, UPS, respaldo externo, monitoreo, acceso remoto seguro, protección física y una persona responsable. El ahorro de la factura cloud se transforma en costo operativo y riesgo de interrupción; el equipo no elimina esos costos.</w:t>
      </w:r>
    </w:p>
    <w:p>
      <w:r>
        <w:rPr>
          <w:lang w:val="es-CO"/>
        </w:rPr>
        <w:br w:type="page"/>
      </w:r>
    </w:p>
    <w:p>
      <w:pPr>
        <w:pStyle w:val="Heading1"/>
        <w:keepNext/>
      </w:pPr>
      <w:r>
        <w:rPr>
          <w:lang w:val="es-CO"/>
        </w:rPr>
        <w:t>6. Datos, documentos y crecimiento</w:t>
      </w:r>
    </w:p>
    <w:p>
      <w:pPr>
        <w:pStyle w:val="Heading2"/>
        <w:keepNext/>
      </w:pPr>
      <w:r>
        <w:rPr>
          <w:lang w:val="es-CO"/>
        </w:rPr>
        <w:t>6.1 Separación obligatoria</w:t>
      </w:r>
    </w:p>
    <w:p>
      <w:r>
        <w:rPr>
          <w:lang w:val="es-CO"/>
        </w:rPr>
        <w:t>PostgreSQL debe guardar datos estructurados y metadatos. Los PDF, fotografías y otros archivos deben almacenarse como objetos; la base conserva nombre, tipo, tamaño, hash, propietario, clasificación, ubicación y trazabilidad. Guardar binarios masivos dentro de la base encarece copias y recuperación.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016"/>
            <w:vAlign w:val="center"/>
            <w:tcMar>
              <w:top w:w="100" w:type="dxa"/>
              <w:start w:w="120" w:type="dxa"/>
              <w:bottom w:w="100" w:type="dxa"/>
              <w:end w:w="120" w:type="dxa"/>
            </w:tcMar>
            <w:shd w:fill="2F5048"/>
          </w:tcPr>
          <w:p>
            <w:r/>
            <w:r>
              <w:rPr>
                <w:rFonts w:ascii="Aptos" w:hAnsi="Aptos"/>
                <w:b/>
                <w:color w:val="FFFFFF"/>
                <w:sz w:val="16"/>
              </w:rPr>
              <w:t>Escenario</w:t>
            </w:r>
          </w:p>
        </w:tc>
        <w:tc>
          <w:tcPr>
            <w:tcW w:type="dxa" w:w="2448"/>
            <w:vAlign w:val="center"/>
            <w:tcMar>
              <w:top w:w="100" w:type="dxa"/>
              <w:start w:w="120" w:type="dxa"/>
              <w:bottom w:w="100" w:type="dxa"/>
              <w:end w:w="120" w:type="dxa"/>
            </w:tcMar>
            <w:shd w:fill="2F5048"/>
          </w:tcPr>
          <w:p>
            <w:r/>
            <w:r>
              <w:rPr>
                <w:rFonts w:ascii="Aptos" w:hAnsi="Aptos"/>
                <w:b/>
                <w:color w:val="FFFFFF"/>
                <w:sz w:val="16"/>
              </w:rPr>
              <w:t>Carga documental</w:t>
            </w:r>
          </w:p>
        </w:tc>
        <w:tc>
          <w:tcPr>
            <w:tcW w:type="dxa" w:w="2448"/>
            <w:vAlign w:val="center"/>
            <w:tcMar>
              <w:top w:w="100" w:type="dxa"/>
              <w:start w:w="120" w:type="dxa"/>
              <w:bottom w:w="100" w:type="dxa"/>
              <w:end w:w="120" w:type="dxa"/>
            </w:tcMar>
            <w:shd w:fill="2F5048"/>
          </w:tcPr>
          <w:p>
            <w:r/>
            <w:r>
              <w:rPr>
                <w:rFonts w:ascii="Aptos" w:hAnsi="Aptos"/>
                <w:b/>
                <w:color w:val="FFFFFF"/>
                <w:sz w:val="16"/>
              </w:rPr>
              <w:t>Acumulado 5 años</w:t>
            </w:r>
          </w:p>
        </w:tc>
        <w:tc>
          <w:tcPr>
            <w:tcW w:type="dxa" w:w="3168"/>
            <w:vAlign w:val="center"/>
            <w:tcMar>
              <w:top w:w="100" w:type="dxa"/>
              <w:start w:w="120" w:type="dxa"/>
              <w:bottom w:w="100" w:type="dxa"/>
              <w:end w:w="120" w:type="dxa"/>
            </w:tcMar>
            <w:shd w:fill="2F5048"/>
          </w:tcPr>
          <w:p>
            <w:r/>
            <w:r>
              <w:rPr>
                <w:rFonts w:ascii="Aptos" w:hAnsi="Aptos"/>
                <w:b/>
                <w:color w:val="FFFFFF"/>
                <w:sz w:val="16"/>
              </w:rPr>
              <w:t>Base de datos estructurada a 5 años</w:t>
            </w:r>
          </w:p>
        </w:tc>
      </w:tr>
      <w:tr>
        <w:tc>
          <w:tcPr>
            <w:tcW w:type="dxa" w:w="2016"/>
            <w:vAlign w:val="center"/>
            <w:tcMar>
              <w:top w:w="100" w:type="dxa"/>
              <w:start w:w="120" w:type="dxa"/>
              <w:bottom w:w="100" w:type="dxa"/>
              <w:end w:w="120" w:type="dxa"/>
            </w:tcMar>
            <w:shd w:fill="FFFFFF"/>
          </w:tcPr>
          <w:p>
            <w:r/>
            <w:r>
              <w:rPr>
                <w:rFonts w:ascii="Aptos" w:hAnsi="Aptos"/>
                <w:b w:val="0"/>
                <w:color w:val="1D2B27"/>
                <w:sz w:val="17"/>
              </w:rPr>
              <w:t>Conservador</w:t>
            </w:r>
          </w:p>
        </w:tc>
        <w:tc>
          <w:tcPr>
            <w:tcW w:type="dxa" w:w="2448"/>
            <w:vAlign w:val="center"/>
            <w:tcMar>
              <w:top w:w="100" w:type="dxa"/>
              <w:start w:w="120" w:type="dxa"/>
              <w:bottom w:w="100" w:type="dxa"/>
              <w:end w:w="120" w:type="dxa"/>
            </w:tcMar>
            <w:shd w:fill="FFFFFF"/>
          </w:tcPr>
          <w:p>
            <w:r/>
            <w:r>
              <w:rPr>
                <w:rFonts w:ascii="Aptos" w:hAnsi="Aptos"/>
                <w:b w:val="0"/>
                <w:color w:val="1D2B27"/>
                <w:sz w:val="17"/>
              </w:rPr>
              <w:t>5 GB/año</w:t>
            </w:r>
          </w:p>
        </w:tc>
        <w:tc>
          <w:tcPr>
            <w:tcW w:type="dxa" w:w="2448"/>
            <w:vAlign w:val="center"/>
            <w:tcMar>
              <w:top w:w="100" w:type="dxa"/>
              <w:start w:w="120" w:type="dxa"/>
              <w:bottom w:w="100" w:type="dxa"/>
              <w:end w:w="120" w:type="dxa"/>
            </w:tcMar>
            <w:shd w:fill="FFFFFF"/>
          </w:tcPr>
          <w:p>
            <w:r/>
            <w:r>
              <w:rPr>
                <w:rFonts w:ascii="Aptos" w:hAnsi="Aptos"/>
                <w:b w:val="0"/>
                <w:color w:val="1D2B27"/>
                <w:sz w:val="17"/>
              </w:rPr>
              <w:t>25 GB</w:t>
            </w:r>
          </w:p>
        </w:tc>
        <w:tc>
          <w:tcPr>
            <w:tcW w:type="dxa" w:w="3168"/>
            <w:vAlign w:val="center"/>
            <w:tcMar>
              <w:top w:w="100" w:type="dxa"/>
              <w:start w:w="120" w:type="dxa"/>
              <w:bottom w:w="100" w:type="dxa"/>
              <w:end w:w="120" w:type="dxa"/>
            </w:tcMar>
            <w:shd w:fill="FFFFFF"/>
          </w:tcPr>
          <w:p>
            <w:r/>
            <w:r>
              <w:rPr>
                <w:rFonts w:ascii="Aptos" w:hAnsi="Aptos"/>
                <w:b w:val="0"/>
                <w:color w:val="1D2B27"/>
                <w:sz w:val="17"/>
              </w:rPr>
              <w:t>6–15 GB</w:t>
            </w:r>
          </w:p>
        </w:tc>
      </w:tr>
      <w:tr>
        <w:tc>
          <w:tcPr>
            <w:tcW w:type="dxa" w:w="2016"/>
            <w:vAlign w:val="center"/>
            <w:tcMar>
              <w:top w:w="100" w:type="dxa"/>
              <w:start w:w="120" w:type="dxa"/>
              <w:bottom w:w="100" w:type="dxa"/>
              <w:end w:w="120" w:type="dxa"/>
            </w:tcMar>
            <w:shd w:fill="F2F6F4"/>
          </w:tcPr>
          <w:p>
            <w:r/>
            <w:r>
              <w:rPr>
                <w:rFonts w:ascii="Aptos" w:hAnsi="Aptos"/>
                <w:b w:val="0"/>
                <w:color w:val="1D2B27"/>
                <w:sz w:val="17"/>
              </w:rPr>
              <w:t>Base</w:t>
            </w:r>
          </w:p>
        </w:tc>
        <w:tc>
          <w:tcPr>
            <w:tcW w:type="dxa" w:w="2448"/>
            <w:vAlign w:val="center"/>
            <w:tcMar>
              <w:top w:w="100" w:type="dxa"/>
              <w:start w:w="120" w:type="dxa"/>
              <w:bottom w:w="100" w:type="dxa"/>
              <w:end w:w="120" w:type="dxa"/>
            </w:tcMar>
            <w:shd w:fill="F2F6F4"/>
          </w:tcPr>
          <w:p>
            <w:r/>
            <w:r>
              <w:rPr>
                <w:rFonts w:ascii="Aptos" w:hAnsi="Aptos"/>
                <w:b w:val="0"/>
                <w:color w:val="1D2B27"/>
                <w:sz w:val="17"/>
              </w:rPr>
              <w:t>20 GB/año</w:t>
            </w:r>
          </w:p>
        </w:tc>
        <w:tc>
          <w:tcPr>
            <w:tcW w:type="dxa" w:w="2448"/>
            <w:vAlign w:val="center"/>
            <w:tcMar>
              <w:top w:w="100" w:type="dxa"/>
              <w:start w:w="120" w:type="dxa"/>
              <w:bottom w:w="100" w:type="dxa"/>
              <w:end w:w="120" w:type="dxa"/>
            </w:tcMar>
            <w:shd w:fill="F2F6F4"/>
          </w:tcPr>
          <w:p>
            <w:r/>
            <w:r>
              <w:rPr>
                <w:rFonts w:ascii="Aptos" w:hAnsi="Aptos"/>
                <w:b w:val="0"/>
                <w:color w:val="1D2B27"/>
                <w:sz w:val="17"/>
              </w:rPr>
              <w:t>100 GB</w:t>
            </w:r>
          </w:p>
        </w:tc>
        <w:tc>
          <w:tcPr>
            <w:tcW w:type="dxa" w:w="3168"/>
            <w:vAlign w:val="center"/>
            <w:tcMar>
              <w:top w:w="100" w:type="dxa"/>
              <w:start w:w="120" w:type="dxa"/>
              <w:bottom w:w="100" w:type="dxa"/>
              <w:end w:w="120" w:type="dxa"/>
            </w:tcMar>
            <w:shd w:fill="F2F6F4"/>
          </w:tcPr>
          <w:p>
            <w:r/>
            <w:r>
              <w:rPr>
                <w:rFonts w:ascii="Aptos" w:hAnsi="Aptos"/>
                <w:b w:val="0"/>
                <w:color w:val="1D2B27"/>
                <w:sz w:val="17"/>
              </w:rPr>
              <w:t>15–30 GB</w:t>
            </w:r>
          </w:p>
        </w:tc>
      </w:tr>
      <w:tr>
        <w:tc>
          <w:tcPr>
            <w:tcW w:type="dxa" w:w="2016"/>
            <w:vAlign w:val="center"/>
            <w:tcMar>
              <w:top w:w="100" w:type="dxa"/>
              <w:start w:w="120" w:type="dxa"/>
              <w:bottom w:w="100" w:type="dxa"/>
              <w:end w:w="120" w:type="dxa"/>
            </w:tcMar>
            <w:shd w:fill="FFFFFF"/>
          </w:tcPr>
          <w:p>
            <w:r/>
            <w:r>
              <w:rPr>
                <w:rFonts w:ascii="Aptos" w:hAnsi="Aptos"/>
                <w:b w:val="0"/>
                <w:color w:val="1D2B27"/>
                <w:sz w:val="17"/>
              </w:rPr>
              <w:t>Alto</w:t>
            </w:r>
          </w:p>
        </w:tc>
        <w:tc>
          <w:tcPr>
            <w:tcW w:type="dxa" w:w="2448"/>
            <w:vAlign w:val="center"/>
            <w:tcMar>
              <w:top w:w="100" w:type="dxa"/>
              <w:start w:w="120" w:type="dxa"/>
              <w:bottom w:w="100" w:type="dxa"/>
              <w:end w:w="120" w:type="dxa"/>
            </w:tcMar>
            <w:shd w:fill="FFFFFF"/>
          </w:tcPr>
          <w:p>
            <w:r/>
            <w:r>
              <w:rPr>
                <w:rFonts w:ascii="Aptos" w:hAnsi="Aptos"/>
                <w:b w:val="0"/>
                <w:color w:val="1D2B27"/>
                <w:sz w:val="17"/>
              </w:rPr>
              <w:t>60 GB/año</w:t>
            </w:r>
          </w:p>
        </w:tc>
        <w:tc>
          <w:tcPr>
            <w:tcW w:type="dxa" w:w="2448"/>
            <w:vAlign w:val="center"/>
            <w:tcMar>
              <w:top w:w="100" w:type="dxa"/>
              <w:start w:w="120" w:type="dxa"/>
              <w:bottom w:w="100" w:type="dxa"/>
              <w:end w:w="120" w:type="dxa"/>
            </w:tcMar>
            <w:shd w:fill="FFFFFF"/>
          </w:tcPr>
          <w:p>
            <w:r/>
            <w:r>
              <w:rPr>
                <w:rFonts w:ascii="Aptos" w:hAnsi="Aptos"/>
                <w:b w:val="0"/>
                <w:color w:val="1D2B27"/>
                <w:sz w:val="17"/>
              </w:rPr>
              <w:t>300 GB</w:t>
            </w:r>
          </w:p>
        </w:tc>
        <w:tc>
          <w:tcPr>
            <w:tcW w:type="dxa" w:w="3168"/>
            <w:vAlign w:val="center"/>
            <w:tcMar>
              <w:top w:w="100" w:type="dxa"/>
              <w:start w:w="120" w:type="dxa"/>
              <w:bottom w:w="100" w:type="dxa"/>
              <w:end w:w="120" w:type="dxa"/>
            </w:tcMar>
            <w:shd w:fill="FFFFFF"/>
          </w:tcPr>
          <w:p>
            <w:r/>
            <w:r>
              <w:rPr>
                <w:rFonts w:ascii="Aptos" w:hAnsi="Aptos"/>
                <w:b w:val="0"/>
                <w:color w:val="1D2B27"/>
                <w:sz w:val="17"/>
              </w:rPr>
              <w:t>30–60 GB</w:t>
            </w:r>
          </w:p>
        </w:tc>
      </w:tr>
    </w:tbl>
    <w:p>
      <w:pPr>
        <w:spacing w:after="0"/>
      </w:pPr>
    </w:p>
    <w:p>
      <w:r>
        <w:rPr>
          <w:lang w:val="es-CO"/>
        </w:rPr>
        <w:t>La proyección debe recalcularse con inventario real: número de expedientes, tamaño medio, retención y porcentaje de versiones. Las copias pueden multiplicar el almacenamiento por 2–4 según retención y redundancia.</w:t>
      </w:r>
    </w:p>
    <w:p>
      <w:pPr>
        <w:pStyle w:val="Heading2"/>
        <w:keepNext/>
      </w:pPr>
      <w:r>
        <w:rPr>
          <w:lang w:val="es-CO"/>
        </w:rPr>
        <w:t>6.2 Controles documentales</w:t>
      </w:r>
    </w:p>
    <w:p>
      <w:pPr>
        <w:pStyle w:val="ListBullet"/>
      </w:pPr>
      <w:r>
        <w:rPr>
          <w:lang w:val="es-CO"/>
        </w:rPr>
        <w:t>Lista blanca de formatos y límites de tamaño por categoría.</w:t>
      </w:r>
    </w:p>
    <w:p>
      <w:pPr>
        <w:pStyle w:val="ListBullet"/>
      </w:pPr>
      <w:r>
        <w:rPr>
          <w:lang w:val="es-CO"/>
        </w:rPr>
        <w:t>Antivirus o análisis antimalware antes de publicar/descargar.</w:t>
      </w:r>
    </w:p>
    <w:p>
      <w:pPr>
        <w:pStyle w:val="ListBullet"/>
      </w:pPr>
      <w:r>
        <w:rPr>
          <w:lang w:val="es-CO"/>
        </w:rPr>
        <w:t>Hash de integridad, versionado, retención y eliminación autorizada.</w:t>
      </w:r>
    </w:p>
    <w:p>
      <w:pPr>
        <w:pStyle w:val="ListBullet"/>
      </w:pPr>
      <w:r>
        <w:rPr>
          <w:lang w:val="es-CO"/>
        </w:rPr>
        <w:t>Cifrado en tránsito y en reposo; enlaces temporales para descargas.</w:t>
      </w:r>
    </w:p>
    <w:p>
      <w:pPr>
        <w:pStyle w:val="ListBullet"/>
      </w:pPr>
      <w:r>
        <w:rPr>
          <w:lang w:val="es-CO"/>
        </w:rPr>
        <w:t>Metadatos obligatorios y permisos heredados del expediente o módulo.</w:t>
      </w:r>
    </w:p>
    <w:p>
      <w:pPr>
        <w:pStyle w:val="Heading2"/>
        <w:keepNext/>
      </w:pPr>
      <w:r>
        <w:rPr>
          <w:lang w:val="es-CO"/>
        </w:rPr>
        <w:t>6.3 Reportes PDF y exportaciones</w:t>
      </w:r>
    </w:p>
    <w:p>
      <w:r>
        <w:rPr>
          <w:lang w:val="es-CO"/>
        </w:rPr>
        <w:t>Los reportes operativos pequeños pueden generarse en la API. Los informes grandes deben enviarse a una cola de trabajo, generar el archivo fuera de la solicitud web y conservarlo temporalmente. Las exportaciones deben respetar los mismos permisos que la pantalla, registrar quién exportó y limitar la exposición de datos personales.</w:t>
      </w:r>
    </w:p>
    <w:p>
      <w:r>
        <w:rPr>
          <w:lang w:val="es-CO"/>
        </w:rPr>
        <w:br w:type="page"/>
      </w:r>
    </w:p>
    <w:p>
      <w:pPr>
        <w:pStyle w:val="Heading1"/>
        <w:keepNext/>
      </w:pPr>
      <w:r>
        <w:rPr>
          <w:lang w:val="es-CO"/>
        </w:rPr>
        <w:t>7. Integración con Microsoft 365 y Power BI</w:t>
      </w:r>
    </w:p>
    <w:p>
      <w:pPr>
        <w:pStyle w:val="Heading2"/>
        <w:keepNext/>
      </w:pPr>
      <w:r>
        <w:rPr>
          <w:lang w:val="es-CO"/>
        </w:rPr>
        <w:t>7.1 Inicio de sesión corporativo</w:t>
      </w:r>
    </w:p>
    <w:p>
      <w:r>
        <w:rPr>
          <w:lang w:val="es-CO"/>
        </w:rPr>
        <w:t>La aplicación se registra en Microsoft Entra ID y usa OpenID Connect. El usuario inicia con emunar@gaiaamazonas.org u otra cuenta del tenant; Entra ejecuta autenticación, MFA y políticas corporativas. La API sigue siendo responsable de decidir qué módulos, sedes, datos y acciones puede usar cada persona.</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vAlign w:val="center"/>
            <w:tcMar>
              <w:top w:w="100" w:type="dxa"/>
              <w:start w:w="120" w:type="dxa"/>
              <w:bottom w:w="100" w:type="dxa"/>
              <w:end w:w="120" w:type="dxa"/>
            </w:tcMar>
            <w:shd w:fill="2F5048"/>
          </w:tcPr>
          <w:p>
            <w:r/>
            <w:r>
              <w:rPr>
                <w:rFonts w:ascii="Aptos" w:hAnsi="Aptos"/>
                <w:b/>
                <w:color w:val="FFFFFF"/>
                <w:sz w:val="16"/>
              </w:rPr>
              <w:t>Responsabilidad</w:t>
            </w:r>
          </w:p>
        </w:tc>
        <w:tc>
          <w:tcPr>
            <w:tcW w:type="dxa" w:w="3528"/>
            <w:vAlign w:val="center"/>
            <w:tcMar>
              <w:top w:w="100" w:type="dxa"/>
              <w:start w:w="120" w:type="dxa"/>
              <w:bottom w:w="100" w:type="dxa"/>
              <w:end w:w="120" w:type="dxa"/>
            </w:tcMar>
            <w:shd w:fill="2F5048"/>
          </w:tcPr>
          <w:p>
            <w:r/>
            <w:r>
              <w:rPr>
                <w:rFonts w:ascii="Aptos" w:hAnsi="Aptos"/>
                <w:b/>
                <w:color w:val="FFFFFF"/>
                <w:sz w:val="16"/>
              </w:rPr>
              <w:t>Entra ID</w:t>
            </w:r>
          </w:p>
        </w:tc>
        <w:tc>
          <w:tcPr>
            <w:tcW w:type="dxa" w:w="3672"/>
            <w:vAlign w:val="center"/>
            <w:tcMar>
              <w:top w:w="100" w:type="dxa"/>
              <w:start w:w="120" w:type="dxa"/>
              <w:bottom w:w="100" w:type="dxa"/>
              <w:end w:w="120" w:type="dxa"/>
            </w:tcMar>
            <w:shd w:fill="2F5048"/>
          </w:tcPr>
          <w:p>
            <w:r/>
            <w:r>
              <w:rPr>
                <w:rFonts w:ascii="Aptos" w:hAnsi="Aptos"/>
                <w:b/>
                <w:color w:val="FFFFFF"/>
                <w:sz w:val="16"/>
              </w:rPr>
              <w:t>Aplicación Gaia</w:t>
            </w:r>
          </w:p>
        </w:tc>
      </w:tr>
      <w:tr>
        <w:tc>
          <w:tcPr>
            <w:tcW w:type="dxa" w:w="2880"/>
            <w:vAlign w:val="center"/>
            <w:tcMar>
              <w:top w:w="100" w:type="dxa"/>
              <w:start w:w="120" w:type="dxa"/>
              <w:bottom w:w="100" w:type="dxa"/>
              <w:end w:w="120" w:type="dxa"/>
            </w:tcMar>
            <w:shd w:fill="FFFFFF"/>
          </w:tcPr>
          <w:p>
            <w:r/>
            <w:r>
              <w:rPr>
                <w:rFonts w:ascii="Aptos" w:hAnsi="Aptos"/>
                <w:b w:val="0"/>
                <w:color w:val="1D2B27"/>
                <w:sz w:val="16"/>
              </w:rPr>
              <w:t>Identidad</w:t>
            </w:r>
          </w:p>
        </w:tc>
        <w:tc>
          <w:tcPr>
            <w:tcW w:type="dxa" w:w="3528"/>
            <w:vAlign w:val="center"/>
            <w:tcMar>
              <w:top w:w="100" w:type="dxa"/>
              <w:start w:w="120" w:type="dxa"/>
              <w:bottom w:w="100" w:type="dxa"/>
              <w:end w:w="120" w:type="dxa"/>
            </w:tcMar>
            <w:shd w:fill="FFFFFF"/>
          </w:tcPr>
          <w:p>
            <w:r/>
            <w:r>
              <w:rPr>
                <w:rFonts w:ascii="Aptos" w:hAnsi="Aptos"/>
                <w:b w:val="0"/>
                <w:color w:val="1D2B27"/>
                <w:sz w:val="16"/>
              </w:rPr>
              <w:t>Valida la cuenta y emite tokens/sesión</w:t>
            </w:r>
          </w:p>
        </w:tc>
        <w:tc>
          <w:tcPr>
            <w:tcW w:type="dxa" w:w="3672"/>
            <w:vAlign w:val="center"/>
            <w:tcMar>
              <w:top w:w="100" w:type="dxa"/>
              <w:start w:w="120" w:type="dxa"/>
              <w:bottom w:w="100" w:type="dxa"/>
              <w:end w:w="120" w:type="dxa"/>
            </w:tcMar>
            <w:shd w:fill="FFFFFF"/>
          </w:tcPr>
          <w:p>
            <w:r/>
            <w:r>
              <w:rPr>
                <w:rFonts w:ascii="Aptos" w:hAnsi="Aptos"/>
                <w:b w:val="0"/>
                <w:color w:val="1D2B27"/>
                <w:sz w:val="16"/>
              </w:rPr>
              <w:t>Vincula la identidad con el tercero/usuario interno</w:t>
            </w:r>
          </w:p>
        </w:tc>
      </w:tr>
      <w:tr>
        <w:tc>
          <w:tcPr>
            <w:tcW w:type="dxa" w:w="2880"/>
            <w:vAlign w:val="center"/>
            <w:tcMar>
              <w:top w:w="100" w:type="dxa"/>
              <w:start w:w="120" w:type="dxa"/>
              <w:bottom w:w="100" w:type="dxa"/>
              <w:end w:w="120" w:type="dxa"/>
            </w:tcMar>
            <w:shd w:fill="F2F6F4"/>
          </w:tcPr>
          <w:p>
            <w:r/>
            <w:r>
              <w:rPr>
                <w:rFonts w:ascii="Aptos" w:hAnsi="Aptos"/>
                <w:b w:val="0"/>
                <w:color w:val="1D2B27"/>
                <w:sz w:val="16"/>
              </w:rPr>
              <w:t>MFA y acceso condicional</w:t>
            </w:r>
          </w:p>
        </w:tc>
        <w:tc>
          <w:tcPr>
            <w:tcW w:type="dxa" w:w="3528"/>
            <w:vAlign w:val="center"/>
            <w:tcMar>
              <w:top w:w="100" w:type="dxa"/>
              <w:start w:w="120" w:type="dxa"/>
              <w:bottom w:w="100" w:type="dxa"/>
              <w:end w:w="120" w:type="dxa"/>
            </w:tcMar>
            <w:shd w:fill="F2F6F4"/>
          </w:tcPr>
          <w:p>
            <w:r/>
            <w:r>
              <w:rPr>
                <w:rFonts w:ascii="Aptos" w:hAnsi="Aptos"/>
                <w:b w:val="0"/>
                <w:color w:val="1D2B27"/>
                <w:sz w:val="16"/>
              </w:rPr>
              <w:t>Aplica políticas del tenant según licencias</w:t>
            </w:r>
          </w:p>
        </w:tc>
        <w:tc>
          <w:tcPr>
            <w:tcW w:type="dxa" w:w="3672"/>
            <w:vAlign w:val="center"/>
            <w:tcMar>
              <w:top w:w="100" w:type="dxa"/>
              <w:start w:w="120" w:type="dxa"/>
              <w:bottom w:w="100" w:type="dxa"/>
              <w:end w:w="120" w:type="dxa"/>
            </w:tcMar>
            <w:shd w:fill="F2F6F4"/>
          </w:tcPr>
          <w:p>
            <w:r/>
            <w:r>
              <w:rPr>
                <w:rFonts w:ascii="Aptos" w:hAnsi="Aptos"/>
                <w:b w:val="0"/>
                <w:color w:val="1D2B27"/>
                <w:sz w:val="16"/>
              </w:rPr>
              <w:t>Rechaza tenant o cuenta no autorizados</w:t>
            </w:r>
          </w:p>
        </w:tc>
      </w:tr>
      <w:tr>
        <w:tc>
          <w:tcPr>
            <w:tcW w:type="dxa" w:w="2880"/>
            <w:vAlign w:val="center"/>
            <w:tcMar>
              <w:top w:w="100" w:type="dxa"/>
              <w:start w:w="120" w:type="dxa"/>
              <w:bottom w:w="100" w:type="dxa"/>
              <w:end w:w="120" w:type="dxa"/>
            </w:tcMar>
            <w:shd w:fill="FFFFFF"/>
          </w:tcPr>
          <w:p>
            <w:r/>
            <w:r>
              <w:rPr>
                <w:rFonts w:ascii="Aptos" w:hAnsi="Aptos"/>
                <w:b w:val="0"/>
                <w:color w:val="1D2B27"/>
                <w:sz w:val="16"/>
              </w:rPr>
              <w:t>Permisos funcionales</w:t>
            </w:r>
          </w:p>
        </w:tc>
        <w:tc>
          <w:tcPr>
            <w:tcW w:type="dxa" w:w="3528"/>
            <w:vAlign w:val="center"/>
            <w:tcMar>
              <w:top w:w="100" w:type="dxa"/>
              <w:start w:w="120" w:type="dxa"/>
              <w:bottom w:w="100" w:type="dxa"/>
              <w:end w:w="120" w:type="dxa"/>
            </w:tcMar>
            <w:shd w:fill="FFFFFF"/>
          </w:tcPr>
          <w:p>
            <w:r/>
            <w:r>
              <w:rPr>
                <w:rFonts w:ascii="Aptos" w:hAnsi="Aptos"/>
                <w:b w:val="0"/>
                <w:color w:val="1D2B27"/>
                <w:sz w:val="16"/>
              </w:rPr>
              <w:t>Puede aportar grupos/roles básicos</w:t>
            </w:r>
          </w:p>
        </w:tc>
        <w:tc>
          <w:tcPr>
            <w:tcW w:type="dxa" w:w="3672"/>
            <w:vAlign w:val="center"/>
            <w:tcMar>
              <w:top w:w="100" w:type="dxa"/>
              <w:start w:w="120" w:type="dxa"/>
              <w:bottom w:w="100" w:type="dxa"/>
              <w:end w:w="120" w:type="dxa"/>
            </w:tcMar>
            <w:shd w:fill="FFFFFF"/>
          </w:tcPr>
          <w:p>
            <w:r/>
            <w:r>
              <w:rPr>
                <w:rFonts w:ascii="Aptos" w:hAnsi="Aptos"/>
                <w:b w:val="0"/>
                <w:color w:val="1D2B27"/>
                <w:sz w:val="16"/>
              </w:rPr>
              <w:t>Evalúa permisos finos por módulo, acción y alcance</w:t>
            </w:r>
          </w:p>
        </w:tc>
      </w:tr>
      <w:tr>
        <w:tc>
          <w:tcPr>
            <w:tcW w:type="dxa" w:w="2880"/>
            <w:vAlign w:val="center"/>
            <w:tcMar>
              <w:top w:w="100" w:type="dxa"/>
              <w:start w:w="120" w:type="dxa"/>
              <w:bottom w:w="100" w:type="dxa"/>
              <w:end w:w="120" w:type="dxa"/>
            </w:tcMar>
            <w:shd w:fill="F2F6F4"/>
          </w:tcPr>
          <w:p>
            <w:r/>
            <w:r>
              <w:rPr>
                <w:rFonts w:ascii="Aptos" w:hAnsi="Aptos"/>
                <w:b w:val="0"/>
                <w:color w:val="1D2B27"/>
                <w:sz w:val="16"/>
              </w:rPr>
              <w:t>Auditoría</w:t>
            </w:r>
          </w:p>
        </w:tc>
        <w:tc>
          <w:tcPr>
            <w:tcW w:type="dxa" w:w="3528"/>
            <w:vAlign w:val="center"/>
            <w:tcMar>
              <w:top w:w="100" w:type="dxa"/>
              <w:start w:w="120" w:type="dxa"/>
              <w:bottom w:w="100" w:type="dxa"/>
              <w:end w:w="120" w:type="dxa"/>
            </w:tcMar>
            <w:shd w:fill="F2F6F4"/>
          </w:tcPr>
          <w:p>
            <w:r/>
            <w:r>
              <w:rPr>
                <w:rFonts w:ascii="Aptos" w:hAnsi="Aptos"/>
                <w:b w:val="0"/>
                <w:color w:val="1D2B27"/>
                <w:sz w:val="16"/>
              </w:rPr>
              <w:t>Registra eventos de autenticación</w:t>
            </w:r>
          </w:p>
        </w:tc>
        <w:tc>
          <w:tcPr>
            <w:tcW w:type="dxa" w:w="3672"/>
            <w:vAlign w:val="center"/>
            <w:tcMar>
              <w:top w:w="100" w:type="dxa"/>
              <w:start w:w="120" w:type="dxa"/>
              <w:bottom w:w="100" w:type="dxa"/>
              <w:end w:w="120" w:type="dxa"/>
            </w:tcMar>
            <w:shd w:fill="F2F6F4"/>
          </w:tcPr>
          <w:p>
            <w:r/>
            <w:r>
              <w:rPr>
                <w:rFonts w:ascii="Aptos" w:hAnsi="Aptos"/>
                <w:b w:val="0"/>
                <w:color w:val="1D2B27"/>
                <w:sz w:val="16"/>
              </w:rPr>
              <w:t>Registra consultas sensibles, cambios, exportaciones y errores</w:t>
            </w:r>
          </w:p>
        </w:tc>
      </w:tr>
    </w:tbl>
    <w:p>
      <w:pPr>
        <w:spacing w:after="0"/>
      </w:pPr>
    </w:p>
    <w:p>
      <w:pPr>
        <w:pStyle w:val="Heading2"/>
        <w:keepNext/>
      </w:pPr>
      <w:r>
        <w:rPr>
          <w:lang w:val="es-CO"/>
        </w:rPr>
        <w:t>7.2 Power BI</w:t>
      </w:r>
    </w:p>
    <w:p>
      <w:r>
        <w:rPr>
          <w:lang w:val="es-CO"/>
        </w:rPr>
        <w:t>Power BI tiene conector oficial para PostgreSQL y admite Import y DirectQuery. Se recomienda exponer vistas o un esquema de lectura, nunca otorgar al reporte permisos de escritura ni acceso indiscriminado a tablas transaccionales. Para la mayoría de tableros, Import con actualización programada protege mejor el rendimiento; DirectQuery se reserva para datos que deban verse casi en tiempo real y cuyas consultas estén optimizadas.</w:t>
      </w:r>
    </w:p>
    <w:p>
      <w:pPr>
        <w:pStyle w:val="ListBullet"/>
      </w:pPr>
      <w:r>
        <w:rPr>
          <w:lang w:val="es-CO"/>
        </w:rPr>
        <w:t>Usar una cuenta técnica o identidad administrada y mínimo privilegio.</w:t>
      </w:r>
    </w:p>
    <w:p>
      <w:pPr>
        <w:pStyle w:val="ListBullet"/>
      </w:pPr>
      <w:r>
        <w:rPr>
          <w:lang w:val="es-CO"/>
        </w:rPr>
        <w:t>Separar modelos analíticos de las pantallas transaccionales.</w:t>
      </w:r>
    </w:p>
    <w:p>
      <w:pPr>
        <w:pStyle w:val="ListBullet"/>
      </w:pPr>
      <w:r>
        <w:rPr>
          <w:lang w:val="es-CO"/>
        </w:rPr>
        <w:t>Programar cargas fuera de horas críticas cuando sea posible.</w:t>
      </w:r>
    </w:p>
    <w:p>
      <w:pPr>
        <w:pStyle w:val="ListBullet"/>
      </w:pPr>
      <w:r>
        <w:rPr>
          <w:lang w:val="es-CO"/>
        </w:rPr>
        <w:t>Si la base está en la red interna, operar y actualizar el gateway de datos local.</w:t>
      </w:r>
    </w:p>
    <w:p>
      <w:pPr>
        <w:pStyle w:val="Heading2"/>
        <w:keepNext/>
      </w:pPr>
      <w:r>
        <w:rPr>
          <w:lang w:val="es-CO"/>
        </w:rPr>
        <w:t>7.3 Integraciones futuras</w:t>
      </w:r>
    </w:p>
    <w:p>
      <w:r>
        <w:rPr>
          <w:lang w:val="es-CO"/>
        </w:rPr>
        <w:t>Microsoft Graph, SharePoint, correo y calendarios deben integrarse mediante adaptadores independientes del dominio. Esto evita que el sistema central quede acoplado a una API externa y permite reemplazar o desactivar una integración sin reescribir organización, terceros o inventario.</w:t>
      </w:r>
    </w:p>
    <w:p>
      <w:r>
        <w:rPr>
          <w:lang w:val="es-CO"/>
        </w:rPr>
        <w:br w:type="page"/>
      </w:r>
    </w:p>
    <w:p>
      <w:pPr>
        <w:pStyle w:val="Heading1"/>
        <w:keepNext/>
      </w:pPr>
      <w:r>
        <w:rPr>
          <w:lang w:val="es-CO"/>
        </w:rPr>
        <w:t>8. Seguridad y privacidad</w:t>
      </w:r>
    </w:p>
    <w:p>
      <w:pPr>
        <w:pStyle w:val="Heading2"/>
        <w:keepNext/>
      </w:pPr>
      <w:r>
        <w:rPr>
          <w:lang w:val="es-CO"/>
        </w:rPr>
        <w:t>8.1 Modelo de seguridad mínimo</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944"/>
            <w:vAlign w:val="center"/>
            <w:tcMar>
              <w:top w:w="100" w:type="dxa"/>
              <w:start w:w="120" w:type="dxa"/>
              <w:bottom w:w="100" w:type="dxa"/>
              <w:end w:w="120" w:type="dxa"/>
            </w:tcMar>
            <w:shd w:fill="2F5048"/>
          </w:tcPr>
          <w:p>
            <w:r/>
            <w:r>
              <w:rPr>
                <w:rFonts w:ascii="Aptos" w:hAnsi="Aptos"/>
                <w:b/>
                <w:color w:val="FFFFFF"/>
                <w:sz w:val="16"/>
              </w:rPr>
              <w:t>Control</w:t>
            </w:r>
          </w:p>
        </w:tc>
        <w:tc>
          <w:tcPr>
            <w:tcW w:type="dxa" w:w="8136"/>
            <w:vAlign w:val="center"/>
            <w:tcMar>
              <w:top w:w="100" w:type="dxa"/>
              <w:start w:w="120" w:type="dxa"/>
              <w:bottom w:w="100" w:type="dxa"/>
              <w:end w:w="120" w:type="dxa"/>
            </w:tcMar>
            <w:shd w:fill="2F5048"/>
          </w:tcPr>
          <w:p>
            <w:r/>
            <w:r>
              <w:rPr>
                <w:rFonts w:ascii="Aptos" w:hAnsi="Aptos"/>
                <w:b/>
                <w:color w:val="FFFFFF"/>
                <w:sz w:val="16"/>
              </w:rPr>
              <w:t>Implementación requerida</w:t>
            </w:r>
          </w:p>
        </w:tc>
      </w:tr>
      <w:tr>
        <w:tc>
          <w:tcPr>
            <w:tcW w:type="dxa" w:w="1944"/>
            <w:vAlign w:val="center"/>
            <w:tcMar>
              <w:top w:w="100" w:type="dxa"/>
              <w:start w:w="120" w:type="dxa"/>
              <w:bottom w:w="100" w:type="dxa"/>
              <w:end w:w="120" w:type="dxa"/>
            </w:tcMar>
            <w:shd w:fill="FFFFFF"/>
          </w:tcPr>
          <w:p>
            <w:r/>
            <w:r>
              <w:rPr>
                <w:rFonts w:ascii="Aptos" w:hAnsi="Aptos"/>
                <w:b w:val="0"/>
                <w:color w:val="1D2B27"/>
                <w:sz w:val="16"/>
              </w:rPr>
              <w:t>Identidad</w:t>
            </w:r>
          </w:p>
        </w:tc>
        <w:tc>
          <w:tcPr>
            <w:tcW w:type="dxa" w:w="8136"/>
            <w:vAlign w:val="center"/>
            <w:tcMar>
              <w:top w:w="100" w:type="dxa"/>
              <w:start w:w="120" w:type="dxa"/>
              <w:bottom w:w="100" w:type="dxa"/>
              <w:end w:w="120" w:type="dxa"/>
            </w:tcMar>
            <w:shd w:fill="FFFFFF"/>
          </w:tcPr>
          <w:p>
            <w:r/>
            <w:r>
              <w:rPr>
                <w:rFonts w:ascii="Aptos" w:hAnsi="Aptos"/>
                <w:b w:val="0"/>
                <w:color w:val="1D2B27"/>
                <w:sz w:val="16"/>
              </w:rPr>
              <w:t>Entra ID, MFA, tenant único, sesiones cortas, revocación y cuenta de emergencia controlada.</w:t>
            </w:r>
          </w:p>
        </w:tc>
      </w:tr>
      <w:tr>
        <w:tc>
          <w:tcPr>
            <w:tcW w:type="dxa" w:w="1944"/>
            <w:vAlign w:val="center"/>
            <w:tcMar>
              <w:top w:w="100" w:type="dxa"/>
              <w:start w:w="120" w:type="dxa"/>
              <w:bottom w:w="100" w:type="dxa"/>
              <w:end w:w="120" w:type="dxa"/>
            </w:tcMar>
            <w:shd w:fill="F2F6F4"/>
          </w:tcPr>
          <w:p>
            <w:r/>
            <w:r>
              <w:rPr>
                <w:rFonts w:ascii="Aptos" w:hAnsi="Aptos"/>
                <w:b w:val="0"/>
                <w:color w:val="1D2B27"/>
                <w:sz w:val="16"/>
              </w:rPr>
              <w:t>Autorización</w:t>
            </w:r>
          </w:p>
        </w:tc>
        <w:tc>
          <w:tcPr>
            <w:tcW w:type="dxa" w:w="8136"/>
            <w:vAlign w:val="center"/>
            <w:tcMar>
              <w:top w:w="100" w:type="dxa"/>
              <w:start w:w="120" w:type="dxa"/>
              <w:bottom w:w="100" w:type="dxa"/>
              <w:end w:w="120" w:type="dxa"/>
            </w:tcMar>
            <w:shd w:fill="F2F6F4"/>
          </w:tcPr>
          <w:p>
            <w:r/>
            <w:r>
              <w:rPr>
                <w:rFonts w:ascii="Aptos" w:hAnsi="Aptos"/>
                <w:b w:val="0"/>
                <w:color w:val="1D2B27"/>
                <w:sz w:val="16"/>
              </w:rPr>
              <w:t>Permisos en backend; roles + alcance de datos; denegar por defecto; segregación de funciones.</w:t>
            </w:r>
          </w:p>
        </w:tc>
      </w:tr>
      <w:tr>
        <w:tc>
          <w:tcPr>
            <w:tcW w:type="dxa" w:w="1944"/>
            <w:vAlign w:val="center"/>
            <w:tcMar>
              <w:top w:w="100" w:type="dxa"/>
              <w:start w:w="120" w:type="dxa"/>
              <w:bottom w:w="100" w:type="dxa"/>
              <w:end w:w="120" w:type="dxa"/>
            </w:tcMar>
            <w:shd w:fill="FFFFFF"/>
          </w:tcPr>
          <w:p>
            <w:r/>
            <w:r>
              <w:rPr>
                <w:rFonts w:ascii="Aptos" w:hAnsi="Aptos"/>
                <w:b w:val="0"/>
                <w:color w:val="1D2B27"/>
                <w:sz w:val="16"/>
              </w:rPr>
              <w:t>Aplicación web</w:t>
            </w:r>
          </w:p>
        </w:tc>
        <w:tc>
          <w:tcPr>
            <w:tcW w:type="dxa" w:w="8136"/>
            <w:vAlign w:val="center"/>
            <w:tcMar>
              <w:top w:w="100" w:type="dxa"/>
              <w:start w:w="120" w:type="dxa"/>
              <w:bottom w:w="100" w:type="dxa"/>
              <w:end w:w="120" w:type="dxa"/>
            </w:tcMar>
            <w:shd w:fill="FFFFFF"/>
          </w:tcPr>
          <w:p>
            <w:r/>
            <w:r>
              <w:rPr>
                <w:rFonts w:ascii="Aptos" w:hAnsi="Aptos"/>
                <w:b w:val="0"/>
                <w:color w:val="1D2B27"/>
                <w:sz w:val="16"/>
              </w:rPr>
              <w:t>HTTPS/HSTS, cookies Secure/HttpOnly/SameSite, CSRF, CSP, CORS restrictivo y validación de entrada.</w:t>
            </w:r>
          </w:p>
        </w:tc>
      </w:tr>
      <w:tr>
        <w:tc>
          <w:tcPr>
            <w:tcW w:type="dxa" w:w="1944"/>
            <w:vAlign w:val="center"/>
            <w:tcMar>
              <w:top w:w="100" w:type="dxa"/>
              <w:start w:w="120" w:type="dxa"/>
              <w:bottom w:w="100" w:type="dxa"/>
              <w:end w:w="120" w:type="dxa"/>
            </w:tcMar>
            <w:shd w:fill="F2F6F4"/>
          </w:tcPr>
          <w:p>
            <w:r/>
            <w:r>
              <w:rPr>
                <w:rFonts w:ascii="Aptos" w:hAnsi="Aptos"/>
                <w:b w:val="0"/>
                <w:color w:val="1D2B27"/>
                <w:sz w:val="16"/>
              </w:rPr>
              <w:t>API</w:t>
            </w:r>
          </w:p>
        </w:tc>
        <w:tc>
          <w:tcPr>
            <w:tcW w:type="dxa" w:w="8136"/>
            <w:vAlign w:val="center"/>
            <w:tcMar>
              <w:top w:w="100" w:type="dxa"/>
              <w:start w:w="120" w:type="dxa"/>
              <w:bottom w:w="100" w:type="dxa"/>
              <w:end w:w="120" w:type="dxa"/>
            </w:tcMar>
            <w:shd w:fill="F2F6F4"/>
          </w:tcPr>
          <w:p>
            <w:r/>
            <w:r>
              <w:rPr>
                <w:rFonts w:ascii="Aptos" w:hAnsi="Aptos"/>
                <w:b w:val="0"/>
                <w:color w:val="1D2B27"/>
                <w:sz w:val="16"/>
              </w:rPr>
              <w:t>Límites por usuario/endpoint, tamaños máximos, idempotencia, errores sin información sensible y versionado.</w:t>
            </w:r>
          </w:p>
        </w:tc>
      </w:tr>
      <w:tr>
        <w:tc>
          <w:tcPr>
            <w:tcW w:type="dxa" w:w="1944"/>
            <w:vAlign w:val="center"/>
            <w:tcMar>
              <w:top w:w="100" w:type="dxa"/>
              <w:start w:w="120" w:type="dxa"/>
              <w:bottom w:w="100" w:type="dxa"/>
              <w:end w:w="120" w:type="dxa"/>
            </w:tcMar>
            <w:shd w:fill="FFFFFF"/>
          </w:tcPr>
          <w:p>
            <w:r/>
            <w:r>
              <w:rPr>
                <w:rFonts w:ascii="Aptos" w:hAnsi="Aptos"/>
                <w:b w:val="0"/>
                <w:color w:val="1D2B27"/>
                <w:sz w:val="16"/>
              </w:rPr>
              <w:t>Datos</w:t>
            </w:r>
          </w:p>
        </w:tc>
        <w:tc>
          <w:tcPr>
            <w:tcW w:type="dxa" w:w="8136"/>
            <w:vAlign w:val="center"/>
            <w:tcMar>
              <w:top w:w="100" w:type="dxa"/>
              <w:start w:w="120" w:type="dxa"/>
              <w:bottom w:w="100" w:type="dxa"/>
              <w:end w:w="120" w:type="dxa"/>
            </w:tcMar>
            <w:shd w:fill="FFFFFF"/>
          </w:tcPr>
          <w:p>
            <w:r/>
            <w:r>
              <w:rPr>
                <w:rFonts w:ascii="Aptos" w:hAnsi="Aptos"/>
                <w:b w:val="0"/>
                <w:color w:val="1D2B27"/>
                <w:sz w:val="16"/>
              </w:rPr>
              <w:t>Cifrado, conexiones privadas, mínimo privilegio, secretos fuera del código y rotación.</w:t>
            </w:r>
          </w:p>
        </w:tc>
      </w:tr>
      <w:tr>
        <w:tc>
          <w:tcPr>
            <w:tcW w:type="dxa" w:w="1944"/>
            <w:vAlign w:val="center"/>
            <w:tcMar>
              <w:top w:w="100" w:type="dxa"/>
              <w:start w:w="120" w:type="dxa"/>
              <w:bottom w:w="100" w:type="dxa"/>
              <w:end w:w="120" w:type="dxa"/>
            </w:tcMar>
            <w:shd w:fill="F2F6F4"/>
          </w:tcPr>
          <w:p>
            <w:r/>
            <w:r>
              <w:rPr>
                <w:rFonts w:ascii="Aptos" w:hAnsi="Aptos"/>
                <w:b w:val="0"/>
                <w:color w:val="1D2B27"/>
                <w:sz w:val="16"/>
              </w:rPr>
              <w:t>Auditoría</w:t>
            </w:r>
          </w:p>
        </w:tc>
        <w:tc>
          <w:tcPr>
            <w:tcW w:type="dxa" w:w="8136"/>
            <w:vAlign w:val="center"/>
            <w:tcMar>
              <w:top w:w="100" w:type="dxa"/>
              <w:start w:w="120" w:type="dxa"/>
              <w:bottom w:w="100" w:type="dxa"/>
              <w:end w:w="120" w:type="dxa"/>
            </w:tcMar>
            <w:shd w:fill="F2F6F4"/>
          </w:tcPr>
          <w:p>
            <w:r/>
            <w:r>
              <w:rPr>
                <w:rFonts w:ascii="Aptos" w:hAnsi="Aptos"/>
                <w:b w:val="0"/>
                <w:color w:val="1D2B27"/>
                <w:sz w:val="16"/>
              </w:rPr>
              <w:t>Actor, fecha, operación, entidad, resultado y contexto; acceso restringido y retención definida.</w:t>
            </w:r>
          </w:p>
        </w:tc>
      </w:tr>
      <w:tr>
        <w:tc>
          <w:tcPr>
            <w:tcW w:type="dxa" w:w="1944"/>
            <w:vAlign w:val="center"/>
            <w:tcMar>
              <w:top w:w="100" w:type="dxa"/>
              <w:start w:w="120" w:type="dxa"/>
              <w:bottom w:w="100" w:type="dxa"/>
              <w:end w:w="120" w:type="dxa"/>
            </w:tcMar>
            <w:shd w:fill="FFFFFF"/>
          </w:tcPr>
          <w:p>
            <w:r/>
            <w:r>
              <w:rPr>
                <w:rFonts w:ascii="Aptos" w:hAnsi="Aptos"/>
                <w:b w:val="0"/>
                <w:color w:val="1D2B27"/>
                <w:sz w:val="16"/>
              </w:rPr>
              <w:t>Cadena de suministro</w:t>
            </w:r>
          </w:p>
        </w:tc>
        <w:tc>
          <w:tcPr>
            <w:tcW w:type="dxa" w:w="8136"/>
            <w:vAlign w:val="center"/>
            <w:tcMar>
              <w:top w:w="100" w:type="dxa"/>
              <w:start w:w="120" w:type="dxa"/>
              <w:bottom w:w="100" w:type="dxa"/>
              <w:end w:w="120" w:type="dxa"/>
            </w:tcMar>
            <w:shd w:fill="FFFFFF"/>
          </w:tcPr>
          <w:p>
            <w:r/>
            <w:r>
              <w:rPr>
                <w:rFonts w:ascii="Aptos" w:hAnsi="Aptos"/>
                <w:b w:val="0"/>
                <w:color w:val="1D2B27"/>
                <w:sz w:val="16"/>
              </w:rPr>
              <w:t>SAST, SCA, SBOM, escaneo de imágenes, dependencias fijadas y revisión de licencias.</w:t>
            </w:r>
          </w:p>
        </w:tc>
      </w:tr>
      <w:tr>
        <w:tc>
          <w:tcPr>
            <w:tcW w:type="dxa" w:w="1944"/>
            <w:vAlign w:val="center"/>
            <w:tcMar>
              <w:top w:w="100" w:type="dxa"/>
              <w:start w:w="120" w:type="dxa"/>
              <w:bottom w:w="100" w:type="dxa"/>
              <w:end w:w="120" w:type="dxa"/>
            </w:tcMar>
            <w:shd w:fill="F2F6F4"/>
          </w:tcPr>
          <w:p>
            <w:r/>
            <w:r>
              <w:rPr>
                <w:rFonts w:ascii="Aptos" w:hAnsi="Aptos"/>
                <w:b w:val="0"/>
                <w:color w:val="1D2B27"/>
                <w:sz w:val="16"/>
              </w:rPr>
              <w:t>Documentos</w:t>
            </w:r>
          </w:p>
        </w:tc>
        <w:tc>
          <w:tcPr>
            <w:tcW w:type="dxa" w:w="8136"/>
            <w:vAlign w:val="center"/>
            <w:tcMar>
              <w:top w:w="100" w:type="dxa"/>
              <w:start w:w="120" w:type="dxa"/>
              <w:bottom w:w="100" w:type="dxa"/>
              <w:end w:w="120" w:type="dxa"/>
            </w:tcMar>
            <w:shd w:fill="F2F6F4"/>
          </w:tcPr>
          <w:p>
            <w:r/>
            <w:r>
              <w:rPr>
                <w:rFonts w:ascii="Aptos" w:hAnsi="Aptos"/>
                <w:b w:val="0"/>
                <w:color w:val="1D2B27"/>
                <w:sz w:val="16"/>
              </w:rPr>
              <w:t>Antimalware, validación MIME, enlaces temporales, clasificación y trazabilidad de descarga.</w:t>
            </w:r>
          </w:p>
        </w:tc>
      </w:tr>
    </w:tbl>
    <w:p>
      <w:pPr>
        <w:spacing w:after="0"/>
      </w:pPr>
    </w:p>
    <w:p>
      <w:pPr>
        <w:pStyle w:val="Heading2"/>
        <w:keepNext/>
      </w:pPr>
      <w:r>
        <w:rPr>
          <w:lang w:val="es-CO"/>
        </w:rPr>
        <w:t>8.2 Protección contra abuso</w:t>
      </w:r>
    </w:p>
    <w:p>
      <w:r>
        <w:rPr>
          <w:lang w:val="es-CO"/>
        </w:rPr>
        <w:t>ASP.NET Core incorpora middleware de limitación de tasa con ventanas, token bucket y concurrencia. Las políticas no se fijan arbitrariamente: deben diferenciar inicio de sesión, búsqueda, exportación y reportes, y probarse bajo carga para evitar bloquear uso legítimo.</w:t>
      </w:r>
    </w:p>
    <w:p>
      <w:pPr>
        <w:pStyle w:val="Heading2"/>
        <w:keepNext/>
      </w:pPr>
      <w:r>
        <w:rPr>
          <w:lang w:val="es-CO"/>
        </w:rPr>
        <w:t>8.3 Privacidad desde el diseño</w:t>
      </w:r>
    </w:p>
    <w:p>
      <w:pPr>
        <w:pStyle w:val="ListBullet"/>
      </w:pPr>
      <w:r>
        <w:rPr>
          <w:lang w:val="es-CO"/>
        </w:rPr>
        <w:t>Clasificar datos personales, sensibles, financieros y públicos antes de diseñar permisos.</w:t>
      </w:r>
    </w:p>
    <w:p>
      <w:pPr>
        <w:pStyle w:val="ListBullet"/>
      </w:pPr>
      <w:r>
        <w:rPr>
          <w:lang w:val="es-CO"/>
        </w:rPr>
        <w:t>Recolectar únicamente los campos necesarios y definir finalidad y retención.</w:t>
      </w:r>
    </w:p>
    <w:p>
      <w:pPr>
        <w:pStyle w:val="ListBullet"/>
      </w:pPr>
      <w:r>
        <w:rPr>
          <w:lang w:val="es-CO"/>
        </w:rPr>
        <w:t>No incluir datos personales en logs técnicos ni mensajes de error.</w:t>
      </w:r>
    </w:p>
    <w:p>
      <w:pPr>
        <w:pStyle w:val="ListBullet"/>
      </w:pPr>
      <w:r>
        <w:rPr>
          <w:lang w:val="es-CO"/>
        </w:rPr>
        <w:t>Probar exportación, corrección, inactivación y eliminación/anominización conforme a política y obligaciones aplicables.</w:t>
      </w:r>
    </w:p>
    <w:tbl>
      <w:tblPr>
        <w:tblW w:type="auto" w:w="0"/>
        <w:jc w:val="center"/>
        <w:tblLayout w:type="fixed"/>
        <w:tblLook w:firstColumn="1" w:firstRow="1" w:lastColumn="0" w:lastRow="0" w:noHBand="0" w:noVBand="1" w:val="04A0"/>
      </w:tblPr>
      <w:tblGrid>
        <w:gridCol w:w="173"/>
        <w:gridCol w:w="9864"/>
      </w:tblGrid>
      <w:tr>
        <w:tc>
          <w:tcPr>
            <w:tcW w:type="dxa" w:w="5083"/>
            <w:shd w:fill="B54545"/>
          </w:tcPr>
          <w:p/>
        </w:tc>
        <w:tc>
          <w:tcPr>
            <w:tcW w:type="dxa" w:w="5083"/>
            <w:shd w:fill="F2F6F4"/>
            <w:tcMar>
              <w:top w:w="150" w:type="dxa"/>
              <w:start w:w="180" w:type="dxa"/>
              <w:bottom w:w="150" w:type="dxa"/>
              <w:end w:w="180" w:type="dxa"/>
            </w:tcMar>
          </w:tcPr>
          <w:p>
            <w:r>
              <w:rPr>
                <w:b/>
                <w:color w:val="B54545"/>
                <w:sz w:val="20"/>
              </w:rPr>
              <w:t>CONDICIÓN DE SALIDA A PRODUCCIÓN</w:t>
              <w:br/>
            </w:r>
            <w:r>
              <w:rPr>
                <w:color w:val="1D2B27"/>
                <w:sz w:val="18"/>
              </w:rPr>
              <w:t>No publicar con cuentas compartidas, secretos en archivos, base expuesta a Internet, copias sin restauración probada o permisos evaluados solo en el frontend.</w:t>
            </w:r>
          </w:p>
        </w:tc>
      </w:tr>
    </w:tbl>
    <w:p>
      <w:pPr>
        <w:spacing w:after="0"/>
      </w:pPr>
    </w:p>
    <w:p>
      <w:r>
        <w:rPr>
          <w:lang w:val="es-CO"/>
        </w:rPr>
        <w:br w:type="page"/>
      </w:r>
    </w:p>
    <w:p>
      <w:pPr>
        <w:pStyle w:val="Heading1"/>
        <w:keepNext/>
      </w:pPr>
      <w:r>
        <w:rPr>
          <w:lang w:val="es-CO"/>
        </w:rPr>
        <w:t>9. Continuidad, copias y operación</w:t>
      </w:r>
    </w:p>
    <w:p>
      <w:pPr>
        <w:pStyle w:val="Heading2"/>
        <w:keepNext/>
      </w:pPr>
      <w:r>
        <w:rPr>
          <w:lang w:val="es-CO"/>
        </w:rPr>
        <w:t>9.1 Objetivos propuestos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944"/>
            <w:vAlign w:val="center"/>
            <w:tcMar>
              <w:top w:w="100" w:type="dxa"/>
              <w:start w:w="120" w:type="dxa"/>
              <w:bottom w:w="100" w:type="dxa"/>
              <w:end w:w="120" w:type="dxa"/>
            </w:tcMar>
            <w:shd w:fill="2F5048"/>
          </w:tcPr>
          <w:p>
            <w:r/>
            <w:r>
              <w:rPr>
                <w:rFonts w:ascii="Aptos" w:hAnsi="Aptos"/>
                <w:b/>
                <w:color w:val="FFFFFF"/>
                <w:sz w:val="16"/>
              </w:rPr>
              <w:t>Nivel</w:t>
            </w:r>
          </w:p>
        </w:tc>
        <w:tc>
          <w:tcPr>
            <w:tcW w:type="dxa" w:w="2304"/>
            <w:vAlign w:val="center"/>
            <w:tcMar>
              <w:top w:w="100" w:type="dxa"/>
              <w:start w:w="120" w:type="dxa"/>
              <w:bottom w:w="100" w:type="dxa"/>
              <w:end w:w="120" w:type="dxa"/>
            </w:tcMar>
            <w:shd w:fill="2F5048"/>
          </w:tcPr>
          <w:p>
            <w:r/>
            <w:r>
              <w:rPr>
                <w:rFonts w:ascii="Aptos" w:hAnsi="Aptos"/>
                <w:b/>
                <w:color w:val="FFFFFF"/>
                <w:sz w:val="16"/>
              </w:rPr>
              <w:t>Disponibilidad objetivo</w:t>
            </w:r>
          </w:p>
        </w:tc>
        <w:tc>
          <w:tcPr>
            <w:tcW w:type="dxa" w:w="1656"/>
            <w:vAlign w:val="center"/>
            <w:tcMar>
              <w:top w:w="100" w:type="dxa"/>
              <w:start w:w="120" w:type="dxa"/>
              <w:bottom w:w="100" w:type="dxa"/>
              <w:end w:w="120" w:type="dxa"/>
            </w:tcMar>
            <w:shd w:fill="2F5048"/>
          </w:tcPr>
          <w:p>
            <w:r/>
            <w:r>
              <w:rPr>
                <w:rFonts w:ascii="Aptos" w:hAnsi="Aptos"/>
                <w:b/>
                <w:color w:val="FFFFFF"/>
                <w:sz w:val="16"/>
              </w:rPr>
              <w:t>RPO</w:t>
            </w:r>
          </w:p>
        </w:tc>
        <w:tc>
          <w:tcPr>
            <w:tcW w:type="dxa" w:w="1656"/>
            <w:vAlign w:val="center"/>
            <w:tcMar>
              <w:top w:w="100" w:type="dxa"/>
              <w:start w:w="120" w:type="dxa"/>
              <w:bottom w:w="100" w:type="dxa"/>
              <w:end w:w="120" w:type="dxa"/>
            </w:tcMar>
            <w:shd w:fill="2F5048"/>
          </w:tcPr>
          <w:p>
            <w:r/>
            <w:r>
              <w:rPr>
                <w:rFonts w:ascii="Aptos" w:hAnsi="Aptos"/>
                <w:b/>
                <w:color w:val="FFFFFF"/>
                <w:sz w:val="16"/>
              </w:rPr>
              <w:t>RTO</w:t>
            </w:r>
          </w:p>
        </w:tc>
        <w:tc>
          <w:tcPr>
            <w:tcW w:type="dxa" w:w="2520"/>
            <w:vAlign w:val="center"/>
            <w:tcMar>
              <w:top w:w="100" w:type="dxa"/>
              <w:start w:w="120" w:type="dxa"/>
              <w:bottom w:w="100" w:type="dxa"/>
              <w:end w:w="120" w:type="dxa"/>
            </w:tcMar>
            <w:shd w:fill="2F5048"/>
          </w:tcPr>
          <w:p>
            <w:r/>
            <w:r>
              <w:rPr>
                <w:rFonts w:ascii="Aptos" w:hAnsi="Aptos"/>
                <w:b/>
                <w:color w:val="FFFFFF"/>
                <w:sz w:val="16"/>
              </w:rPr>
              <w:t>Uso</w:t>
            </w:r>
          </w:p>
        </w:tc>
      </w:tr>
      <w:tr>
        <w:tc>
          <w:tcPr>
            <w:tcW w:type="dxa" w:w="1944"/>
            <w:vAlign w:val="center"/>
            <w:tcMar>
              <w:top w:w="100" w:type="dxa"/>
              <w:start w:w="120" w:type="dxa"/>
              <w:bottom w:w="100" w:type="dxa"/>
              <w:end w:w="120" w:type="dxa"/>
            </w:tcMar>
            <w:shd w:fill="FFFFFF"/>
          </w:tcPr>
          <w:p>
            <w:r/>
            <w:r>
              <w:rPr>
                <w:rFonts w:ascii="Aptos" w:hAnsi="Aptos"/>
                <w:b w:val="0"/>
                <w:color w:val="1D2B27"/>
                <w:sz w:val="16"/>
              </w:rPr>
              <w:t>Piloto</w:t>
            </w:r>
          </w:p>
        </w:tc>
        <w:tc>
          <w:tcPr>
            <w:tcW w:type="dxa" w:w="2304"/>
            <w:vAlign w:val="center"/>
            <w:tcMar>
              <w:top w:w="100" w:type="dxa"/>
              <w:start w:w="120" w:type="dxa"/>
              <w:bottom w:w="100" w:type="dxa"/>
              <w:end w:w="120" w:type="dxa"/>
            </w:tcMar>
            <w:shd w:fill="FFFFFF"/>
          </w:tcPr>
          <w:p>
            <w:r/>
            <w:r>
              <w:rPr>
                <w:rFonts w:ascii="Aptos" w:hAnsi="Aptos"/>
                <w:b w:val="0"/>
                <w:color w:val="1D2B27"/>
                <w:sz w:val="16"/>
              </w:rPr>
              <w:t>Sin SLA</w:t>
            </w:r>
          </w:p>
        </w:tc>
        <w:tc>
          <w:tcPr>
            <w:tcW w:type="dxa" w:w="1656"/>
            <w:vAlign w:val="center"/>
            <w:tcMar>
              <w:top w:w="100" w:type="dxa"/>
              <w:start w:w="120" w:type="dxa"/>
              <w:bottom w:w="100" w:type="dxa"/>
              <w:end w:w="120" w:type="dxa"/>
            </w:tcMar>
            <w:shd w:fill="FFFFFF"/>
          </w:tcPr>
          <w:p>
            <w:r/>
            <w:r>
              <w:rPr>
                <w:rFonts w:ascii="Aptos" w:hAnsi="Aptos"/>
                <w:b w:val="0"/>
                <w:color w:val="1D2B27"/>
                <w:sz w:val="16"/>
              </w:rPr>
              <w:t>24 h</w:t>
            </w:r>
          </w:p>
        </w:tc>
        <w:tc>
          <w:tcPr>
            <w:tcW w:type="dxa" w:w="1656"/>
            <w:vAlign w:val="center"/>
            <w:tcMar>
              <w:top w:w="100" w:type="dxa"/>
              <w:start w:w="120" w:type="dxa"/>
              <w:bottom w:w="100" w:type="dxa"/>
              <w:end w:w="120" w:type="dxa"/>
            </w:tcMar>
            <w:shd w:fill="FFFFFF"/>
          </w:tcPr>
          <w:p>
            <w:r/>
            <w:r>
              <w:rPr>
                <w:rFonts w:ascii="Aptos" w:hAnsi="Aptos"/>
                <w:b w:val="0"/>
                <w:color w:val="1D2B27"/>
                <w:sz w:val="16"/>
              </w:rPr>
              <w:t>1 día hábil</w:t>
            </w:r>
          </w:p>
        </w:tc>
        <w:tc>
          <w:tcPr>
            <w:tcW w:type="dxa" w:w="2520"/>
            <w:vAlign w:val="center"/>
            <w:tcMar>
              <w:top w:w="100" w:type="dxa"/>
              <w:start w:w="120" w:type="dxa"/>
              <w:bottom w:w="100" w:type="dxa"/>
              <w:end w:w="120" w:type="dxa"/>
            </w:tcMar>
            <w:shd w:fill="FFFFFF"/>
          </w:tcPr>
          <w:p>
            <w:r/>
            <w:r>
              <w:rPr>
                <w:rFonts w:ascii="Aptos" w:hAnsi="Aptos"/>
                <w:b w:val="0"/>
                <w:color w:val="1D2B27"/>
                <w:sz w:val="16"/>
              </w:rPr>
              <w:t>Demostración y validación</w:t>
            </w:r>
          </w:p>
        </w:tc>
      </w:tr>
      <w:tr>
        <w:tc>
          <w:tcPr>
            <w:tcW w:type="dxa" w:w="1944"/>
            <w:vAlign w:val="center"/>
            <w:tcMar>
              <w:top w:w="100" w:type="dxa"/>
              <w:start w:w="120" w:type="dxa"/>
              <w:bottom w:w="100" w:type="dxa"/>
              <w:end w:w="120" w:type="dxa"/>
            </w:tcMar>
            <w:shd w:fill="F2F6F4"/>
          </w:tcPr>
          <w:p>
            <w:r/>
            <w:r>
              <w:rPr>
                <w:rFonts w:ascii="Aptos" w:hAnsi="Aptos"/>
                <w:b w:val="0"/>
                <w:color w:val="1D2B27"/>
                <w:sz w:val="16"/>
              </w:rPr>
              <w:t>Producción inicial</w:t>
            </w:r>
          </w:p>
        </w:tc>
        <w:tc>
          <w:tcPr>
            <w:tcW w:type="dxa" w:w="2304"/>
            <w:vAlign w:val="center"/>
            <w:tcMar>
              <w:top w:w="100" w:type="dxa"/>
              <w:start w:w="120" w:type="dxa"/>
              <w:bottom w:w="100" w:type="dxa"/>
              <w:end w:w="120" w:type="dxa"/>
            </w:tcMar>
            <w:shd w:fill="F2F6F4"/>
          </w:tcPr>
          <w:p>
            <w:r/>
            <w:r>
              <w:rPr>
                <w:rFonts w:ascii="Aptos" w:hAnsi="Aptos"/>
                <w:b w:val="0"/>
                <w:color w:val="1D2B27"/>
                <w:sz w:val="16"/>
              </w:rPr>
              <w:t>99,5 % mensual</w:t>
            </w:r>
          </w:p>
        </w:tc>
        <w:tc>
          <w:tcPr>
            <w:tcW w:type="dxa" w:w="1656"/>
            <w:vAlign w:val="center"/>
            <w:tcMar>
              <w:top w:w="100" w:type="dxa"/>
              <w:start w:w="120" w:type="dxa"/>
              <w:bottom w:w="100" w:type="dxa"/>
              <w:end w:w="120" w:type="dxa"/>
            </w:tcMar>
            <w:shd w:fill="F2F6F4"/>
          </w:tcPr>
          <w:p>
            <w:r/>
            <w:r>
              <w:rPr>
                <w:rFonts w:ascii="Aptos" w:hAnsi="Aptos"/>
                <w:b w:val="0"/>
                <w:color w:val="1D2B27"/>
                <w:sz w:val="16"/>
              </w:rPr>
              <w:t>≤ 4 h</w:t>
            </w:r>
          </w:p>
        </w:tc>
        <w:tc>
          <w:tcPr>
            <w:tcW w:type="dxa" w:w="1656"/>
            <w:vAlign w:val="center"/>
            <w:tcMar>
              <w:top w:w="100" w:type="dxa"/>
              <w:start w:w="120" w:type="dxa"/>
              <w:bottom w:w="100" w:type="dxa"/>
              <w:end w:w="120" w:type="dxa"/>
            </w:tcMar>
            <w:shd w:fill="F2F6F4"/>
          </w:tcPr>
          <w:p>
            <w:r/>
            <w:r>
              <w:rPr>
                <w:rFonts w:ascii="Aptos" w:hAnsi="Aptos"/>
                <w:b w:val="0"/>
                <w:color w:val="1D2B27"/>
                <w:sz w:val="16"/>
              </w:rPr>
              <w:t>≤ 8 h</w:t>
            </w:r>
          </w:p>
        </w:tc>
        <w:tc>
          <w:tcPr>
            <w:tcW w:type="dxa" w:w="2520"/>
            <w:vAlign w:val="center"/>
            <w:tcMar>
              <w:top w:w="100" w:type="dxa"/>
              <w:start w:w="120" w:type="dxa"/>
              <w:bottom w:w="100" w:type="dxa"/>
              <w:end w:w="120" w:type="dxa"/>
            </w:tcMar>
            <w:shd w:fill="F2F6F4"/>
          </w:tcPr>
          <w:p>
            <w:r/>
            <w:r>
              <w:rPr>
                <w:rFonts w:ascii="Aptos" w:hAnsi="Aptos"/>
                <w:b w:val="0"/>
                <w:color w:val="1D2B27"/>
                <w:sz w:val="16"/>
              </w:rPr>
              <w:t>Operación interna no crítica 24/7</w:t>
            </w:r>
          </w:p>
        </w:tc>
      </w:tr>
      <w:tr>
        <w:tc>
          <w:tcPr>
            <w:tcW w:type="dxa" w:w="1944"/>
            <w:vAlign w:val="center"/>
            <w:tcMar>
              <w:top w:w="100" w:type="dxa"/>
              <w:start w:w="120" w:type="dxa"/>
              <w:bottom w:w="100" w:type="dxa"/>
              <w:end w:w="120" w:type="dxa"/>
            </w:tcMar>
            <w:shd w:fill="FFFFFF"/>
          </w:tcPr>
          <w:p>
            <w:r/>
            <w:r>
              <w:rPr>
                <w:rFonts w:ascii="Aptos" w:hAnsi="Aptos"/>
                <w:b w:val="0"/>
                <w:color w:val="1D2B27"/>
                <w:sz w:val="16"/>
              </w:rPr>
              <w:t>Producción robusta</w:t>
            </w:r>
          </w:p>
        </w:tc>
        <w:tc>
          <w:tcPr>
            <w:tcW w:type="dxa" w:w="2304"/>
            <w:vAlign w:val="center"/>
            <w:tcMar>
              <w:top w:w="100" w:type="dxa"/>
              <w:start w:w="120" w:type="dxa"/>
              <w:bottom w:w="100" w:type="dxa"/>
              <w:end w:w="120" w:type="dxa"/>
            </w:tcMar>
            <w:shd w:fill="FFFFFF"/>
          </w:tcPr>
          <w:p>
            <w:r/>
            <w:r>
              <w:rPr>
                <w:rFonts w:ascii="Aptos" w:hAnsi="Aptos"/>
                <w:b w:val="0"/>
                <w:color w:val="1D2B27"/>
                <w:sz w:val="16"/>
              </w:rPr>
              <w:t>99,9 % mensual</w:t>
            </w:r>
          </w:p>
        </w:tc>
        <w:tc>
          <w:tcPr>
            <w:tcW w:type="dxa" w:w="1656"/>
            <w:vAlign w:val="center"/>
            <w:tcMar>
              <w:top w:w="100" w:type="dxa"/>
              <w:start w:w="120" w:type="dxa"/>
              <w:bottom w:w="100" w:type="dxa"/>
              <w:end w:w="120" w:type="dxa"/>
            </w:tcMar>
            <w:shd w:fill="FFFFFF"/>
          </w:tcPr>
          <w:p>
            <w:r/>
            <w:r>
              <w:rPr>
                <w:rFonts w:ascii="Aptos" w:hAnsi="Aptos"/>
                <w:b w:val="0"/>
                <w:color w:val="1D2B27"/>
                <w:sz w:val="16"/>
              </w:rPr>
              <w:t>≤ 15 min</w:t>
            </w:r>
          </w:p>
        </w:tc>
        <w:tc>
          <w:tcPr>
            <w:tcW w:type="dxa" w:w="1656"/>
            <w:vAlign w:val="center"/>
            <w:tcMar>
              <w:top w:w="100" w:type="dxa"/>
              <w:start w:w="120" w:type="dxa"/>
              <w:bottom w:w="100" w:type="dxa"/>
              <w:end w:w="120" w:type="dxa"/>
            </w:tcMar>
            <w:shd w:fill="FFFFFF"/>
          </w:tcPr>
          <w:p>
            <w:r/>
            <w:r>
              <w:rPr>
                <w:rFonts w:ascii="Aptos" w:hAnsi="Aptos"/>
                <w:b w:val="0"/>
                <w:color w:val="1D2B27"/>
                <w:sz w:val="16"/>
              </w:rPr>
              <w:t>≤ 2 h</w:t>
            </w:r>
          </w:p>
        </w:tc>
        <w:tc>
          <w:tcPr>
            <w:tcW w:type="dxa" w:w="2520"/>
            <w:vAlign w:val="center"/>
            <w:tcMar>
              <w:top w:w="100" w:type="dxa"/>
              <w:start w:w="120" w:type="dxa"/>
              <w:bottom w:w="100" w:type="dxa"/>
              <w:end w:w="120" w:type="dxa"/>
            </w:tcMar>
            <w:shd w:fill="FFFFFF"/>
          </w:tcPr>
          <w:p>
            <w:r/>
            <w:r>
              <w:rPr>
                <w:rFonts w:ascii="Aptos" w:hAnsi="Aptos"/>
                <w:b w:val="0"/>
                <w:color w:val="1D2B27"/>
                <w:sz w:val="16"/>
              </w:rPr>
              <w:t>Procesos críticos y dependencia institucional</w:t>
            </w:r>
          </w:p>
        </w:tc>
      </w:tr>
    </w:tbl>
    <w:p>
      <w:pPr>
        <w:spacing w:after="0"/>
      </w:pPr>
    </w:p>
    <w:p>
      <w:r>
        <w:rPr>
          <w:lang w:val="es-CO"/>
        </w:rPr>
        <w:t>RPO es la pérdida máxima de datos aceptable; RTO es el tiempo máximo para recuperar el servicio. Cumplirlos requiere diseño y pruebas, no solo activar una copia.</w:t>
      </w:r>
    </w:p>
    <w:p>
      <w:pPr>
        <w:pStyle w:val="Heading2"/>
        <w:keepNext/>
      </w:pPr>
      <w:r>
        <w:rPr>
          <w:lang w:val="es-CO"/>
        </w:rPr>
        <w:t>9.2 Estrategia de respaldo</w:t>
      </w:r>
    </w:p>
    <w:p>
      <w:pPr>
        <w:pStyle w:val="ListBullet"/>
      </w:pPr>
      <w:r>
        <w:rPr>
          <w:lang w:val="es-CO"/>
        </w:rPr>
        <w:t>PostgreSQL: copia base + archivo continuo de WAL para recuperación a un punto en el tiempo.</w:t>
      </w:r>
    </w:p>
    <w:p>
      <w:pPr>
        <w:pStyle w:val="ListBullet"/>
      </w:pPr>
      <w:r>
        <w:rPr>
          <w:lang w:val="es-CO"/>
        </w:rPr>
        <w:t>Objetos: versionado y réplica/copia en una ubicación o cuenta independiente.</w:t>
      </w:r>
    </w:p>
    <w:p>
      <w:pPr>
        <w:pStyle w:val="ListBullet"/>
      </w:pPr>
      <w:r>
        <w:rPr>
          <w:lang w:val="es-CO"/>
        </w:rPr>
        <w:t>Configuración e infraestructura: repositorio versionado y secretos respaldados mediante procedimiento seguro.</w:t>
      </w:r>
    </w:p>
    <w:p>
      <w:pPr>
        <w:pStyle w:val="ListBullet"/>
      </w:pPr>
      <w:r>
        <w:rPr>
          <w:lang w:val="es-CO"/>
        </w:rPr>
        <w:t>Prueba trimestral de restauración y ejercicio anual de recuperación completa.</w:t>
      </w:r>
    </w:p>
    <w:p>
      <w:pPr>
        <w:pStyle w:val="ListBullet"/>
      </w:pPr>
      <w:r>
        <w:rPr>
          <w:lang w:val="es-CO"/>
        </w:rPr>
        <w:t>Regla práctica 3-2-1: tres copias, dos medios/ubicaciones, una aislada o inmutable.</w:t>
      </w:r>
    </w:p>
    <w:p>
      <w:pPr>
        <w:pStyle w:val="Heading2"/>
        <w:keepNext/>
      </w:pPr>
      <w:r>
        <w:rPr>
          <w:lang w:val="es-CO"/>
        </w:rPr>
        <w:t>9.3 Observabilidad</w:t>
      </w:r>
    </w:p>
    <w:p>
      <w:r>
        <w:rPr>
          <w:lang w:val="es-CO"/>
        </w:rPr>
        <w:t>Cada versión debe producir métricas, logs correlacionados y trazas. Alertas mínimas: servicio caído, latencia p95, errores 5xx, saturación CPU/memoria/disco, conexiones PostgreSQL, demora de copias, certificados próximos a vencer y crecimiento anormal de archivos.</w:t>
      </w:r>
    </w:p>
    <w:p>
      <w:pPr>
        <w:pStyle w:val="Heading2"/>
        <w:keepNext/>
      </w:pPr>
      <w:r>
        <w:rPr>
          <w:lang w:val="es-CO"/>
        </w:rPr>
        <w:t>9.4 Ambientes y despliegue</w:t>
      </w:r>
    </w:p>
    <w:p>
      <w:r>
        <w:rPr>
          <w:lang w:val="es-CO"/>
        </w:rPr>
        <w:t>Desarrollo, pruebas y producción deben estar separados. La entrega debe ser automatizada: compilar, probar, escanear, migrar con control, desplegar, verificar salud y revertir. Los datos productivos no se copian a desarrollo sin anonimización.</w:t>
      </w:r>
    </w:p>
    <w:p>
      <w:r>
        <w:rPr>
          <w:lang w:val="es-CO"/>
        </w:rPr>
        <w:br w:type="page"/>
      </w:r>
    </w:p>
    <w:p>
      <w:pPr>
        <w:pStyle w:val="Heading1"/>
        <w:keepNext/>
      </w:pPr>
      <w:r>
        <w:rPr>
          <w:lang w:val="es-CO"/>
        </w:rPr>
        <w:t>10. Calidad y gobierno de ingeniería</w:t>
      </w:r>
    </w:p>
    <w:p>
      <w:pPr>
        <w:pStyle w:val="Heading2"/>
        <w:keepNext/>
      </w:pPr>
      <w:r>
        <w:rPr>
          <w:lang w:val="es-CO"/>
        </w:rPr>
        <w:t>10.1 Pirámide de pruebas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16"/>
            <w:vAlign w:val="center"/>
            <w:tcMar>
              <w:top w:w="100" w:type="dxa"/>
              <w:start w:w="120" w:type="dxa"/>
              <w:bottom w:w="100" w:type="dxa"/>
              <w:end w:w="120" w:type="dxa"/>
            </w:tcMar>
            <w:shd w:fill="2F5048"/>
          </w:tcPr>
          <w:p>
            <w:r/>
            <w:r>
              <w:rPr>
                <w:rFonts w:ascii="Aptos" w:hAnsi="Aptos"/>
                <w:b/>
                <w:color w:val="FFFFFF"/>
                <w:sz w:val="16"/>
              </w:rPr>
              <w:t>Tipo</w:t>
            </w:r>
          </w:p>
        </w:tc>
        <w:tc>
          <w:tcPr>
            <w:tcW w:type="dxa" w:w="5472"/>
            <w:vAlign w:val="center"/>
            <w:tcMar>
              <w:top w:w="100" w:type="dxa"/>
              <w:start w:w="120" w:type="dxa"/>
              <w:bottom w:w="100" w:type="dxa"/>
              <w:end w:w="120" w:type="dxa"/>
            </w:tcMar>
            <w:shd w:fill="2F5048"/>
          </w:tcPr>
          <w:p>
            <w:r/>
            <w:r>
              <w:rPr>
                <w:rFonts w:ascii="Aptos" w:hAnsi="Aptos"/>
                <w:b/>
                <w:color w:val="FFFFFF"/>
                <w:sz w:val="16"/>
              </w:rPr>
              <w:t>Qué protege</w:t>
            </w:r>
          </w:p>
        </w:tc>
        <w:tc>
          <w:tcPr>
            <w:tcW w:type="dxa" w:w="2592"/>
            <w:vAlign w:val="center"/>
            <w:tcMar>
              <w:top w:w="100" w:type="dxa"/>
              <w:start w:w="120" w:type="dxa"/>
              <w:bottom w:w="100" w:type="dxa"/>
              <w:end w:w="120" w:type="dxa"/>
            </w:tcMar>
            <w:shd w:fill="2F5048"/>
          </w:tcPr>
          <w:p>
            <w:r/>
            <w:r>
              <w:rPr>
                <w:rFonts w:ascii="Aptos" w:hAnsi="Aptos"/>
                <w:b/>
                <w:color w:val="FFFFFF"/>
                <w:sz w:val="16"/>
              </w:rPr>
              <w:t>Frecuencia</w:t>
            </w:r>
          </w:p>
        </w:tc>
      </w:tr>
      <w:tr>
        <w:tc>
          <w:tcPr>
            <w:tcW w:type="dxa" w:w="2016"/>
            <w:vAlign w:val="center"/>
            <w:tcMar>
              <w:top w:w="100" w:type="dxa"/>
              <w:start w:w="120" w:type="dxa"/>
              <w:bottom w:w="100" w:type="dxa"/>
              <w:end w:w="120" w:type="dxa"/>
            </w:tcMar>
            <w:shd w:fill="FFFFFF"/>
          </w:tcPr>
          <w:p>
            <w:r/>
            <w:r>
              <w:rPr>
                <w:rFonts w:ascii="Aptos" w:hAnsi="Aptos"/>
                <w:b w:val="0"/>
                <w:color w:val="1D2B27"/>
                <w:sz w:val="16"/>
              </w:rPr>
              <w:t>Unitarias</w:t>
            </w:r>
          </w:p>
        </w:tc>
        <w:tc>
          <w:tcPr>
            <w:tcW w:type="dxa" w:w="5472"/>
            <w:vAlign w:val="center"/>
            <w:tcMar>
              <w:top w:w="100" w:type="dxa"/>
              <w:start w:w="120" w:type="dxa"/>
              <w:bottom w:w="100" w:type="dxa"/>
              <w:end w:w="120" w:type="dxa"/>
            </w:tcMar>
            <w:shd w:fill="FFFFFF"/>
          </w:tcPr>
          <w:p>
            <w:r/>
            <w:r>
              <w:rPr>
                <w:rFonts w:ascii="Aptos" w:hAnsi="Aptos"/>
                <w:b w:val="0"/>
                <w:color w:val="1D2B27"/>
                <w:sz w:val="16"/>
              </w:rPr>
              <w:t>Reglas de dominio y validaciones</w:t>
            </w:r>
          </w:p>
        </w:tc>
        <w:tc>
          <w:tcPr>
            <w:tcW w:type="dxa" w:w="2592"/>
            <w:vAlign w:val="center"/>
            <w:tcMar>
              <w:top w:w="100" w:type="dxa"/>
              <w:start w:w="120" w:type="dxa"/>
              <w:bottom w:w="100" w:type="dxa"/>
              <w:end w:w="120" w:type="dxa"/>
            </w:tcMar>
            <w:shd w:fill="FFFFFF"/>
          </w:tcPr>
          <w:p>
            <w:r/>
            <w:r>
              <w:rPr>
                <w:rFonts w:ascii="Aptos" w:hAnsi="Aptos"/>
                <w:b w:val="0"/>
                <w:color w:val="1D2B27"/>
                <w:sz w:val="16"/>
              </w:rPr>
              <w:t>Cada cambio</w:t>
            </w:r>
          </w:p>
        </w:tc>
      </w:tr>
      <w:tr>
        <w:tc>
          <w:tcPr>
            <w:tcW w:type="dxa" w:w="2016"/>
            <w:vAlign w:val="center"/>
            <w:tcMar>
              <w:top w:w="100" w:type="dxa"/>
              <w:start w:w="120" w:type="dxa"/>
              <w:bottom w:w="100" w:type="dxa"/>
              <w:end w:w="120" w:type="dxa"/>
            </w:tcMar>
            <w:shd w:fill="F2F6F4"/>
          </w:tcPr>
          <w:p>
            <w:r/>
            <w:r>
              <w:rPr>
                <w:rFonts w:ascii="Aptos" w:hAnsi="Aptos"/>
                <w:b w:val="0"/>
                <w:color w:val="1D2B27"/>
                <w:sz w:val="16"/>
              </w:rPr>
              <w:t>Integración</w:t>
            </w:r>
          </w:p>
        </w:tc>
        <w:tc>
          <w:tcPr>
            <w:tcW w:type="dxa" w:w="5472"/>
            <w:vAlign w:val="center"/>
            <w:tcMar>
              <w:top w:w="100" w:type="dxa"/>
              <w:start w:w="120" w:type="dxa"/>
              <w:bottom w:w="100" w:type="dxa"/>
              <w:end w:w="120" w:type="dxa"/>
            </w:tcMar>
            <w:shd w:fill="F2F6F4"/>
          </w:tcPr>
          <w:p>
            <w:r/>
            <w:r>
              <w:rPr>
                <w:rFonts w:ascii="Aptos" w:hAnsi="Aptos"/>
                <w:b w:val="0"/>
                <w:color w:val="1D2B27"/>
                <w:sz w:val="16"/>
              </w:rPr>
              <w:t>PostgreSQL, permisos, migraciones y almacenamiento</w:t>
            </w:r>
          </w:p>
        </w:tc>
        <w:tc>
          <w:tcPr>
            <w:tcW w:type="dxa" w:w="2592"/>
            <w:vAlign w:val="center"/>
            <w:tcMar>
              <w:top w:w="100" w:type="dxa"/>
              <w:start w:w="120" w:type="dxa"/>
              <w:bottom w:w="100" w:type="dxa"/>
              <w:end w:w="120" w:type="dxa"/>
            </w:tcMar>
            <w:shd w:fill="F2F6F4"/>
          </w:tcPr>
          <w:p>
            <w:r/>
            <w:r>
              <w:rPr>
                <w:rFonts w:ascii="Aptos" w:hAnsi="Aptos"/>
                <w:b w:val="0"/>
                <w:color w:val="1D2B27"/>
                <w:sz w:val="16"/>
              </w:rPr>
              <w:t>Cada cambio relevante</w:t>
            </w:r>
          </w:p>
        </w:tc>
      </w:tr>
      <w:tr>
        <w:tc>
          <w:tcPr>
            <w:tcW w:type="dxa" w:w="2016"/>
            <w:vAlign w:val="center"/>
            <w:tcMar>
              <w:top w:w="100" w:type="dxa"/>
              <w:start w:w="120" w:type="dxa"/>
              <w:bottom w:w="100" w:type="dxa"/>
              <w:end w:w="120" w:type="dxa"/>
            </w:tcMar>
            <w:shd w:fill="FFFFFF"/>
          </w:tcPr>
          <w:p>
            <w:r/>
            <w:r>
              <w:rPr>
                <w:rFonts w:ascii="Aptos" w:hAnsi="Aptos"/>
                <w:b w:val="0"/>
                <w:color w:val="1D2B27"/>
                <w:sz w:val="16"/>
              </w:rPr>
              <w:t>Contrato/API</w:t>
            </w:r>
          </w:p>
        </w:tc>
        <w:tc>
          <w:tcPr>
            <w:tcW w:type="dxa" w:w="5472"/>
            <w:vAlign w:val="center"/>
            <w:tcMar>
              <w:top w:w="100" w:type="dxa"/>
              <w:start w:w="120" w:type="dxa"/>
              <w:bottom w:w="100" w:type="dxa"/>
              <w:end w:w="120" w:type="dxa"/>
            </w:tcMar>
            <w:shd w:fill="FFFFFF"/>
          </w:tcPr>
          <w:p>
            <w:r/>
            <w:r>
              <w:rPr>
                <w:rFonts w:ascii="Aptos" w:hAnsi="Aptos"/>
                <w:b w:val="0"/>
                <w:color w:val="1D2B27"/>
                <w:sz w:val="16"/>
              </w:rPr>
              <w:t>Compatibilidad entre frontend, API e integraciones</w:t>
            </w:r>
          </w:p>
        </w:tc>
        <w:tc>
          <w:tcPr>
            <w:tcW w:type="dxa" w:w="2592"/>
            <w:vAlign w:val="center"/>
            <w:tcMar>
              <w:top w:w="100" w:type="dxa"/>
              <w:start w:w="120" w:type="dxa"/>
              <w:bottom w:w="100" w:type="dxa"/>
              <w:end w:w="120" w:type="dxa"/>
            </w:tcMar>
            <w:shd w:fill="FFFFFF"/>
          </w:tcPr>
          <w:p>
            <w:r/>
            <w:r>
              <w:rPr>
                <w:rFonts w:ascii="Aptos" w:hAnsi="Aptos"/>
                <w:b w:val="0"/>
                <w:color w:val="1D2B27"/>
                <w:sz w:val="16"/>
              </w:rPr>
              <w:t>CI/CD</w:t>
            </w:r>
          </w:p>
        </w:tc>
      </w:tr>
      <w:tr>
        <w:tc>
          <w:tcPr>
            <w:tcW w:type="dxa" w:w="2016"/>
            <w:vAlign w:val="center"/>
            <w:tcMar>
              <w:top w:w="100" w:type="dxa"/>
              <w:start w:w="120" w:type="dxa"/>
              <w:bottom w:w="100" w:type="dxa"/>
              <w:end w:w="120" w:type="dxa"/>
            </w:tcMar>
            <w:shd w:fill="F2F6F4"/>
          </w:tcPr>
          <w:p>
            <w:r/>
            <w:r>
              <w:rPr>
                <w:rFonts w:ascii="Aptos" w:hAnsi="Aptos"/>
                <w:b w:val="0"/>
                <w:color w:val="1D2B27"/>
                <w:sz w:val="16"/>
              </w:rPr>
              <w:t>Funcionales E2E</w:t>
            </w:r>
          </w:p>
        </w:tc>
        <w:tc>
          <w:tcPr>
            <w:tcW w:type="dxa" w:w="5472"/>
            <w:vAlign w:val="center"/>
            <w:tcMar>
              <w:top w:w="100" w:type="dxa"/>
              <w:start w:w="120" w:type="dxa"/>
              <w:bottom w:w="100" w:type="dxa"/>
              <w:end w:w="120" w:type="dxa"/>
            </w:tcMar>
            <w:shd w:fill="F2F6F4"/>
          </w:tcPr>
          <w:p>
            <w:r/>
            <w:r>
              <w:rPr>
                <w:rFonts w:ascii="Aptos" w:hAnsi="Aptos"/>
                <w:b w:val="0"/>
                <w:color w:val="1D2B27"/>
                <w:sz w:val="16"/>
              </w:rPr>
              <w:t>Flujos críticos de usuario</w:t>
            </w:r>
          </w:p>
        </w:tc>
        <w:tc>
          <w:tcPr>
            <w:tcW w:type="dxa" w:w="2592"/>
            <w:vAlign w:val="center"/>
            <w:tcMar>
              <w:top w:w="100" w:type="dxa"/>
              <w:start w:w="120" w:type="dxa"/>
              <w:bottom w:w="100" w:type="dxa"/>
              <w:end w:w="120" w:type="dxa"/>
            </w:tcMar>
            <w:shd w:fill="F2F6F4"/>
          </w:tcPr>
          <w:p>
            <w:r/>
            <w:r>
              <w:rPr>
                <w:rFonts w:ascii="Aptos" w:hAnsi="Aptos"/>
                <w:b w:val="0"/>
                <w:color w:val="1D2B27"/>
                <w:sz w:val="16"/>
              </w:rPr>
              <w:t>Antes de liberar + conjunto nocturno</w:t>
            </w:r>
          </w:p>
        </w:tc>
      </w:tr>
      <w:tr>
        <w:tc>
          <w:tcPr>
            <w:tcW w:type="dxa" w:w="2016"/>
            <w:vAlign w:val="center"/>
            <w:tcMar>
              <w:top w:w="100" w:type="dxa"/>
              <w:start w:w="120" w:type="dxa"/>
              <w:bottom w:w="100" w:type="dxa"/>
              <w:end w:w="120" w:type="dxa"/>
            </w:tcMar>
            <w:shd w:fill="FFFFFF"/>
          </w:tcPr>
          <w:p>
            <w:r/>
            <w:r>
              <w:rPr>
                <w:rFonts w:ascii="Aptos" w:hAnsi="Aptos"/>
                <w:b w:val="0"/>
                <w:color w:val="1D2B27"/>
                <w:sz w:val="16"/>
              </w:rPr>
              <w:t>Rendimiento</w:t>
            </w:r>
          </w:p>
        </w:tc>
        <w:tc>
          <w:tcPr>
            <w:tcW w:type="dxa" w:w="5472"/>
            <w:vAlign w:val="center"/>
            <w:tcMar>
              <w:top w:w="100" w:type="dxa"/>
              <w:start w:w="120" w:type="dxa"/>
              <w:bottom w:w="100" w:type="dxa"/>
              <w:end w:w="120" w:type="dxa"/>
            </w:tcMar>
            <w:shd w:fill="FFFFFF"/>
          </w:tcPr>
          <w:p>
            <w:r/>
            <w:r>
              <w:rPr>
                <w:rFonts w:ascii="Aptos" w:hAnsi="Aptos"/>
                <w:b w:val="0"/>
                <w:color w:val="1D2B27"/>
                <w:sz w:val="16"/>
              </w:rPr>
              <w:t>Objetivos p95, concurrencia y degradación</w:t>
            </w:r>
          </w:p>
        </w:tc>
        <w:tc>
          <w:tcPr>
            <w:tcW w:type="dxa" w:w="2592"/>
            <w:vAlign w:val="center"/>
            <w:tcMar>
              <w:top w:w="100" w:type="dxa"/>
              <w:start w:w="120" w:type="dxa"/>
              <w:bottom w:w="100" w:type="dxa"/>
              <w:end w:w="120" w:type="dxa"/>
            </w:tcMar>
            <w:shd w:fill="FFFFFF"/>
          </w:tcPr>
          <w:p>
            <w:r/>
            <w:r>
              <w:rPr>
                <w:rFonts w:ascii="Aptos" w:hAnsi="Aptos"/>
                <w:b w:val="0"/>
                <w:color w:val="1D2B27"/>
                <w:sz w:val="16"/>
              </w:rPr>
              <w:t>Antes de producción y cambios mayores</w:t>
            </w:r>
          </w:p>
        </w:tc>
      </w:tr>
      <w:tr>
        <w:tc>
          <w:tcPr>
            <w:tcW w:type="dxa" w:w="2016"/>
            <w:vAlign w:val="center"/>
            <w:tcMar>
              <w:top w:w="100" w:type="dxa"/>
              <w:start w:w="120" w:type="dxa"/>
              <w:bottom w:w="100" w:type="dxa"/>
              <w:end w:w="120" w:type="dxa"/>
            </w:tcMar>
            <w:shd w:fill="F2F6F4"/>
          </w:tcPr>
          <w:p>
            <w:r/>
            <w:r>
              <w:rPr>
                <w:rFonts w:ascii="Aptos" w:hAnsi="Aptos"/>
                <w:b w:val="0"/>
                <w:color w:val="1D2B27"/>
                <w:sz w:val="16"/>
              </w:rPr>
              <w:t>Seguridad</w:t>
            </w:r>
          </w:p>
        </w:tc>
        <w:tc>
          <w:tcPr>
            <w:tcW w:type="dxa" w:w="5472"/>
            <w:vAlign w:val="center"/>
            <w:tcMar>
              <w:top w:w="100" w:type="dxa"/>
              <w:start w:w="120" w:type="dxa"/>
              <w:bottom w:w="100" w:type="dxa"/>
              <w:end w:w="120" w:type="dxa"/>
            </w:tcMar>
            <w:shd w:fill="F2F6F4"/>
          </w:tcPr>
          <w:p>
            <w:r/>
            <w:r>
              <w:rPr>
                <w:rFonts w:ascii="Aptos" w:hAnsi="Aptos"/>
                <w:b w:val="0"/>
                <w:color w:val="1D2B27"/>
                <w:sz w:val="16"/>
              </w:rPr>
              <w:t>Dependencias, código, configuración y pruebas dirigidas</w:t>
            </w:r>
          </w:p>
        </w:tc>
        <w:tc>
          <w:tcPr>
            <w:tcW w:type="dxa" w:w="2592"/>
            <w:vAlign w:val="center"/>
            <w:tcMar>
              <w:top w:w="100" w:type="dxa"/>
              <w:start w:w="120" w:type="dxa"/>
              <w:bottom w:w="100" w:type="dxa"/>
              <w:end w:w="120" w:type="dxa"/>
            </w:tcMar>
            <w:shd w:fill="F2F6F4"/>
          </w:tcPr>
          <w:p>
            <w:r/>
            <w:r>
              <w:rPr>
                <w:rFonts w:ascii="Aptos" w:hAnsi="Aptos"/>
                <w:b w:val="0"/>
                <w:color w:val="1D2B27"/>
                <w:sz w:val="16"/>
              </w:rPr>
              <w:t>Continuo + revisión periódica</w:t>
            </w:r>
          </w:p>
        </w:tc>
      </w:tr>
      <w:tr>
        <w:tc>
          <w:tcPr>
            <w:tcW w:type="dxa" w:w="2016"/>
            <w:vAlign w:val="center"/>
            <w:tcMar>
              <w:top w:w="100" w:type="dxa"/>
              <w:start w:w="120" w:type="dxa"/>
              <w:bottom w:w="100" w:type="dxa"/>
              <w:end w:w="120" w:type="dxa"/>
            </w:tcMar>
            <w:shd w:fill="FFFFFF"/>
          </w:tcPr>
          <w:p>
            <w:r/>
            <w:r>
              <w:rPr>
                <w:rFonts w:ascii="Aptos" w:hAnsi="Aptos"/>
                <w:b w:val="0"/>
                <w:color w:val="1D2B27"/>
                <w:sz w:val="16"/>
              </w:rPr>
              <w:t>Recuperación</w:t>
            </w:r>
          </w:p>
        </w:tc>
        <w:tc>
          <w:tcPr>
            <w:tcW w:type="dxa" w:w="5472"/>
            <w:vAlign w:val="center"/>
            <w:tcMar>
              <w:top w:w="100" w:type="dxa"/>
              <w:start w:w="120" w:type="dxa"/>
              <w:bottom w:w="100" w:type="dxa"/>
              <w:end w:w="120" w:type="dxa"/>
            </w:tcMar>
            <w:shd w:fill="FFFFFF"/>
          </w:tcPr>
          <w:p>
            <w:r/>
            <w:r>
              <w:rPr>
                <w:rFonts w:ascii="Aptos" w:hAnsi="Aptos"/>
                <w:b w:val="0"/>
                <w:color w:val="1D2B27"/>
                <w:sz w:val="16"/>
              </w:rPr>
              <w:t>Copias, PITR y reconstrucción</w:t>
            </w:r>
          </w:p>
        </w:tc>
        <w:tc>
          <w:tcPr>
            <w:tcW w:type="dxa" w:w="2592"/>
            <w:vAlign w:val="center"/>
            <w:tcMar>
              <w:top w:w="100" w:type="dxa"/>
              <w:start w:w="120" w:type="dxa"/>
              <w:bottom w:w="100" w:type="dxa"/>
              <w:end w:w="120" w:type="dxa"/>
            </w:tcMar>
            <w:shd w:fill="FFFFFF"/>
          </w:tcPr>
          <w:p>
            <w:r/>
            <w:r>
              <w:rPr>
                <w:rFonts w:ascii="Aptos" w:hAnsi="Aptos"/>
                <w:b w:val="0"/>
                <w:color w:val="1D2B27"/>
                <w:sz w:val="16"/>
              </w:rPr>
              <w:t>Trimestral/anual según alcance</w:t>
            </w:r>
          </w:p>
        </w:tc>
      </w:tr>
    </w:tbl>
    <w:p>
      <w:pPr>
        <w:spacing w:after="0"/>
      </w:pPr>
    </w:p>
    <w:p>
      <w:pPr>
        <w:pStyle w:val="Heading2"/>
        <w:keepNext/>
      </w:pPr>
      <w:r>
        <w:rPr>
          <w:lang w:val="es-CO"/>
        </w:rPr>
        <w:t>10.2 Definición de terminado</w:t>
      </w:r>
    </w:p>
    <w:p>
      <w:r>
        <w:rPr>
          <w:lang w:val="es-CO"/>
        </w:rPr>
        <w:t>Una funcionalidad no está terminada por verse en pantalla. Debe incluir reglas en backend, permisos, migración de datos, auditoría, manejo de errores, pruebas, telemetría, documentación breve y aceptación del responsable funcional.</w:t>
      </w:r>
    </w:p>
    <w:p>
      <w:pPr>
        <w:pStyle w:val="Heading2"/>
        <w:keepNext/>
      </w:pPr>
      <w:r>
        <w:rPr>
          <w:lang w:val="es-CO"/>
        </w:rPr>
        <w:t>10.3 Gobierno de datos</w:t>
      </w:r>
    </w:p>
    <w:p>
      <w:pPr>
        <w:pStyle w:val="ListBullet"/>
      </w:pPr>
      <w:r>
        <w:rPr>
          <w:lang w:val="es-CO"/>
        </w:rPr>
        <w:t>Propietario funcional por dominio y custodio técnico.</w:t>
      </w:r>
    </w:p>
    <w:p>
      <w:pPr>
        <w:pStyle w:val="ListBullet"/>
      </w:pPr>
      <w:r>
        <w:rPr>
          <w:lang w:val="es-CO"/>
        </w:rPr>
        <w:t>Catálogo y definición de campos, estados, códigos maestros y fuentes autorizadas.</w:t>
      </w:r>
    </w:p>
    <w:p>
      <w:pPr>
        <w:pStyle w:val="ListBullet"/>
      </w:pPr>
      <w:r>
        <w:rPr>
          <w:lang w:val="es-CO"/>
        </w:rPr>
        <w:t>Reglas de calidad, duplicados, obligatoriedad y conciliación de migraciones.</w:t>
      </w:r>
    </w:p>
    <w:p>
      <w:pPr>
        <w:pStyle w:val="ListBullet"/>
      </w:pPr>
      <w:r>
        <w:rPr>
          <w:lang w:val="es-CO"/>
        </w:rPr>
        <w:t>Cambios de esquema mediante migraciones versionadas; prohibir cambios manuales en producción.</w:t>
      </w:r>
    </w:p>
    <w:p>
      <w:pPr>
        <w:pStyle w:val="Heading2"/>
        <w:keepNext/>
      </w:pPr>
      <w:r>
        <w:rPr>
          <w:lang w:val="es-CO"/>
        </w:rPr>
        <w:t>10.4 Deuda técnica</w:t>
      </w:r>
    </w:p>
    <w:p>
      <w:r>
        <w:rPr>
          <w:lang w:val="es-CO"/>
        </w:rPr>
        <w:t>Reservar capacidad permanente para refactorización, dependencias y pruebas. Una plataforma modular fracasa si cada entrega prioriza solo nuevas pantallas. Se recomienda asignar 15–25 % de la capacidad técnica a salud de producto, seguridad y automatización.</w:t>
      </w:r>
    </w:p>
    <w:p>
      <w:r>
        <w:rPr>
          <w:lang w:val="es-CO"/>
        </w:rPr>
        <w:br w:type="page"/>
      </w:r>
    </w:p>
    <w:p>
      <w:pPr>
        <w:pStyle w:val="Heading1"/>
        <w:keepNext/>
      </w:pPr>
      <w:r>
        <w:rPr>
          <w:lang w:val="es-CO"/>
        </w:rPr>
        <w:t>11. Plan de ejecución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vAlign w:val="center"/>
            <w:tcMar>
              <w:top w:w="100" w:type="dxa"/>
              <w:start w:w="120" w:type="dxa"/>
              <w:bottom w:w="100" w:type="dxa"/>
              <w:end w:w="120" w:type="dxa"/>
            </w:tcMar>
            <w:shd w:fill="2F5048"/>
          </w:tcPr>
          <w:p>
            <w:r/>
            <w:r>
              <w:rPr>
                <w:rFonts w:ascii="Aptos" w:hAnsi="Aptos"/>
                <w:b/>
                <w:color w:val="FFFFFF"/>
                <w:sz w:val="16"/>
              </w:rPr>
              <w:t>Fase</w:t>
            </w:r>
          </w:p>
        </w:tc>
        <w:tc>
          <w:tcPr>
            <w:tcW w:type="dxa" w:w="6768"/>
            <w:vAlign w:val="center"/>
            <w:tcMar>
              <w:top w:w="100" w:type="dxa"/>
              <w:start w:w="120" w:type="dxa"/>
              <w:bottom w:w="100" w:type="dxa"/>
              <w:end w:w="120" w:type="dxa"/>
            </w:tcMar>
            <w:shd w:fill="2F5048"/>
          </w:tcPr>
          <w:p>
            <w:r/>
            <w:r>
              <w:rPr>
                <w:rFonts w:ascii="Aptos" w:hAnsi="Aptos"/>
                <w:b/>
                <w:color w:val="FFFFFF"/>
                <w:sz w:val="16"/>
              </w:rPr>
              <w:t>Resultado verificable</w:t>
            </w:r>
          </w:p>
        </w:tc>
        <w:tc>
          <w:tcPr>
            <w:tcW w:type="dxa" w:w="1584"/>
            <w:vAlign w:val="center"/>
            <w:tcMar>
              <w:top w:w="100" w:type="dxa"/>
              <w:start w:w="120" w:type="dxa"/>
              <w:bottom w:w="100" w:type="dxa"/>
              <w:end w:w="120" w:type="dxa"/>
            </w:tcMar>
            <w:shd w:fill="2F5048"/>
          </w:tcPr>
          <w:p>
            <w:r/>
            <w:r>
              <w:rPr>
                <w:rFonts w:ascii="Aptos" w:hAnsi="Aptos"/>
                <w:b/>
                <w:color w:val="FFFFFF"/>
                <w:sz w:val="16"/>
              </w:rPr>
              <w:t>Duración orientativa</w:t>
            </w:r>
          </w:p>
        </w:tc>
      </w:tr>
      <w:tr>
        <w:tc>
          <w:tcPr>
            <w:tcW w:type="dxa" w:w="1800"/>
            <w:vAlign w:val="center"/>
            <w:tcMar>
              <w:top w:w="100" w:type="dxa"/>
              <w:start w:w="120" w:type="dxa"/>
              <w:bottom w:w="100" w:type="dxa"/>
              <w:end w:w="120" w:type="dxa"/>
            </w:tcMar>
            <w:shd w:fill="FFFFFF"/>
          </w:tcPr>
          <w:p>
            <w:r/>
            <w:r>
              <w:rPr>
                <w:rFonts w:ascii="Aptos" w:hAnsi="Aptos"/>
                <w:b w:val="0"/>
                <w:color w:val="1D2B27"/>
                <w:sz w:val="16"/>
              </w:rPr>
              <w:t>0. Consolidación</w:t>
            </w:r>
          </w:p>
        </w:tc>
        <w:tc>
          <w:tcPr>
            <w:tcW w:type="dxa" w:w="6768"/>
            <w:vAlign w:val="center"/>
            <w:tcMar>
              <w:top w:w="100" w:type="dxa"/>
              <w:start w:w="120" w:type="dxa"/>
              <w:bottom w:w="100" w:type="dxa"/>
              <w:end w:w="120" w:type="dxa"/>
            </w:tcMar>
            <w:shd w:fill="FFFFFF"/>
          </w:tcPr>
          <w:p>
            <w:r/>
            <w:r>
              <w:rPr>
                <w:rFonts w:ascii="Aptos" w:hAnsi="Aptos"/>
                <w:b w:val="0"/>
                <w:color w:val="1D2B27"/>
                <w:sz w:val="16"/>
              </w:rPr>
              <w:t>Backlog, modelo de datos, UX base, criterios no funcionales, ambientes y riesgos</w:t>
            </w:r>
          </w:p>
        </w:tc>
        <w:tc>
          <w:tcPr>
            <w:tcW w:type="dxa" w:w="1584"/>
            <w:vAlign w:val="center"/>
            <w:tcMar>
              <w:top w:w="100" w:type="dxa"/>
              <w:start w:w="120" w:type="dxa"/>
              <w:bottom w:w="100" w:type="dxa"/>
              <w:end w:w="120" w:type="dxa"/>
            </w:tcMar>
            <w:shd w:fill="FFFFFF"/>
          </w:tcPr>
          <w:p>
            <w:r/>
            <w:r>
              <w:rPr>
                <w:rFonts w:ascii="Aptos" w:hAnsi="Aptos"/>
                <w:b w:val="0"/>
                <w:color w:val="1D2B27"/>
                <w:sz w:val="16"/>
              </w:rPr>
              <w:t>3–5 semanas</w:t>
            </w:r>
          </w:p>
        </w:tc>
      </w:tr>
      <w:tr>
        <w:tc>
          <w:tcPr>
            <w:tcW w:type="dxa" w:w="1800"/>
            <w:vAlign w:val="center"/>
            <w:tcMar>
              <w:top w:w="100" w:type="dxa"/>
              <w:start w:w="120" w:type="dxa"/>
              <w:bottom w:w="100" w:type="dxa"/>
              <w:end w:w="120" w:type="dxa"/>
            </w:tcMar>
            <w:shd w:fill="F2F6F4"/>
          </w:tcPr>
          <w:p>
            <w:r/>
            <w:r>
              <w:rPr>
                <w:rFonts w:ascii="Aptos" w:hAnsi="Aptos"/>
                <w:b w:val="0"/>
                <w:color w:val="1D2B27"/>
                <w:sz w:val="16"/>
              </w:rPr>
              <w:t>1. Núcleo productivo</w:t>
            </w:r>
          </w:p>
        </w:tc>
        <w:tc>
          <w:tcPr>
            <w:tcW w:type="dxa" w:w="6768"/>
            <w:vAlign w:val="center"/>
            <w:tcMar>
              <w:top w:w="100" w:type="dxa"/>
              <w:start w:w="120" w:type="dxa"/>
              <w:bottom w:w="100" w:type="dxa"/>
              <w:end w:w="120" w:type="dxa"/>
            </w:tcMar>
            <w:shd w:fill="F2F6F4"/>
          </w:tcPr>
          <w:p>
            <w:r/>
            <w:r>
              <w:rPr>
                <w:rFonts w:ascii="Aptos" w:hAnsi="Aptos"/>
                <w:b w:val="0"/>
                <w:color w:val="1D2B27"/>
                <w:sz w:val="16"/>
              </w:rPr>
              <w:t>Entra ID, usuarios/permisos, auditoría, organización y terceros</w:t>
            </w:r>
          </w:p>
        </w:tc>
        <w:tc>
          <w:tcPr>
            <w:tcW w:type="dxa" w:w="1584"/>
            <w:vAlign w:val="center"/>
            <w:tcMar>
              <w:top w:w="100" w:type="dxa"/>
              <w:start w:w="120" w:type="dxa"/>
              <w:bottom w:w="100" w:type="dxa"/>
              <w:end w:w="120" w:type="dxa"/>
            </w:tcMar>
            <w:shd w:fill="F2F6F4"/>
          </w:tcPr>
          <w:p>
            <w:r/>
            <w:r>
              <w:rPr>
                <w:rFonts w:ascii="Aptos" w:hAnsi="Aptos"/>
                <w:b w:val="0"/>
                <w:color w:val="1D2B27"/>
                <w:sz w:val="16"/>
              </w:rPr>
              <w:t>8–12 semanas</w:t>
            </w:r>
          </w:p>
        </w:tc>
      </w:tr>
      <w:tr>
        <w:tc>
          <w:tcPr>
            <w:tcW w:type="dxa" w:w="1800"/>
            <w:vAlign w:val="center"/>
            <w:tcMar>
              <w:top w:w="100" w:type="dxa"/>
              <w:start w:w="120" w:type="dxa"/>
              <w:bottom w:w="100" w:type="dxa"/>
              <w:end w:w="120" w:type="dxa"/>
            </w:tcMar>
            <w:shd w:fill="FFFFFF"/>
          </w:tcPr>
          <w:p>
            <w:r/>
            <w:r>
              <w:rPr>
                <w:rFonts w:ascii="Aptos" w:hAnsi="Aptos"/>
                <w:b w:val="0"/>
                <w:color w:val="1D2B27"/>
                <w:sz w:val="16"/>
              </w:rPr>
              <w:t>2. Inventario</w:t>
            </w:r>
          </w:p>
        </w:tc>
        <w:tc>
          <w:tcPr>
            <w:tcW w:type="dxa" w:w="6768"/>
            <w:vAlign w:val="center"/>
            <w:tcMar>
              <w:top w:w="100" w:type="dxa"/>
              <w:start w:w="120" w:type="dxa"/>
              <w:bottom w:w="100" w:type="dxa"/>
              <w:end w:w="120" w:type="dxa"/>
            </w:tcMar>
            <w:shd w:fill="FFFFFF"/>
          </w:tcPr>
          <w:p>
            <w:r/>
            <w:r>
              <w:rPr>
                <w:rFonts w:ascii="Aptos" w:hAnsi="Aptos"/>
                <w:b w:val="0"/>
                <w:color w:val="1D2B27"/>
                <w:sz w:val="16"/>
              </w:rPr>
              <w:t>Productos, activos, asignaciones, movimientos, documentos y reportes operativos</w:t>
            </w:r>
          </w:p>
        </w:tc>
        <w:tc>
          <w:tcPr>
            <w:tcW w:type="dxa" w:w="1584"/>
            <w:vAlign w:val="center"/>
            <w:tcMar>
              <w:top w:w="100" w:type="dxa"/>
              <w:start w:w="120" w:type="dxa"/>
              <w:bottom w:w="100" w:type="dxa"/>
              <w:end w:w="120" w:type="dxa"/>
            </w:tcMar>
            <w:shd w:fill="FFFFFF"/>
          </w:tcPr>
          <w:p>
            <w:r/>
            <w:r>
              <w:rPr>
                <w:rFonts w:ascii="Aptos" w:hAnsi="Aptos"/>
                <w:b w:val="0"/>
                <w:color w:val="1D2B27"/>
                <w:sz w:val="16"/>
              </w:rPr>
              <w:t>8–12 semanas</w:t>
            </w:r>
          </w:p>
        </w:tc>
      </w:tr>
      <w:tr>
        <w:tc>
          <w:tcPr>
            <w:tcW w:type="dxa" w:w="1800"/>
            <w:vAlign w:val="center"/>
            <w:tcMar>
              <w:top w:w="100" w:type="dxa"/>
              <w:start w:w="120" w:type="dxa"/>
              <w:bottom w:w="100" w:type="dxa"/>
              <w:end w:w="120" w:type="dxa"/>
            </w:tcMar>
            <w:shd w:fill="F2F6F4"/>
          </w:tcPr>
          <w:p>
            <w:r/>
            <w:r>
              <w:rPr>
                <w:rFonts w:ascii="Aptos" w:hAnsi="Aptos"/>
                <w:b w:val="0"/>
                <w:color w:val="1D2B27"/>
                <w:sz w:val="16"/>
              </w:rPr>
              <w:t>3. Analítica e integración</w:t>
            </w:r>
          </w:p>
        </w:tc>
        <w:tc>
          <w:tcPr>
            <w:tcW w:type="dxa" w:w="6768"/>
            <w:vAlign w:val="center"/>
            <w:tcMar>
              <w:top w:w="100" w:type="dxa"/>
              <w:start w:w="120" w:type="dxa"/>
              <w:bottom w:w="100" w:type="dxa"/>
              <w:end w:w="120" w:type="dxa"/>
            </w:tcMar>
            <w:shd w:fill="F2F6F4"/>
          </w:tcPr>
          <w:p>
            <w:r/>
            <w:r>
              <w:rPr>
                <w:rFonts w:ascii="Aptos" w:hAnsi="Aptos"/>
                <w:b w:val="0"/>
                <w:color w:val="1D2B27"/>
                <w:sz w:val="16"/>
              </w:rPr>
              <w:t>Vistas de lectura, Power BI, importaciones y conectores priorizados</w:t>
            </w:r>
          </w:p>
        </w:tc>
        <w:tc>
          <w:tcPr>
            <w:tcW w:type="dxa" w:w="1584"/>
            <w:vAlign w:val="center"/>
            <w:tcMar>
              <w:top w:w="100" w:type="dxa"/>
              <w:start w:w="120" w:type="dxa"/>
              <w:bottom w:w="100" w:type="dxa"/>
              <w:end w:w="120" w:type="dxa"/>
            </w:tcMar>
            <w:shd w:fill="F2F6F4"/>
          </w:tcPr>
          <w:p>
            <w:r/>
            <w:r>
              <w:rPr>
                <w:rFonts w:ascii="Aptos" w:hAnsi="Aptos"/>
                <w:b w:val="0"/>
                <w:color w:val="1D2B27"/>
                <w:sz w:val="16"/>
              </w:rPr>
              <w:t>5–8 semanas</w:t>
            </w:r>
          </w:p>
        </w:tc>
      </w:tr>
      <w:tr>
        <w:tc>
          <w:tcPr>
            <w:tcW w:type="dxa" w:w="1800"/>
            <w:vAlign w:val="center"/>
            <w:tcMar>
              <w:top w:w="100" w:type="dxa"/>
              <w:start w:w="120" w:type="dxa"/>
              <w:bottom w:w="100" w:type="dxa"/>
              <w:end w:w="120" w:type="dxa"/>
            </w:tcMar>
            <w:shd w:fill="FFFFFF"/>
          </w:tcPr>
          <w:p>
            <w:r/>
            <w:r>
              <w:rPr>
                <w:rFonts w:ascii="Aptos" w:hAnsi="Aptos"/>
                <w:b w:val="0"/>
                <w:color w:val="1D2B27"/>
                <w:sz w:val="16"/>
              </w:rPr>
              <w:t>4. Endurecimiento</w:t>
            </w:r>
          </w:p>
        </w:tc>
        <w:tc>
          <w:tcPr>
            <w:tcW w:type="dxa" w:w="6768"/>
            <w:vAlign w:val="center"/>
            <w:tcMar>
              <w:top w:w="100" w:type="dxa"/>
              <w:start w:w="120" w:type="dxa"/>
              <w:bottom w:w="100" w:type="dxa"/>
              <w:end w:w="120" w:type="dxa"/>
            </w:tcMar>
            <w:shd w:fill="FFFFFF"/>
          </w:tcPr>
          <w:p>
            <w:r/>
            <w:r>
              <w:rPr>
                <w:rFonts w:ascii="Aptos" w:hAnsi="Aptos"/>
                <w:b w:val="0"/>
                <w:color w:val="1D2B27"/>
                <w:sz w:val="16"/>
              </w:rPr>
              <w:t>Carga, seguridad, recuperación, capacitación y salida controlada</w:t>
            </w:r>
          </w:p>
        </w:tc>
        <w:tc>
          <w:tcPr>
            <w:tcW w:type="dxa" w:w="1584"/>
            <w:vAlign w:val="center"/>
            <w:tcMar>
              <w:top w:w="100" w:type="dxa"/>
              <w:start w:w="120" w:type="dxa"/>
              <w:bottom w:w="100" w:type="dxa"/>
              <w:end w:w="120" w:type="dxa"/>
            </w:tcMar>
            <w:shd w:fill="FFFFFF"/>
          </w:tcPr>
          <w:p>
            <w:r/>
            <w:r>
              <w:rPr>
                <w:rFonts w:ascii="Aptos" w:hAnsi="Aptos"/>
                <w:b w:val="0"/>
                <w:color w:val="1D2B27"/>
                <w:sz w:val="16"/>
              </w:rPr>
              <w:t>4–6 semanas</w:t>
            </w:r>
          </w:p>
        </w:tc>
      </w:tr>
    </w:tbl>
    <w:p>
      <w:pPr>
        <w:spacing w:after="0"/>
      </w:pPr>
    </w:p>
    <w:p>
      <w:r>
        <w:rPr>
          <w:lang w:val="es-CO"/>
        </w:rPr>
        <w:t>Las fases pueden solaparse con un equipo multidisciplinario. Para un primer núcleo productivo, el rango razonable es 6–9 meses; una plataforma empresarial amplia puede requerir 9–15 meses. El prototipo actual acelera validación y reutiliza código, pero no reemplaza los controles de producción.</w:t>
      </w:r>
    </w:p>
    <w:p>
      <w:pPr>
        <w:pStyle w:val="Heading2"/>
        <w:keepNext/>
      </w:pPr>
      <w:r>
        <w:rPr>
          <w:lang w:val="es-CO"/>
        </w:rPr>
        <w:t>11.1 Equipo mínimo</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448"/>
            <w:vAlign w:val="center"/>
            <w:tcMar>
              <w:top w:w="100" w:type="dxa"/>
              <w:start w:w="120" w:type="dxa"/>
              <w:bottom w:w="100" w:type="dxa"/>
              <w:end w:w="120" w:type="dxa"/>
            </w:tcMar>
            <w:shd w:fill="2F5048"/>
          </w:tcPr>
          <w:p>
            <w:r/>
            <w:r>
              <w:rPr>
                <w:rFonts w:ascii="Aptos" w:hAnsi="Aptos"/>
                <w:b/>
                <w:color w:val="FFFFFF"/>
                <w:sz w:val="16"/>
              </w:rPr>
              <w:t>Rol</w:t>
            </w:r>
          </w:p>
        </w:tc>
        <w:tc>
          <w:tcPr>
            <w:tcW w:type="dxa" w:w="2088"/>
            <w:vAlign w:val="center"/>
            <w:tcMar>
              <w:top w:w="100" w:type="dxa"/>
              <w:start w:w="120" w:type="dxa"/>
              <w:bottom w:w="100" w:type="dxa"/>
              <w:end w:w="120" w:type="dxa"/>
            </w:tcMar>
            <w:shd w:fill="2F5048"/>
          </w:tcPr>
          <w:p>
            <w:r/>
            <w:r>
              <w:rPr>
                <w:rFonts w:ascii="Aptos" w:hAnsi="Aptos"/>
                <w:b/>
                <w:color w:val="FFFFFF"/>
                <w:sz w:val="16"/>
              </w:rPr>
              <w:t>Dedicación sugerida</w:t>
            </w:r>
          </w:p>
        </w:tc>
        <w:tc>
          <w:tcPr>
            <w:tcW w:type="dxa" w:w="5616"/>
            <w:vAlign w:val="center"/>
            <w:tcMar>
              <w:top w:w="100" w:type="dxa"/>
              <w:start w:w="120" w:type="dxa"/>
              <w:bottom w:w="100" w:type="dxa"/>
              <w:end w:w="120" w:type="dxa"/>
            </w:tcMar>
            <w:shd w:fill="2F5048"/>
          </w:tcPr>
          <w:p>
            <w:r/>
            <w:r>
              <w:rPr>
                <w:rFonts w:ascii="Aptos" w:hAnsi="Aptos"/>
                <w:b/>
                <w:color w:val="FFFFFF"/>
                <w:sz w:val="16"/>
              </w:rPr>
              <w:t>Responsabilidad</w:t>
            </w:r>
          </w:p>
        </w:tc>
      </w:tr>
      <w:tr>
        <w:tc>
          <w:tcPr>
            <w:tcW w:type="dxa" w:w="2448"/>
            <w:vAlign w:val="center"/>
            <w:tcMar>
              <w:top w:w="100" w:type="dxa"/>
              <w:start w:w="120" w:type="dxa"/>
              <w:bottom w:w="100" w:type="dxa"/>
              <w:end w:w="120" w:type="dxa"/>
            </w:tcMar>
            <w:shd w:fill="FFFFFF"/>
          </w:tcPr>
          <w:p>
            <w:r/>
            <w:r>
              <w:rPr>
                <w:rFonts w:ascii="Aptos" w:hAnsi="Aptos"/>
                <w:b w:val="0"/>
                <w:color w:val="1D2B27"/>
                <w:sz w:val="16"/>
              </w:rPr>
              <w:t>Líder/arquitecto backend</w:t>
            </w:r>
          </w:p>
        </w:tc>
        <w:tc>
          <w:tcPr>
            <w:tcW w:type="dxa" w:w="2088"/>
            <w:vAlign w:val="center"/>
            <w:tcMar>
              <w:top w:w="100" w:type="dxa"/>
              <w:start w:w="120" w:type="dxa"/>
              <w:bottom w:w="100" w:type="dxa"/>
              <w:end w:w="120" w:type="dxa"/>
            </w:tcMar>
            <w:shd w:fill="FFFFFF"/>
          </w:tcPr>
          <w:p>
            <w:r/>
            <w:r>
              <w:rPr>
                <w:rFonts w:ascii="Aptos" w:hAnsi="Aptos"/>
                <w:b w:val="0"/>
                <w:color w:val="1D2B27"/>
                <w:sz w:val="16"/>
              </w:rPr>
              <w:t>Tiempo completo</w:t>
            </w:r>
          </w:p>
        </w:tc>
        <w:tc>
          <w:tcPr>
            <w:tcW w:type="dxa" w:w="5616"/>
            <w:vAlign w:val="center"/>
            <w:tcMar>
              <w:top w:w="100" w:type="dxa"/>
              <w:start w:w="120" w:type="dxa"/>
              <w:bottom w:w="100" w:type="dxa"/>
              <w:end w:w="120" w:type="dxa"/>
            </w:tcMar>
            <w:shd w:fill="FFFFFF"/>
          </w:tcPr>
          <w:p>
            <w:r/>
            <w:r>
              <w:rPr>
                <w:rFonts w:ascii="Aptos" w:hAnsi="Aptos"/>
                <w:b w:val="0"/>
                <w:color w:val="1D2B27"/>
                <w:sz w:val="16"/>
              </w:rPr>
              <w:t>Dominio, API, datos, seguridad y decisiones técnicas</w:t>
            </w:r>
          </w:p>
        </w:tc>
      </w:tr>
      <w:tr>
        <w:tc>
          <w:tcPr>
            <w:tcW w:type="dxa" w:w="2448"/>
            <w:vAlign w:val="center"/>
            <w:tcMar>
              <w:top w:w="100" w:type="dxa"/>
              <w:start w:w="120" w:type="dxa"/>
              <w:bottom w:w="100" w:type="dxa"/>
              <w:end w:w="120" w:type="dxa"/>
            </w:tcMar>
            <w:shd w:fill="F2F6F4"/>
          </w:tcPr>
          <w:p>
            <w:r/>
            <w:r>
              <w:rPr>
                <w:rFonts w:ascii="Aptos" w:hAnsi="Aptos"/>
                <w:b w:val="0"/>
                <w:color w:val="1D2B27"/>
                <w:sz w:val="16"/>
              </w:rPr>
              <w:t>Frontend/UX</w:t>
            </w:r>
          </w:p>
        </w:tc>
        <w:tc>
          <w:tcPr>
            <w:tcW w:type="dxa" w:w="2088"/>
            <w:vAlign w:val="center"/>
            <w:tcMar>
              <w:top w:w="100" w:type="dxa"/>
              <w:start w:w="120" w:type="dxa"/>
              <w:bottom w:w="100" w:type="dxa"/>
              <w:end w:w="120" w:type="dxa"/>
            </w:tcMar>
            <w:shd w:fill="F2F6F4"/>
          </w:tcPr>
          <w:p>
            <w:r/>
            <w:r>
              <w:rPr>
                <w:rFonts w:ascii="Aptos" w:hAnsi="Aptos"/>
                <w:b w:val="0"/>
                <w:color w:val="1D2B27"/>
                <w:sz w:val="16"/>
              </w:rPr>
              <w:t>Tiempo completo</w:t>
            </w:r>
          </w:p>
        </w:tc>
        <w:tc>
          <w:tcPr>
            <w:tcW w:type="dxa" w:w="5616"/>
            <w:vAlign w:val="center"/>
            <w:tcMar>
              <w:top w:w="100" w:type="dxa"/>
              <w:start w:w="120" w:type="dxa"/>
              <w:bottom w:w="100" w:type="dxa"/>
              <w:end w:w="120" w:type="dxa"/>
            </w:tcMar>
            <w:shd w:fill="F2F6F4"/>
          </w:tcPr>
          <w:p>
            <w:r/>
            <w:r>
              <w:rPr>
                <w:rFonts w:ascii="Aptos" w:hAnsi="Aptos"/>
                <w:b w:val="0"/>
                <w:color w:val="1D2B27"/>
                <w:sz w:val="16"/>
              </w:rPr>
              <w:t>Diseño de interacción, accesibilidad y frontend</w:t>
            </w:r>
          </w:p>
        </w:tc>
      </w:tr>
      <w:tr>
        <w:tc>
          <w:tcPr>
            <w:tcW w:type="dxa" w:w="2448"/>
            <w:vAlign w:val="center"/>
            <w:tcMar>
              <w:top w:w="100" w:type="dxa"/>
              <w:start w:w="120" w:type="dxa"/>
              <w:bottom w:w="100" w:type="dxa"/>
              <w:end w:w="120" w:type="dxa"/>
            </w:tcMar>
            <w:shd w:fill="FFFFFF"/>
          </w:tcPr>
          <w:p>
            <w:r/>
            <w:r>
              <w:rPr>
                <w:rFonts w:ascii="Aptos" w:hAnsi="Aptos"/>
                <w:b w:val="0"/>
                <w:color w:val="1D2B27"/>
                <w:sz w:val="16"/>
              </w:rPr>
              <w:t>QA automatización</w:t>
            </w:r>
          </w:p>
        </w:tc>
        <w:tc>
          <w:tcPr>
            <w:tcW w:type="dxa" w:w="2088"/>
            <w:vAlign w:val="center"/>
            <w:tcMar>
              <w:top w:w="100" w:type="dxa"/>
              <w:start w:w="120" w:type="dxa"/>
              <w:bottom w:w="100" w:type="dxa"/>
              <w:end w:w="120" w:type="dxa"/>
            </w:tcMar>
            <w:shd w:fill="FFFFFF"/>
          </w:tcPr>
          <w:p>
            <w:r/>
            <w:r>
              <w:rPr>
                <w:rFonts w:ascii="Aptos" w:hAnsi="Aptos"/>
                <w:b w:val="0"/>
                <w:color w:val="1D2B27"/>
                <w:sz w:val="16"/>
              </w:rPr>
              <w:t>50–100 %</w:t>
            </w:r>
          </w:p>
        </w:tc>
        <w:tc>
          <w:tcPr>
            <w:tcW w:type="dxa" w:w="5616"/>
            <w:vAlign w:val="center"/>
            <w:tcMar>
              <w:top w:w="100" w:type="dxa"/>
              <w:start w:w="120" w:type="dxa"/>
              <w:bottom w:w="100" w:type="dxa"/>
              <w:end w:w="120" w:type="dxa"/>
            </w:tcMar>
            <w:shd w:fill="FFFFFF"/>
          </w:tcPr>
          <w:p>
            <w:r/>
            <w:r>
              <w:rPr>
                <w:rFonts w:ascii="Aptos" w:hAnsi="Aptos"/>
                <w:b w:val="0"/>
                <w:color w:val="1D2B27"/>
                <w:sz w:val="16"/>
              </w:rPr>
              <w:t>Estrategia, automatización, aceptación y rendimiento</w:t>
            </w:r>
          </w:p>
        </w:tc>
      </w:tr>
      <w:tr>
        <w:tc>
          <w:tcPr>
            <w:tcW w:type="dxa" w:w="2448"/>
            <w:vAlign w:val="center"/>
            <w:tcMar>
              <w:top w:w="100" w:type="dxa"/>
              <w:start w:w="120" w:type="dxa"/>
              <w:bottom w:w="100" w:type="dxa"/>
              <w:end w:w="120" w:type="dxa"/>
            </w:tcMar>
            <w:shd w:fill="F2F6F4"/>
          </w:tcPr>
          <w:p>
            <w:r/>
            <w:r>
              <w:rPr>
                <w:rFonts w:ascii="Aptos" w:hAnsi="Aptos"/>
                <w:b w:val="0"/>
                <w:color w:val="1D2B27"/>
                <w:sz w:val="16"/>
              </w:rPr>
              <w:t>DevOps/seguridad</w:t>
            </w:r>
          </w:p>
        </w:tc>
        <w:tc>
          <w:tcPr>
            <w:tcW w:type="dxa" w:w="2088"/>
            <w:vAlign w:val="center"/>
            <w:tcMar>
              <w:top w:w="100" w:type="dxa"/>
              <w:start w:w="120" w:type="dxa"/>
              <w:bottom w:w="100" w:type="dxa"/>
              <w:end w:w="120" w:type="dxa"/>
            </w:tcMar>
            <w:shd w:fill="F2F6F4"/>
          </w:tcPr>
          <w:p>
            <w:r/>
            <w:r>
              <w:rPr>
                <w:rFonts w:ascii="Aptos" w:hAnsi="Aptos"/>
                <w:b w:val="0"/>
                <w:color w:val="1D2B27"/>
                <w:sz w:val="16"/>
              </w:rPr>
              <w:t>20–50 %</w:t>
            </w:r>
          </w:p>
        </w:tc>
        <w:tc>
          <w:tcPr>
            <w:tcW w:type="dxa" w:w="5616"/>
            <w:vAlign w:val="center"/>
            <w:tcMar>
              <w:top w:w="100" w:type="dxa"/>
              <w:start w:w="120" w:type="dxa"/>
              <w:bottom w:w="100" w:type="dxa"/>
              <w:end w:w="120" w:type="dxa"/>
            </w:tcMar>
            <w:shd w:fill="F2F6F4"/>
          </w:tcPr>
          <w:p>
            <w:r/>
            <w:r>
              <w:rPr>
                <w:rFonts w:ascii="Aptos" w:hAnsi="Aptos"/>
                <w:b w:val="0"/>
                <w:color w:val="1D2B27"/>
                <w:sz w:val="16"/>
              </w:rPr>
              <w:t>Infraestructura, CI/CD, observabilidad y endurecimiento</w:t>
            </w:r>
          </w:p>
        </w:tc>
      </w:tr>
      <w:tr>
        <w:tc>
          <w:tcPr>
            <w:tcW w:type="dxa" w:w="2448"/>
            <w:vAlign w:val="center"/>
            <w:tcMar>
              <w:top w:w="100" w:type="dxa"/>
              <w:start w:w="120" w:type="dxa"/>
              <w:bottom w:w="100" w:type="dxa"/>
              <w:end w:w="120" w:type="dxa"/>
            </w:tcMar>
            <w:shd w:fill="FFFFFF"/>
          </w:tcPr>
          <w:p>
            <w:r/>
            <w:r>
              <w:rPr>
                <w:rFonts w:ascii="Aptos" w:hAnsi="Aptos"/>
                <w:b w:val="0"/>
                <w:color w:val="1D2B27"/>
                <w:sz w:val="16"/>
              </w:rPr>
              <w:t>Producto/usuarios clave</w:t>
            </w:r>
          </w:p>
        </w:tc>
        <w:tc>
          <w:tcPr>
            <w:tcW w:type="dxa" w:w="2088"/>
            <w:vAlign w:val="center"/>
            <w:tcMar>
              <w:top w:w="100" w:type="dxa"/>
              <w:start w:w="120" w:type="dxa"/>
              <w:bottom w:w="100" w:type="dxa"/>
              <w:end w:w="120" w:type="dxa"/>
            </w:tcMar>
            <w:shd w:fill="FFFFFF"/>
          </w:tcPr>
          <w:p>
            <w:r/>
            <w:r>
              <w:rPr>
                <w:rFonts w:ascii="Aptos" w:hAnsi="Aptos"/>
                <w:b w:val="0"/>
                <w:color w:val="1D2B27"/>
                <w:sz w:val="16"/>
              </w:rPr>
              <w:t>20–40 %</w:t>
            </w:r>
          </w:p>
        </w:tc>
        <w:tc>
          <w:tcPr>
            <w:tcW w:type="dxa" w:w="5616"/>
            <w:vAlign w:val="center"/>
            <w:tcMar>
              <w:top w:w="100" w:type="dxa"/>
              <w:start w:w="120" w:type="dxa"/>
              <w:bottom w:w="100" w:type="dxa"/>
              <w:end w:w="120" w:type="dxa"/>
            </w:tcMar>
            <w:shd w:fill="FFFFFF"/>
          </w:tcPr>
          <w:p>
            <w:r/>
            <w:r>
              <w:rPr>
                <w:rFonts w:ascii="Aptos" w:hAnsi="Aptos"/>
                <w:b w:val="0"/>
                <w:color w:val="1D2B27"/>
                <w:sz w:val="16"/>
              </w:rPr>
              <w:t>Prioridad, reglas, datos y aceptación</w:t>
            </w:r>
          </w:p>
        </w:tc>
      </w:tr>
      <w:tr>
        <w:tc>
          <w:tcPr>
            <w:tcW w:type="dxa" w:w="2448"/>
            <w:vAlign w:val="center"/>
            <w:tcMar>
              <w:top w:w="100" w:type="dxa"/>
              <w:start w:w="120" w:type="dxa"/>
              <w:bottom w:w="100" w:type="dxa"/>
              <w:end w:w="120" w:type="dxa"/>
            </w:tcMar>
            <w:shd w:fill="F2F6F4"/>
          </w:tcPr>
          <w:p>
            <w:r/>
            <w:r>
              <w:rPr>
                <w:rFonts w:ascii="Aptos" w:hAnsi="Aptos"/>
                <w:b w:val="0"/>
                <w:color w:val="1D2B27"/>
                <w:sz w:val="16"/>
              </w:rPr>
              <w:t>DB/datos</w:t>
            </w:r>
          </w:p>
        </w:tc>
        <w:tc>
          <w:tcPr>
            <w:tcW w:type="dxa" w:w="2088"/>
            <w:vAlign w:val="center"/>
            <w:tcMar>
              <w:top w:w="100" w:type="dxa"/>
              <w:start w:w="120" w:type="dxa"/>
              <w:bottom w:w="100" w:type="dxa"/>
              <w:end w:w="120" w:type="dxa"/>
            </w:tcMar>
            <w:shd w:fill="F2F6F4"/>
          </w:tcPr>
          <w:p>
            <w:r/>
            <w:r>
              <w:rPr>
                <w:rFonts w:ascii="Aptos" w:hAnsi="Aptos"/>
                <w:b w:val="0"/>
                <w:color w:val="1D2B27"/>
                <w:sz w:val="16"/>
              </w:rPr>
              <w:t>20–50 % por fases</w:t>
            </w:r>
          </w:p>
        </w:tc>
        <w:tc>
          <w:tcPr>
            <w:tcW w:type="dxa" w:w="5616"/>
            <w:vAlign w:val="center"/>
            <w:tcMar>
              <w:top w:w="100" w:type="dxa"/>
              <w:start w:w="120" w:type="dxa"/>
              <w:bottom w:w="100" w:type="dxa"/>
              <w:end w:w="120" w:type="dxa"/>
            </w:tcMar>
            <w:shd w:fill="F2F6F4"/>
          </w:tcPr>
          <w:p>
            <w:r/>
            <w:r>
              <w:rPr>
                <w:rFonts w:ascii="Aptos" w:hAnsi="Aptos"/>
                <w:b w:val="0"/>
                <w:color w:val="1D2B27"/>
                <w:sz w:val="16"/>
              </w:rPr>
              <w:t>Modelo, migración, índices, calidad y analítica</w:t>
            </w:r>
          </w:p>
        </w:tc>
      </w:tr>
    </w:tbl>
    <w:p>
      <w:pPr>
        <w:spacing w:after="0"/>
      </w:pPr>
    </w:p>
    <w:p>
      <w:pPr>
        <w:pStyle w:val="Heading2"/>
        <w:keepNext/>
      </w:pPr>
      <w:r>
        <w:rPr>
          <w:lang w:val="es-CO"/>
        </w:rPr>
        <w:t>11.2 Uso de IA en desarrollo</w:t>
      </w:r>
    </w:p>
    <w:p>
      <w:r>
        <w:rPr>
          <w:lang w:val="es-CO"/>
        </w:rPr>
        <w:t>Herramientas de IA pueden acelerar generación, pruebas, documentación y análisis. No sustituyen la validación del negocio, la revisión de seguridad, la propiedad intelectual, la prueba con datos reales ni la responsabilidad de aprobar una versión. Todo código generado debe pasar los mismos controles.</w:t>
      </w:r>
    </w:p>
    <w:p>
      <w:r>
        <w:rPr>
          <w:lang w:val="es-CO"/>
        </w:rPr>
        <w:br w:type="page"/>
      </w:r>
    </w:p>
    <w:p>
      <w:pPr>
        <w:pStyle w:val="Heading1"/>
        <w:keepNext/>
      </w:pPr>
      <w:r>
        <w:rPr>
          <w:lang w:val="es-CO"/>
        </w:rPr>
        <w:t>12. Estimación de esfuerzo y costo humano</w:t>
      </w:r>
    </w:p>
    <w:p>
      <w:pPr>
        <w:pStyle w:val="Heading2"/>
        <w:keepNext/>
      </w:pPr>
      <w:r>
        <w:rPr>
          <w:lang w:val="es-CO"/>
        </w:rPr>
        <w:t>12.1 Esfuerzo de construcción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7344"/>
            <w:vAlign w:val="center"/>
            <w:tcMar>
              <w:top w:w="100" w:type="dxa"/>
              <w:start w:w="120" w:type="dxa"/>
              <w:bottom w:w="100" w:type="dxa"/>
              <w:end w:w="120" w:type="dxa"/>
            </w:tcMar>
            <w:shd w:fill="2F5048"/>
          </w:tcPr>
          <w:p>
            <w:r/>
            <w:r>
              <w:rPr>
                <w:rFonts w:ascii="Aptos" w:hAnsi="Aptos"/>
                <w:b/>
                <w:color w:val="FFFFFF"/>
                <w:sz w:val="16"/>
              </w:rPr>
              <w:t>Bloque</w:t>
            </w:r>
          </w:p>
        </w:tc>
        <w:tc>
          <w:tcPr>
            <w:tcW w:type="dxa" w:w="2736"/>
            <w:vAlign w:val="center"/>
            <w:tcMar>
              <w:top w:w="100" w:type="dxa"/>
              <w:start w:w="120" w:type="dxa"/>
              <w:bottom w:w="100" w:type="dxa"/>
              <w:end w:w="120" w:type="dxa"/>
            </w:tcMar>
            <w:shd w:fill="2F5048"/>
          </w:tcPr>
          <w:p>
            <w:r/>
            <w:r>
              <w:rPr>
                <w:rFonts w:ascii="Aptos" w:hAnsi="Aptos"/>
                <w:b/>
                <w:color w:val="FFFFFF"/>
                <w:sz w:val="16"/>
              </w:rPr>
              <w:t>Horas estimadas</w:t>
            </w:r>
          </w:p>
        </w:tc>
      </w:tr>
      <w:tr>
        <w:tc>
          <w:tcPr>
            <w:tcW w:type="dxa" w:w="7344"/>
            <w:vAlign w:val="center"/>
            <w:tcMar>
              <w:top w:w="100" w:type="dxa"/>
              <w:start w:w="120" w:type="dxa"/>
              <w:bottom w:w="100" w:type="dxa"/>
              <w:end w:w="120" w:type="dxa"/>
            </w:tcMar>
            <w:shd w:fill="FFFFFF"/>
          </w:tcPr>
          <w:p>
            <w:r/>
            <w:r>
              <w:rPr>
                <w:rFonts w:ascii="Aptos" w:hAnsi="Aptos"/>
                <w:b w:val="0"/>
                <w:color w:val="1D2B27"/>
                <w:sz w:val="17"/>
              </w:rPr>
              <w:t>Descubrimiento, arquitectura y diseño de datos</w:t>
            </w:r>
          </w:p>
        </w:tc>
        <w:tc>
          <w:tcPr>
            <w:tcW w:type="dxa" w:w="2736"/>
            <w:vAlign w:val="center"/>
            <w:tcMar>
              <w:top w:w="100" w:type="dxa"/>
              <w:start w:w="120" w:type="dxa"/>
              <w:bottom w:w="100" w:type="dxa"/>
              <w:end w:w="120" w:type="dxa"/>
            </w:tcMar>
            <w:shd w:fill="FFFFFF"/>
          </w:tcPr>
          <w:p>
            <w:r/>
            <w:r>
              <w:rPr>
                <w:rFonts w:ascii="Aptos" w:hAnsi="Aptos"/>
                <w:b w:val="0"/>
                <w:color w:val="1D2B27"/>
                <w:sz w:val="17"/>
              </w:rPr>
              <w:t>160–280</w:t>
            </w:r>
          </w:p>
        </w:tc>
      </w:tr>
      <w:tr>
        <w:tc>
          <w:tcPr>
            <w:tcW w:type="dxa" w:w="7344"/>
            <w:vAlign w:val="center"/>
            <w:tcMar>
              <w:top w:w="100" w:type="dxa"/>
              <w:start w:w="120" w:type="dxa"/>
              <w:bottom w:w="100" w:type="dxa"/>
              <w:end w:w="120" w:type="dxa"/>
            </w:tcMar>
            <w:shd w:fill="F2F6F4"/>
          </w:tcPr>
          <w:p>
            <w:r/>
            <w:r>
              <w:rPr>
                <w:rFonts w:ascii="Aptos" w:hAnsi="Aptos"/>
                <w:b w:val="0"/>
                <w:color w:val="1D2B27"/>
                <w:sz w:val="17"/>
              </w:rPr>
              <w:t>UX, diseño visual y sistema de componentes</w:t>
            </w:r>
          </w:p>
        </w:tc>
        <w:tc>
          <w:tcPr>
            <w:tcW w:type="dxa" w:w="2736"/>
            <w:vAlign w:val="center"/>
            <w:tcMar>
              <w:top w:w="100" w:type="dxa"/>
              <w:start w:w="120" w:type="dxa"/>
              <w:bottom w:w="100" w:type="dxa"/>
              <w:end w:w="120" w:type="dxa"/>
            </w:tcMar>
            <w:shd w:fill="F2F6F4"/>
          </w:tcPr>
          <w:p>
            <w:r/>
            <w:r>
              <w:rPr>
                <w:rFonts w:ascii="Aptos" w:hAnsi="Aptos"/>
                <w:b w:val="0"/>
                <w:color w:val="1D2B27"/>
                <w:sz w:val="17"/>
              </w:rPr>
              <w:t>180–320</w:t>
            </w:r>
          </w:p>
        </w:tc>
      </w:tr>
      <w:tr>
        <w:tc>
          <w:tcPr>
            <w:tcW w:type="dxa" w:w="7344"/>
            <w:vAlign w:val="center"/>
            <w:tcMar>
              <w:top w:w="100" w:type="dxa"/>
              <w:start w:w="120" w:type="dxa"/>
              <w:bottom w:w="100" w:type="dxa"/>
              <w:end w:w="120" w:type="dxa"/>
            </w:tcMar>
            <w:shd w:fill="FFFFFF"/>
          </w:tcPr>
          <w:p>
            <w:r/>
            <w:r>
              <w:rPr>
                <w:rFonts w:ascii="Aptos" w:hAnsi="Aptos"/>
                <w:b w:val="0"/>
                <w:color w:val="1D2B27"/>
                <w:sz w:val="17"/>
              </w:rPr>
              <w:t>Backend, dominio, API, permisos y auditoría</w:t>
            </w:r>
          </w:p>
        </w:tc>
        <w:tc>
          <w:tcPr>
            <w:tcW w:type="dxa" w:w="2736"/>
            <w:vAlign w:val="center"/>
            <w:tcMar>
              <w:top w:w="100" w:type="dxa"/>
              <w:start w:w="120" w:type="dxa"/>
              <w:bottom w:w="100" w:type="dxa"/>
              <w:end w:w="120" w:type="dxa"/>
            </w:tcMar>
            <w:shd w:fill="FFFFFF"/>
          </w:tcPr>
          <w:p>
            <w:r/>
            <w:r>
              <w:rPr>
                <w:rFonts w:ascii="Aptos" w:hAnsi="Aptos"/>
                <w:b w:val="0"/>
                <w:color w:val="1D2B27"/>
                <w:sz w:val="17"/>
              </w:rPr>
              <w:t>700–1.200</w:t>
            </w:r>
          </w:p>
        </w:tc>
      </w:tr>
      <w:tr>
        <w:tc>
          <w:tcPr>
            <w:tcW w:type="dxa" w:w="7344"/>
            <w:vAlign w:val="center"/>
            <w:tcMar>
              <w:top w:w="100" w:type="dxa"/>
              <w:start w:w="120" w:type="dxa"/>
              <w:bottom w:w="100" w:type="dxa"/>
              <w:end w:w="120" w:type="dxa"/>
            </w:tcMar>
            <w:shd w:fill="F2F6F4"/>
          </w:tcPr>
          <w:p>
            <w:r/>
            <w:r>
              <w:rPr>
                <w:rFonts w:ascii="Aptos" w:hAnsi="Aptos"/>
                <w:b w:val="0"/>
                <w:color w:val="1D2B27"/>
                <w:sz w:val="17"/>
              </w:rPr>
              <w:t>Frontend e intranet administrativa</w:t>
            </w:r>
          </w:p>
        </w:tc>
        <w:tc>
          <w:tcPr>
            <w:tcW w:type="dxa" w:w="2736"/>
            <w:vAlign w:val="center"/>
            <w:tcMar>
              <w:top w:w="100" w:type="dxa"/>
              <w:start w:w="120" w:type="dxa"/>
              <w:bottom w:w="100" w:type="dxa"/>
              <w:end w:w="120" w:type="dxa"/>
            </w:tcMar>
            <w:shd w:fill="F2F6F4"/>
          </w:tcPr>
          <w:p>
            <w:r/>
            <w:r>
              <w:rPr>
                <w:rFonts w:ascii="Aptos" w:hAnsi="Aptos"/>
                <w:b w:val="0"/>
                <w:color w:val="1D2B27"/>
                <w:sz w:val="17"/>
              </w:rPr>
              <w:t>550–900</w:t>
            </w:r>
          </w:p>
        </w:tc>
      </w:tr>
      <w:tr>
        <w:tc>
          <w:tcPr>
            <w:tcW w:type="dxa" w:w="7344"/>
            <w:vAlign w:val="center"/>
            <w:tcMar>
              <w:top w:w="100" w:type="dxa"/>
              <w:start w:w="120" w:type="dxa"/>
              <w:bottom w:w="100" w:type="dxa"/>
              <w:end w:w="120" w:type="dxa"/>
            </w:tcMar>
            <w:shd w:fill="FFFFFF"/>
          </w:tcPr>
          <w:p>
            <w:r/>
            <w:r>
              <w:rPr>
                <w:rFonts w:ascii="Aptos" w:hAnsi="Aptos"/>
                <w:b w:val="0"/>
                <w:color w:val="1D2B27"/>
                <w:sz w:val="17"/>
              </w:rPr>
              <w:t>Migración, calidad de datos e integraciones</w:t>
            </w:r>
          </w:p>
        </w:tc>
        <w:tc>
          <w:tcPr>
            <w:tcW w:type="dxa" w:w="2736"/>
            <w:vAlign w:val="center"/>
            <w:tcMar>
              <w:top w:w="100" w:type="dxa"/>
              <w:start w:w="120" w:type="dxa"/>
              <w:bottom w:w="100" w:type="dxa"/>
              <w:end w:w="120" w:type="dxa"/>
            </w:tcMar>
            <w:shd w:fill="FFFFFF"/>
          </w:tcPr>
          <w:p>
            <w:r/>
            <w:r>
              <w:rPr>
                <w:rFonts w:ascii="Aptos" w:hAnsi="Aptos"/>
                <w:b w:val="0"/>
                <w:color w:val="1D2B27"/>
                <w:sz w:val="17"/>
              </w:rPr>
              <w:t>250–500</w:t>
            </w:r>
          </w:p>
        </w:tc>
      </w:tr>
      <w:tr>
        <w:tc>
          <w:tcPr>
            <w:tcW w:type="dxa" w:w="7344"/>
            <w:vAlign w:val="center"/>
            <w:tcMar>
              <w:top w:w="100" w:type="dxa"/>
              <w:start w:w="120" w:type="dxa"/>
              <w:bottom w:w="100" w:type="dxa"/>
              <w:end w:w="120" w:type="dxa"/>
            </w:tcMar>
            <w:shd w:fill="F2F6F4"/>
          </w:tcPr>
          <w:p>
            <w:r/>
            <w:r>
              <w:rPr>
                <w:rFonts w:ascii="Aptos" w:hAnsi="Aptos"/>
                <w:b w:val="0"/>
                <w:color w:val="1D2B27"/>
                <w:sz w:val="17"/>
              </w:rPr>
              <w:t>QA, automatización, rendimiento y seguridad</w:t>
            </w:r>
          </w:p>
        </w:tc>
        <w:tc>
          <w:tcPr>
            <w:tcW w:type="dxa" w:w="2736"/>
            <w:vAlign w:val="center"/>
            <w:tcMar>
              <w:top w:w="100" w:type="dxa"/>
              <w:start w:w="120" w:type="dxa"/>
              <w:bottom w:w="100" w:type="dxa"/>
              <w:end w:w="120" w:type="dxa"/>
            </w:tcMar>
            <w:shd w:fill="F2F6F4"/>
          </w:tcPr>
          <w:p>
            <w:r/>
            <w:r>
              <w:rPr>
                <w:rFonts w:ascii="Aptos" w:hAnsi="Aptos"/>
                <w:b w:val="0"/>
                <w:color w:val="1D2B27"/>
                <w:sz w:val="17"/>
              </w:rPr>
              <w:t>400–700</w:t>
            </w:r>
          </w:p>
        </w:tc>
      </w:tr>
      <w:tr>
        <w:tc>
          <w:tcPr>
            <w:tcW w:type="dxa" w:w="7344"/>
            <w:vAlign w:val="center"/>
            <w:tcMar>
              <w:top w:w="100" w:type="dxa"/>
              <w:start w:w="120" w:type="dxa"/>
              <w:bottom w:w="100" w:type="dxa"/>
              <w:end w:w="120" w:type="dxa"/>
            </w:tcMar>
            <w:shd w:fill="FFFFFF"/>
          </w:tcPr>
          <w:p>
            <w:r/>
            <w:r>
              <w:rPr>
                <w:rFonts w:ascii="Aptos" w:hAnsi="Aptos"/>
                <w:b w:val="0"/>
                <w:color w:val="1D2B27"/>
                <w:sz w:val="17"/>
              </w:rPr>
              <w:t>DevOps, observabilidad, respaldo y despliegue</w:t>
            </w:r>
          </w:p>
        </w:tc>
        <w:tc>
          <w:tcPr>
            <w:tcW w:type="dxa" w:w="2736"/>
            <w:vAlign w:val="center"/>
            <w:tcMar>
              <w:top w:w="100" w:type="dxa"/>
              <w:start w:w="120" w:type="dxa"/>
              <w:bottom w:w="100" w:type="dxa"/>
              <w:end w:w="120" w:type="dxa"/>
            </w:tcMar>
            <w:shd w:fill="FFFFFF"/>
          </w:tcPr>
          <w:p>
            <w:r/>
            <w:r>
              <w:rPr>
                <w:rFonts w:ascii="Aptos" w:hAnsi="Aptos"/>
                <w:b w:val="0"/>
                <w:color w:val="1D2B27"/>
                <w:sz w:val="17"/>
              </w:rPr>
              <w:t>180–320</w:t>
            </w:r>
          </w:p>
        </w:tc>
      </w:tr>
      <w:tr>
        <w:tc>
          <w:tcPr>
            <w:tcW w:type="dxa" w:w="7344"/>
            <w:vAlign w:val="center"/>
            <w:tcMar>
              <w:top w:w="100" w:type="dxa"/>
              <w:start w:w="120" w:type="dxa"/>
              <w:bottom w:w="100" w:type="dxa"/>
              <w:end w:w="120" w:type="dxa"/>
            </w:tcMar>
            <w:shd w:fill="F2F6F4"/>
          </w:tcPr>
          <w:p>
            <w:r/>
            <w:r>
              <w:rPr>
                <w:rFonts w:ascii="Aptos" w:hAnsi="Aptos"/>
                <w:b w:val="0"/>
                <w:color w:val="1D2B27"/>
                <w:sz w:val="17"/>
              </w:rPr>
              <w:t>Gestión, documentación y formación</w:t>
            </w:r>
          </w:p>
        </w:tc>
        <w:tc>
          <w:tcPr>
            <w:tcW w:type="dxa" w:w="2736"/>
            <w:vAlign w:val="center"/>
            <w:tcMar>
              <w:top w:w="100" w:type="dxa"/>
              <w:start w:w="120" w:type="dxa"/>
              <w:bottom w:w="100" w:type="dxa"/>
              <w:end w:w="120" w:type="dxa"/>
            </w:tcMar>
            <w:shd w:fill="F2F6F4"/>
          </w:tcPr>
          <w:p>
            <w:r/>
            <w:r>
              <w:rPr>
                <w:rFonts w:ascii="Aptos" w:hAnsi="Aptos"/>
                <w:b w:val="0"/>
                <w:color w:val="1D2B27"/>
                <w:sz w:val="17"/>
              </w:rPr>
              <w:t>200–350</w:t>
            </w:r>
          </w:p>
        </w:tc>
      </w:tr>
      <w:tr>
        <w:tc>
          <w:tcPr>
            <w:tcW w:type="dxa" w:w="7344"/>
            <w:vAlign w:val="center"/>
            <w:tcMar>
              <w:top w:w="100" w:type="dxa"/>
              <w:start w:w="120" w:type="dxa"/>
              <w:bottom w:w="100" w:type="dxa"/>
              <w:end w:w="120" w:type="dxa"/>
            </w:tcMar>
            <w:shd w:fill="FFFFFF"/>
          </w:tcPr>
          <w:p>
            <w:r/>
            <w:r>
              <w:rPr>
                <w:rFonts w:ascii="Aptos" w:hAnsi="Aptos"/>
                <w:b w:val="0"/>
                <w:color w:val="1D2B27"/>
                <w:sz w:val="17"/>
              </w:rPr>
              <w:t>Total de referencia</w:t>
            </w:r>
          </w:p>
        </w:tc>
        <w:tc>
          <w:tcPr>
            <w:tcW w:type="dxa" w:w="2736"/>
            <w:vAlign w:val="center"/>
            <w:tcMar>
              <w:top w:w="100" w:type="dxa"/>
              <w:start w:w="120" w:type="dxa"/>
              <w:bottom w:w="100" w:type="dxa"/>
              <w:end w:w="120" w:type="dxa"/>
            </w:tcMar>
            <w:shd w:fill="FFFFFF"/>
          </w:tcPr>
          <w:p>
            <w:r/>
            <w:r>
              <w:rPr>
                <w:rFonts w:ascii="Aptos" w:hAnsi="Aptos"/>
                <w:b w:val="0"/>
                <w:color w:val="1D2B27"/>
                <w:sz w:val="17"/>
              </w:rPr>
              <w:t>2.620–4.570</w:t>
            </w:r>
          </w:p>
        </w:tc>
      </w:tr>
    </w:tbl>
    <w:p>
      <w:pPr>
        <w:spacing w:after="0"/>
      </w:pPr>
    </w:p>
    <w:p>
      <w:r>
        <w:rPr>
          <w:lang w:val="es-CO"/>
        </w:rPr>
        <w:t>El total corresponde a un producto productivo con los primeros dominios, no a toda la visión de 10 años. Debe recalibrarse después de talleres y del diagnóstico del código actual. La reutilización del prototipo puede reducir parte del esfuerzo, especialmente en reglas ya validadas, pero no debe descontarse antes de medir cobertura, seguridad y mantenibilidad.</w:t>
      </w:r>
    </w:p>
    <w:p>
      <w:pPr>
        <w:pStyle w:val="Heading2"/>
        <w:keepNext/>
      </w:pPr>
      <w:r>
        <w:rPr>
          <w:lang w:val="es-CO"/>
        </w:rPr>
        <w:t>12.2 Conversión a presupuesto</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600"/>
            <w:vAlign w:val="center"/>
            <w:tcMar>
              <w:top w:w="100" w:type="dxa"/>
              <w:start w:w="120" w:type="dxa"/>
              <w:bottom w:w="100" w:type="dxa"/>
              <w:end w:w="120" w:type="dxa"/>
            </w:tcMar>
            <w:shd w:fill="2F5048"/>
          </w:tcPr>
          <w:p>
            <w:r/>
            <w:r>
              <w:rPr>
                <w:rFonts w:ascii="Aptos" w:hAnsi="Aptos"/>
                <w:b/>
                <w:color w:val="FFFFFF"/>
                <w:sz w:val="16"/>
              </w:rPr>
              <w:t>Tarifa combinada de planeación</w:t>
            </w:r>
          </w:p>
        </w:tc>
        <w:tc>
          <w:tcPr>
            <w:tcW w:type="dxa" w:w="3240"/>
            <w:vAlign w:val="center"/>
            <w:tcMar>
              <w:top w:w="100" w:type="dxa"/>
              <w:start w:w="120" w:type="dxa"/>
              <w:bottom w:w="100" w:type="dxa"/>
              <w:end w:w="120" w:type="dxa"/>
            </w:tcMar>
            <w:shd w:fill="2F5048"/>
          </w:tcPr>
          <w:p>
            <w:r/>
            <w:r>
              <w:rPr>
                <w:rFonts w:ascii="Aptos" w:hAnsi="Aptos"/>
                <w:b/>
                <w:color w:val="FFFFFF"/>
                <w:sz w:val="16"/>
              </w:rPr>
              <w:t>Costo para 2.620 h</w:t>
            </w:r>
          </w:p>
        </w:tc>
        <w:tc>
          <w:tcPr>
            <w:tcW w:type="dxa" w:w="3240"/>
            <w:vAlign w:val="center"/>
            <w:tcMar>
              <w:top w:w="100" w:type="dxa"/>
              <w:start w:w="120" w:type="dxa"/>
              <w:bottom w:w="100" w:type="dxa"/>
              <w:end w:w="120" w:type="dxa"/>
            </w:tcMar>
            <w:shd w:fill="2F5048"/>
          </w:tcPr>
          <w:p>
            <w:r/>
            <w:r>
              <w:rPr>
                <w:rFonts w:ascii="Aptos" w:hAnsi="Aptos"/>
                <w:b/>
                <w:color w:val="FFFFFF"/>
                <w:sz w:val="16"/>
              </w:rPr>
              <w:t>Costo para 4.570 h</w:t>
            </w:r>
          </w:p>
        </w:tc>
      </w:tr>
      <w:tr>
        <w:tc>
          <w:tcPr>
            <w:tcW w:type="dxa" w:w="3600"/>
            <w:vAlign w:val="center"/>
            <w:tcMar>
              <w:top w:w="100" w:type="dxa"/>
              <w:start w:w="120" w:type="dxa"/>
              <w:bottom w:w="100" w:type="dxa"/>
              <w:end w:w="120" w:type="dxa"/>
            </w:tcMar>
            <w:shd w:fill="FFFFFF"/>
          </w:tcPr>
          <w:p>
            <w:r/>
            <w:r>
              <w:rPr>
                <w:rFonts w:ascii="Aptos" w:hAnsi="Aptos"/>
                <w:b w:val="0"/>
                <w:color w:val="1D2B27"/>
                <w:sz w:val="17"/>
              </w:rPr>
              <w:t>COP 80.000/h</w:t>
            </w:r>
          </w:p>
        </w:tc>
        <w:tc>
          <w:tcPr>
            <w:tcW w:type="dxa" w:w="3240"/>
            <w:vAlign w:val="center"/>
            <w:tcMar>
              <w:top w:w="100" w:type="dxa"/>
              <w:start w:w="120" w:type="dxa"/>
              <w:bottom w:w="100" w:type="dxa"/>
              <w:end w:w="120" w:type="dxa"/>
            </w:tcMar>
            <w:shd w:fill="FFFFFF"/>
          </w:tcPr>
          <w:p>
            <w:r/>
            <w:r>
              <w:rPr>
                <w:rFonts w:ascii="Aptos" w:hAnsi="Aptos"/>
                <w:b w:val="0"/>
                <w:color w:val="1D2B27"/>
                <w:sz w:val="17"/>
              </w:rPr>
              <w:t>COP 209,6 millones</w:t>
            </w:r>
          </w:p>
        </w:tc>
        <w:tc>
          <w:tcPr>
            <w:tcW w:type="dxa" w:w="3240"/>
            <w:vAlign w:val="center"/>
            <w:tcMar>
              <w:top w:w="100" w:type="dxa"/>
              <w:start w:w="120" w:type="dxa"/>
              <w:bottom w:w="100" w:type="dxa"/>
              <w:end w:w="120" w:type="dxa"/>
            </w:tcMar>
            <w:shd w:fill="FFFFFF"/>
          </w:tcPr>
          <w:p>
            <w:r/>
            <w:r>
              <w:rPr>
                <w:rFonts w:ascii="Aptos" w:hAnsi="Aptos"/>
                <w:b w:val="0"/>
                <w:color w:val="1D2B27"/>
                <w:sz w:val="17"/>
              </w:rPr>
              <w:t>COP 365,6 millones</w:t>
            </w:r>
          </w:p>
        </w:tc>
      </w:tr>
      <w:tr>
        <w:tc>
          <w:tcPr>
            <w:tcW w:type="dxa" w:w="3600"/>
            <w:vAlign w:val="center"/>
            <w:tcMar>
              <w:top w:w="100" w:type="dxa"/>
              <w:start w:w="120" w:type="dxa"/>
              <w:bottom w:w="100" w:type="dxa"/>
              <w:end w:w="120" w:type="dxa"/>
            </w:tcMar>
            <w:shd w:fill="F2F6F4"/>
          </w:tcPr>
          <w:p>
            <w:r/>
            <w:r>
              <w:rPr>
                <w:rFonts w:ascii="Aptos" w:hAnsi="Aptos"/>
                <w:b w:val="0"/>
                <w:color w:val="1D2B27"/>
                <w:sz w:val="17"/>
              </w:rPr>
              <w:t>COP 140.000/h</w:t>
            </w:r>
          </w:p>
        </w:tc>
        <w:tc>
          <w:tcPr>
            <w:tcW w:type="dxa" w:w="3240"/>
            <w:vAlign w:val="center"/>
            <w:tcMar>
              <w:top w:w="100" w:type="dxa"/>
              <w:start w:w="120" w:type="dxa"/>
              <w:bottom w:w="100" w:type="dxa"/>
              <w:end w:w="120" w:type="dxa"/>
            </w:tcMar>
            <w:shd w:fill="F2F6F4"/>
          </w:tcPr>
          <w:p>
            <w:r/>
            <w:r>
              <w:rPr>
                <w:rFonts w:ascii="Aptos" w:hAnsi="Aptos"/>
                <w:b w:val="0"/>
                <w:color w:val="1D2B27"/>
                <w:sz w:val="17"/>
              </w:rPr>
              <w:t>COP 366,8 millones</w:t>
            </w:r>
          </w:p>
        </w:tc>
        <w:tc>
          <w:tcPr>
            <w:tcW w:type="dxa" w:w="3240"/>
            <w:vAlign w:val="center"/>
            <w:tcMar>
              <w:top w:w="100" w:type="dxa"/>
              <w:start w:w="120" w:type="dxa"/>
              <w:bottom w:w="100" w:type="dxa"/>
              <w:end w:w="120" w:type="dxa"/>
            </w:tcMar>
            <w:shd w:fill="F2F6F4"/>
          </w:tcPr>
          <w:p>
            <w:r/>
            <w:r>
              <w:rPr>
                <w:rFonts w:ascii="Aptos" w:hAnsi="Aptos"/>
                <w:b w:val="0"/>
                <w:color w:val="1D2B27"/>
                <w:sz w:val="17"/>
              </w:rPr>
              <w:t>COP 639,8 millones</w:t>
            </w:r>
          </w:p>
        </w:tc>
      </w:tr>
      <w:tr>
        <w:tc>
          <w:tcPr>
            <w:tcW w:type="dxa" w:w="3600"/>
            <w:vAlign w:val="center"/>
            <w:tcMar>
              <w:top w:w="100" w:type="dxa"/>
              <w:start w:w="120" w:type="dxa"/>
              <w:bottom w:w="100" w:type="dxa"/>
              <w:end w:w="120" w:type="dxa"/>
            </w:tcMar>
            <w:shd w:fill="FFFFFF"/>
          </w:tcPr>
          <w:p>
            <w:r/>
            <w:r>
              <w:rPr>
                <w:rFonts w:ascii="Aptos" w:hAnsi="Aptos"/>
                <w:b w:val="0"/>
                <w:color w:val="1D2B27"/>
                <w:sz w:val="17"/>
              </w:rPr>
              <w:t>COP 220.000/h</w:t>
            </w:r>
          </w:p>
        </w:tc>
        <w:tc>
          <w:tcPr>
            <w:tcW w:type="dxa" w:w="3240"/>
            <w:vAlign w:val="center"/>
            <w:tcMar>
              <w:top w:w="100" w:type="dxa"/>
              <w:start w:w="120" w:type="dxa"/>
              <w:bottom w:w="100" w:type="dxa"/>
              <w:end w:w="120" w:type="dxa"/>
            </w:tcMar>
            <w:shd w:fill="FFFFFF"/>
          </w:tcPr>
          <w:p>
            <w:r/>
            <w:r>
              <w:rPr>
                <w:rFonts w:ascii="Aptos" w:hAnsi="Aptos"/>
                <w:b w:val="0"/>
                <w:color w:val="1D2B27"/>
                <w:sz w:val="17"/>
              </w:rPr>
              <w:t>COP 576,4 millones</w:t>
            </w:r>
          </w:p>
        </w:tc>
        <w:tc>
          <w:tcPr>
            <w:tcW w:type="dxa" w:w="3240"/>
            <w:vAlign w:val="center"/>
            <w:tcMar>
              <w:top w:w="100" w:type="dxa"/>
              <w:start w:w="120" w:type="dxa"/>
              <w:bottom w:w="100" w:type="dxa"/>
              <w:end w:w="120" w:type="dxa"/>
            </w:tcMar>
            <w:shd w:fill="FFFFFF"/>
          </w:tcPr>
          <w:p>
            <w:r/>
            <w:r>
              <w:rPr>
                <w:rFonts w:ascii="Aptos" w:hAnsi="Aptos"/>
                <w:b w:val="0"/>
                <w:color w:val="1D2B27"/>
                <w:sz w:val="17"/>
              </w:rPr>
              <w:t>COP 1.005,4 millones</w:t>
            </w:r>
          </w:p>
        </w:tc>
      </w:tr>
    </w:tbl>
    <w:p>
      <w:pPr>
        <w:spacing w:after="0"/>
      </w:pPr>
    </w:p>
    <w:tbl>
      <w:tblPr>
        <w:tblW w:type="auto" w:w="0"/>
        <w:jc w:val="center"/>
        <w:tblLayout w:type="fixed"/>
        <w:tblLook w:firstColumn="1" w:firstRow="1" w:lastColumn="0" w:lastRow="0" w:noHBand="0" w:noVBand="1" w:val="04A0"/>
      </w:tblPr>
      <w:tblGrid>
        <w:gridCol w:w="173"/>
        <w:gridCol w:w="9864"/>
      </w:tblGrid>
      <w:tr>
        <w:tc>
          <w:tcPr>
            <w:tcW w:type="dxa" w:w="5083"/>
            <w:shd w:fill="E7A93B"/>
          </w:tcPr>
          <w:p/>
        </w:tc>
        <w:tc>
          <w:tcPr>
            <w:tcW w:type="dxa" w:w="5083"/>
            <w:shd w:fill="F2F6F4"/>
            <w:tcMar>
              <w:top w:w="150" w:type="dxa"/>
              <w:start w:w="180" w:type="dxa"/>
              <w:bottom w:w="150" w:type="dxa"/>
              <w:end w:w="180" w:type="dxa"/>
            </w:tcMar>
          </w:tcPr>
          <w:p>
            <w:r>
              <w:rPr>
                <w:b/>
                <w:color w:val="E7A93B"/>
                <w:sz w:val="20"/>
              </w:rPr>
              <w:t>NO ES UNA COTIZACIÓN</w:t>
              <w:br/>
            </w:r>
            <w:r>
              <w:rPr>
                <w:color w:val="1D2B27"/>
                <w:sz w:val="18"/>
              </w:rPr>
              <w:t>Las tarifas son variables de planeación para visualizar magnitud. Gaia debe sustituirlas por costo laboral interno o propuestas reales, incluyendo prestaciones, coordinación, licencias de herramientas auxiliares, impuestos y contingencia.</w:t>
            </w:r>
          </w:p>
        </w:tc>
      </w:tr>
    </w:tbl>
    <w:p>
      <w:pPr>
        <w:spacing w:after="0"/>
      </w:pPr>
    </w:p>
    <w:p>
      <w:pPr>
        <w:pStyle w:val="Heading2"/>
        <w:keepNext/>
      </w:pPr>
      <w:r>
        <w:rPr>
          <w:lang w:val="es-CO"/>
        </w:rPr>
        <w:t>12.3 Operación anual</w:t>
      </w:r>
    </w:p>
    <w:p>
      <w:r>
        <w:rPr>
          <w:lang w:val="es-CO"/>
        </w:rPr>
        <w:t>Después de la salida, se proyectan 600–1.400 horas/año para soporte, evolución menor, seguridad, actualización, QA y DevOps, según criticidad y número de módulos. Además de incidentes, este esfuerzo incluye mantenimiento preventivo. Una persona aislada sin respaldo institucional crea riesgo de continuidad y conocimiento.</w:t>
      </w:r>
    </w:p>
    <w:p>
      <w:pPr>
        <w:pStyle w:val="Heading1"/>
        <w:keepNext/>
      </w:pPr>
      <w:r>
        <w:rPr>
          <w:lang w:val="es-CO"/>
        </w:rPr>
        <w:t>13. Infraestructura y costo total de propiedad</w:t>
      </w:r>
    </w:p>
    <w:p>
      <w:pPr>
        <w:pStyle w:val="Heading2"/>
        <w:keepNext/>
      </w:pPr>
      <w:r>
        <w:rPr>
          <w:lang w:val="es-CO"/>
        </w:rPr>
        <w:t>13.1 Rangos mensuales de infraestructura</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tcMar>
              <w:top w:w="100" w:type="dxa"/>
              <w:start w:w="120" w:type="dxa"/>
              <w:bottom w:w="100" w:type="dxa"/>
              <w:end w:w="120" w:type="dxa"/>
            </w:tcMar>
            <w:shd w:fill="2F5048"/>
          </w:tcPr>
          <w:p>
            <w:r/>
            <w:r>
              <w:rPr>
                <w:rFonts w:ascii="Aptos" w:hAnsi="Aptos"/>
                <w:b/>
                <w:color w:val="FFFFFF"/>
                <w:sz w:val="16"/>
              </w:rPr>
              <w:t>Escenario</w:t>
            </w:r>
          </w:p>
        </w:tc>
        <w:tc>
          <w:tcPr>
            <w:tcW w:type="dxa" w:w="5256"/>
            <w:vAlign w:val="center"/>
            <w:tcMar>
              <w:top w:w="100" w:type="dxa"/>
              <w:start w:w="120" w:type="dxa"/>
              <w:bottom w:w="100" w:type="dxa"/>
              <w:end w:w="120" w:type="dxa"/>
            </w:tcMar>
            <w:shd w:fill="2F5048"/>
          </w:tcPr>
          <w:p>
            <w:r/>
            <w:r>
              <w:rPr>
                <w:rFonts w:ascii="Aptos" w:hAnsi="Aptos"/>
                <w:b/>
                <w:color w:val="FFFFFF"/>
                <w:sz w:val="16"/>
              </w:rPr>
              <w:t>Composición</w:t>
            </w:r>
          </w:p>
        </w:tc>
        <w:tc>
          <w:tcPr>
            <w:tcW w:type="dxa" w:w="2664"/>
            <w:vAlign w:val="center"/>
            <w:tcMar>
              <w:top w:w="100" w:type="dxa"/>
              <w:start w:w="120" w:type="dxa"/>
              <w:bottom w:w="100" w:type="dxa"/>
              <w:end w:w="120" w:type="dxa"/>
            </w:tcMar>
            <w:shd w:fill="2F5048"/>
          </w:tcPr>
          <w:p>
            <w:r/>
            <w:r>
              <w:rPr>
                <w:rFonts w:ascii="Aptos" w:hAnsi="Aptos"/>
                <w:b/>
                <w:color w:val="FFFFFF"/>
                <w:sz w:val="16"/>
              </w:rPr>
              <w:t>Rango mensual de planeación</w:t>
            </w:r>
          </w:p>
        </w:tc>
      </w:tr>
      <w:tr>
        <w:tc>
          <w:tcPr>
            <w:tcW w:type="dxa" w:w="2160"/>
            <w:vAlign w:val="center"/>
            <w:tcMar>
              <w:top w:w="100" w:type="dxa"/>
              <w:start w:w="120" w:type="dxa"/>
              <w:bottom w:w="100" w:type="dxa"/>
              <w:end w:w="120" w:type="dxa"/>
            </w:tcMar>
            <w:shd w:fill="FFFFFF"/>
          </w:tcPr>
          <w:p>
            <w:r/>
            <w:r>
              <w:rPr>
                <w:rFonts w:ascii="Aptos" w:hAnsi="Aptos"/>
                <w:b w:val="0"/>
                <w:color w:val="1D2B27"/>
                <w:sz w:val="16"/>
              </w:rPr>
              <w:t>Piloto interno</w:t>
            </w:r>
          </w:p>
        </w:tc>
        <w:tc>
          <w:tcPr>
            <w:tcW w:type="dxa" w:w="5256"/>
            <w:vAlign w:val="center"/>
            <w:tcMar>
              <w:top w:w="100" w:type="dxa"/>
              <w:start w:w="120" w:type="dxa"/>
              <w:bottom w:w="100" w:type="dxa"/>
              <w:end w:w="120" w:type="dxa"/>
            </w:tcMar>
            <w:shd w:fill="FFFFFF"/>
          </w:tcPr>
          <w:p>
            <w:r/>
            <w:r>
              <w:rPr>
                <w:rFonts w:ascii="Aptos" w:hAnsi="Aptos"/>
                <w:b w:val="0"/>
                <w:color w:val="1D2B27"/>
                <w:sz w:val="16"/>
              </w:rPr>
              <w:t>Servidor existente, copia externa básica, sin alta disponibilidad</w:t>
            </w:r>
          </w:p>
        </w:tc>
        <w:tc>
          <w:tcPr>
            <w:tcW w:type="dxa" w:w="2664"/>
            <w:vAlign w:val="center"/>
            <w:tcMar>
              <w:top w:w="100" w:type="dxa"/>
              <w:start w:w="120" w:type="dxa"/>
              <w:bottom w:w="100" w:type="dxa"/>
              <w:end w:w="120" w:type="dxa"/>
            </w:tcMar>
            <w:shd w:fill="FFFFFF"/>
          </w:tcPr>
          <w:p>
            <w:r/>
            <w:r>
              <w:rPr>
                <w:rFonts w:ascii="Aptos" w:hAnsi="Aptos"/>
                <w:b w:val="0"/>
                <w:color w:val="1D2B27"/>
                <w:sz w:val="16"/>
              </w:rPr>
              <w:t>Costo incremental bajo; medir energía, respaldo y horas TI</w:t>
            </w:r>
          </w:p>
        </w:tc>
      </w:tr>
      <w:tr>
        <w:tc>
          <w:tcPr>
            <w:tcW w:type="dxa" w:w="2160"/>
            <w:vAlign w:val="center"/>
            <w:tcMar>
              <w:top w:w="100" w:type="dxa"/>
              <w:start w:w="120" w:type="dxa"/>
              <w:bottom w:w="100" w:type="dxa"/>
              <w:end w:w="120" w:type="dxa"/>
            </w:tcMar>
            <w:shd w:fill="F2F6F4"/>
          </w:tcPr>
          <w:p>
            <w:r/>
            <w:r>
              <w:rPr>
                <w:rFonts w:ascii="Aptos" w:hAnsi="Aptos"/>
                <w:b w:val="0"/>
                <w:color w:val="1D2B27"/>
                <w:sz w:val="16"/>
              </w:rPr>
              <w:t>Producción económica</w:t>
            </w:r>
          </w:p>
        </w:tc>
        <w:tc>
          <w:tcPr>
            <w:tcW w:type="dxa" w:w="5256"/>
            <w:vAlign w:val="center"/>
            <w:tcMar>
              <w:top w:w="100" w:type="dxa"/>
              <w:start w:w="120" w:type="dxa"/>
              <w:bottom w:w="100" w:type="dxa"/>
              <w:end w:w="120" w:type="dxa"/>
            </w:tcMar>
            <w:shd w:fill="F2F6F4"/>
          </w:tcPr>
          <w:p>
            <w:r/>
            <w:r>
              <w:rPr>
                <w:rFonts w:ascii="Aptos" w:hAnsi="Aptos"/>
                <w:b w:val="0"/>
                <w:color w:val="1D2B27"/>
                <w:sz w:val="16"/>
              </w:rPr>
              <w:t>VPS/servidor Linux, PostgreSQL operado, objetos, copias y monitoreo</w:t>
            </w:r>
          </w:p>
        </w:tc>
        <w:tc>
          <w:tcPr>
            <w:tcW w:type="dxa" w:w="2664"/>
            <w:vAlign w:val="center"/>
            <w:tcMar>
              <w:top w:w="100" w:type="dxa"/>
              <w:start w:w="120" w:type="dxa"/>
              <w:bottom w:w="100" w:type="dxa"/>
              <w:end w:w="120" w:type="dxa"/>
            </w:tcMar>
            <w:shd w:fill="F2F6F4"/>
          </w:tcPr>
          <w:p>
            <w:r/>
            <w:r>
              <w:rPr>
                <w:rFonts w:ascii="Aptos" w:hAnsi="Aptos"/>
                <w:b w:val="0"/>
                <w:color w:val="1D2B27"/>
                <w:sz w:val="16"/>
              </w:rPr>
              <w:t>USD 80–220/mes</w:t>
            </w:r>
          </w:p>
        </w:tc>
      </w:tr>
      <w:tr>
        <w:tc>
          <w:tcPr>
            <w:tcW w:type="dxa" w:w="2160"/>
            <w:vAlign w:val="center"/>
            <w:tcMar>
              <w:top w:w="100" w:type="dxa"/>
              <w:start w:w="120" w:type="dxa"/>
              <w:bottom w:w="100" w:type="dxa"/>
              <w:end w:w="120" w:type="dxa"/>
            </w:tcMar>
            <w:shd w:fill="FFFFFF"/>
          </w:tcPr>
          <w:p>
            <w:r/>
            <w:r>
              <w:rPr>
                <w:rFonts w:ascii="Aptos" w:hAnsi="Aptos"/>
                <w:b w:val="0"/>
                <w:color w:val="1D2B27"/>
                <w:sz w:val="16"/>
              </w:rPr>
              <w:t>Producción administrada</w:t>
            </w:r>
          </w:p>
        </w:tc>
        <w:tc>
          <w:tcPr>
            <w:tcW w:type="dxa" w:w="5256"/>
            <w:vAlign w:val="center"/>
            <w:tcMar>
              <w:top w:w="100" w:type="dxa"/>
              <w:start w:w="120" w:type="dxa"/>
              <w:bottom w:w="100" w:type="dxa"/>
              <w:end w:w="120" w:type="dxa"/>
            </w:tcMar>
            <w:shd w:fill="FFFFFF"/>
          </w:tcPr>
          <w:p>
            <w:r/>
            <w:r>
              <w:rPr>
                <w:rFonts w:ascii="Aptos" w:hAnsi="Aptos"/>
                <w:b w:val="0"/>
                <w:color w:val="1D2B27"/>
                <w:sz w:val="16"/>
              </w:rPr>
              <w:t>Aplicación + PostgreSQL administrado + objetos + monitoreo</w:t>
            </w:r>
          </w:p>
        </w:tc>
        <w:tc>
          <w:tcPr>
            <w:tcW w:type="dxa" w:w="2664"/>
            <w:vAlign w:val="center"/>
            <w:tcMar>
              <w:top w:w="100" w:type="dxa"/>
              <w:start w:w="120" w:type="dxa"/>
              <w:bottom w:w="100" w:type="dxa"/>
              <w:end w:w="120" w:type="dxa"/>
            </w:tcMar>
            <w:shd w:fill="FFFFFF"/>
          </w:tcPr>
          <w:p>
            <w:r/>
            <w:r>
              <w:rPr>
                <w:rFonts w:ascii="Aptos" w:hAnsi="Aptos"/>
                <w:b w:val="0"/>
                <w:color w:val="1D2B27"/>
                <w:sz w:val="16"/>
              </w:rPr>
              <w:t>USD 180–450/mes</w:t>
            </w:r>
          </w:p>
        </w:tc>
      </w:tr>
      <w:tr>
        <w:tc>
          <w:tcPr>
            <w:tcW w:type="dxa" w:w="2160"/>
            <w:vAlign w:val="center"/>
            <w:tcMar>
              <w:top w:w="100" w:type="dxa"/>
              <w:start w:w="120" w:type="dxa"/>
              <w:bottom w:w="100" w:type="dxa"/>
              <w:end w:w="120" w:type="dxa"/>
            </w:tcMar>
            <w:shd w:fill="F2F6F4"/>
          </w:tcPr>
          <w:p>
            <w:r/>
            <w:r>
              <w:rPr>
                <w:rFonts w:ascii="Aptos" w:hAnsi="Aptos"/>
                <w:b w:val="0"/>
                <w:color w:val="1D2B27"/>
                <w:sz w:val="16"/>
              </w:rPr>
              <w:t>Alta disponibilidad</w:t>
            </w:r>
          </w:p>
        </w:tc>
        <w:tc>
          <w:tcPr>
            <w:tcW w:type="dxa" w:w="5256"/>
            <w:vAlign w:val="center"/>
            <w:tcMar>
              <w:top w:w="100" w:type="dxa"/>
              <w:start w:w="120" w:type="dxa"/>
              <w:bottom w:w="100" w:type="dxa"/>
              <w:end w:w="120" w:type="dxa"/>
            </w:tcMar>
            <w:shd w:fill="F2F6F4"/>
          </w:tcPr>
          <w:p>
            <w:r/>
            <w:r>
              <w:rPr>
                <w:rFonts w:ascii="Aptos" w:hAnsi="Aptos"/>
                <w:b w:val="0"/>
                <w:color w:val="1D2B27"/>
                <w:sz w:val="16"/>
              </w:rPr>
              <w:t>Múltiples instancias, BD HA, WAF/balanceo, respaldo reforzado</w:t>
            </w:r>
          </w:p>
        </w:tc>
        <w:tc>
          <w:tcPr>
            <w:tcW w:type="dxa" w:w="2664"/>
            <w:vAlign w:val="center"/>
            <w:tcMar>
              <w:top w:w="100" w:type="dxa"/>
              <w:start w:w="120" w:type="dxa"/>
              <w:bottom w:w="100" w:type="dxa"/>
              <w:end w:w="120" w:type="dxa"/>
            </w:tcMar>
            <w:shd w:fill="F2F6F4"/>
          </w:tcPr>
          <w:p>
            <w:r/>
            <w:r>
              <w:rPr>
                <w:rFonts w:ascii="Aptos" w:hAnsi="Aptos"/>
                <w:b w:val="0"/>
                <w:color w:val="1D2B27"/>
                <w:sz w:val="16"/>
              </w:rPr>
              <w:t>USD 450–1.000+/mes</w:t>
            </w:r>
          </w:p>
        </w:tc>
      </w:tr>
    </w:tbl>
    <w:p>
      <w:pPr>
        <w:spacing w:after="0"/>
      </w:pPr>
    </w:p>
    <w:p>
      <w:r>
        <w:rPr>
          <w:lang w:val="es-CO"/>
        </w:rPr>
        <w:t>Los rangos son presupuestos de arquitectura, no precios garantizados. Región, moneda, impuestos, soporte, tráfico, retención y descuentos cambian el valor. Azure publica precios variables por acuerdo y consumo; la cifra final debe calcularse con región, SKU y contrato de Gaia.</w:t>
      </w:r>
    </w:p>
    <w:p>
      <w:pPr>
        <w:pStyle w:val="Heading2"/>
        <w:keepNext/>
      </w:pPr>
      <w:r>
        <w:rPr>
          <w:lang w:val="es-CO"/>
        </w:rPr>
        <w:t>13.2 Modelo de TCO a cinco años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92"/>
            <w:vAlign w:val="center"/>
            <w:tcMar>
              <w:top w:w="100" w:type="dxa"/>
              <w:start w:w="120" w:type="dxa"/>
              <w:bottom w:w="100" w:type="dxa"/>
              <w:end w:w="120" w:type="dxa"/>
            </w:tcMar>
            <w:shd w:fill="2F5048"/>
          </w:tcPr>
          <w:p>
            <w:r/>
            <w:r>
              <w:rPr>
                <w:rFonts w:ascii="Aptos" w:hAnsi="Aptos"/>
                <w:b/>
                <w:color w:val="FFFFFF"/>
                <w:sz w:val="16"/>
              </w:rPr>
              <w:t>Componente</w:t>
            </w:r>
          </w:p>
        </w:tc>
        <w:tc>
          <w:tcPr>
            <w:tcW w:type="dxa" w:w="7488"/>
            <w:vAlign w:val="center"/>
            <w:tcMar>
              <w:top w:w="100" w:type="dxa"/>
              <w:start w:w="120" w:type="dxa"/>
              <w:bottom w:w="100" w:type="dxa"/>
              <w:end w:w="120" w:type="dxa"/>
            </w:tcMar>
            <w:shd w:fill="2F5048"/>
          </w:tcPr>
          <w:p>
            <w:r/>
            <w:r>
              <w:rPr>
                <w:rFonts w:ascii="Aptos" w:hAnsi="Aptos"/>
                <w:b/>
                <w:color w:val="FFFFFF"/>
                <w:sz w:val="16"/>
              </w:rPr>
              <w:t>Fórmula</w:t>
            </w:r>
          </w:p>
        </w:tc>
      </w:tr>
      <w:tr>
        <w:tc>
          <w:tcPr>
            <w:tcW w:type="dxa" w:w="2592"/>
            <w:vAlign w:val="center"/>
            <w:tcMar>
              <w:top w:w="100" w:type="dxa"/>
              <w:start w:w="120" w:type="dxa"/>
              <w:bottom w:w="100" w:type="dxa"/>
              <w:end w:w="120" w:type="dxa"/>
            </w:tcMar>
            <w:shd w:fill="FFFFFF"/>
          </w:tcPr>
          <w:p>
            <w:r/>
            <w:r>
              <w:rPr>
                <w:rFonts w:ascii="Aptos" w:hAnsi="Aptos"/>
                <w:b w:val="0"/>
                <w:color w:val="1D2B27"/>
                <w:sz w:val="17"/>
              </w:rPr>
              <w:t>Construcción</w:t>
            </w:r>
          </w:p>
        </w:tc>
        <w:tc>
          <w:tcPr>
            <w:tcW w:type="dxa" w:w="7488"/>
            <w:vAlign w:val="center"/>
            <w:tcMar>
              <w:top w:w="100" w:type="dxa"/>
              <w:start w:w="120" w:type="dxa"/>
              <w:bottom w:w="100" w:type="dxa"/>
              <w:end w:w="120" w:type="dxa"/>
            </w:tcMar>
            <w:shd w:fill="FFFFFF"/>
          </w:tcPr>
          <w:p>
            <w:r/>
            <w:r>
              <w:rPr>
                <w:rFonts w:ascii="Aptos" w:hAnsi="Aptos"/>
                <w:b w:val="0"/>
                <w:color w:val="1D2B27"/>
                <w:sz w:val="17"/>
              </w:rPr>
              <w:t>Horas iniciales × costo hora combinado</w:t>
            </w:r>
          </w:p>
        </w:tc>
      </w:tr>
      <w:tr>
        <w:tc>
          <w:tcPr>
            <w:tcW w:type="dxa" w:w="2592"/>
            <w:vAlign w:val="center"/>
            <w:tcMar>
              <w:top w:w="100" w:type="dxa"/>
              <w:start w:w="120" w:type="dxa"/>
              <w:bottom w:w="100" w:type="dxa"/>
              <w:end w:w="120" w:type="dxa"/>
            </w:tcMar>
            <w:shd w:fill="F2F6F4"/>
          </w:tcPr>
          <w:p>
            <w:r/>
            <w:r>
              <w:rPr>
                <w:rFonts w:ascii="Aptos" w:hAnsi="Aptos"/>
                <w:b w:val="0"/>
                <w:color w:val="1D2B27"/>
                <w:sz w:val="17"/>
              </w:rPr>
              <w:t>Mantenimiento</w:t>
            </w:r>
          </w:p>
        </w:tc>
        <w:tc>
          <w:tcPr>
            <w:tcW w:type="dxa" w:w="7488"/>
            <w:vAlign w:val="center"/>
            <w:tcMar>
              <w:top w:w="100" w:type="dxa"/>
              <w:start w:w="120" w:type="dxa"/>
              <w:bottom w:w="100" w:type="dxa"/>
              <w:end w:w="120" w:type="dxa"/>
            </w:tcMar>
            <w:shd w:fill="F2F6F4"/>
          </w:tcPr>
          <w:p>
            <w:r/>
            <w:r>
              <w:rPr>
                <w:rFonts w:ascii="Aptos" w:hAnsi="Aptos"/>
                <w:b w:val="0"/>
                <w:color w:val="1D2B27"/>
                <w:sz w:val="17"/>
              </w:rPr>
              <w:t>Horas/año × costo hora × años</w:t>
            </w:r>
          </w:p>
        </w:tc>
      </w:tr>
      <w:tr>
        <w:tc>
          <w:tcPr>
            <w:tcW w:type="dxa" w:w="2592"/>
            <w:vAlign w:val="center"/>
            <w:tcMar>
              <w:top w:w="100" w:type="dxa"/>
              <w:start w:w="120" w:type="dxa"/>
              <w:bottom w:w="100" w:type="dxa"/>
              <w:end w:w="120" w:type="dxa"/>
            </w:tcMar>
            <w:shd w:fill="FFFFFF"/>
          </w:tcPr>
          <w:p>
            <w:r/>
            <w:r>
              <w:rPr>
                <w:rFonts w:ascii="Aptos" w:hAnsi="Aptos"/>
                <w:b w:val="0"/>
                <w:color w:val="1D2B27"/>
                <w:sz w:val="17"/>
              </w:rPr>
              <w:t>Infraestructura</w:t>
            </w:r>
          </w:p>
        </w:tc>
        <w:tc>
          <w:tcPr>
            <w:tcW w:type="dxa" w:w="7488"/>
            <w:vAlign w:val="center"/>
            <w:tcMar>
              <w:top w:w="100" w:type="dxa"/>
              <w:start w:w="120" w:type="dxa"/>
              <w:bottom w:w="100" w:type="dxa"/>
              <w:end w:w="120" w:type="dxa"/>
            </w:tcMar>
            <w:shd w:fill="FFFFFF"/>
          </w:tcPr>
          <w:p>
            <w:r/>
            <w:r>
              <w:rPr>
                <w:rFonts w:ascii="Aptos" w:hAnsi="Aptos"/>
                <w:b w:val="0"/>
                <w:color w:val="1D2B27"/>
                <w:sz w:val="17"/>
              </w:rPr>
              <w:t>Costo mensual × 60 + crecimiento y transferencia</w:t>
            </w:r>
          </w:p>
        </w:tc>
      </w:tr>
      <w:tr>
        <w:tc>
          <w:tcPr>
            <w:tcW w:type="dxa" w:w="2592"/>
            <w:vAlign w:val="center"/>
            <w:tcMar>
              <w:top w:w="100" w:type="dxa"/>
              <w:start w:w="120" w:type="dxa"/>
              <w:bottom w:w="100" w:type="dxa"/>
              <w:end w:w="120" w:type="dxa"/>
            </w:tcMar>
            <w:shd w:fill="F2F6F4"/>
          </w:tcPr>
          <w:p>
            <w:r/>
            <w:r>
              <w:rPr>
                <w:rFonts w:ascii="Aptos" w:hAnsi="Aptos"/>
                <w:b w:val="0"/>
                <w:color w:val="1D2B27"/>
                <w:sz w:val="17"/>
              </w:rPr>
              <w:t>Continuidad</w:t>
            </w:r>
          </w:p>
        </w:tc>
        <w:tc>
          <w:tcPr>
            <w:tcW w:type="dxa" w:w="7488"/>
            <w:vAlign w:val="center"/>
            <w:tcMar>
              <w:top w:w="100" w:type="dxa"/>
              <w:start w:w="120" w:type="dxa"/>
              <w:bottom w:w="100" w:type="dxa"/>
              <w:end w:w="120" w:type="dxa"/>
            </w:tcMar>
            <w:shd w:fill="F2F6F4"/>
          </w:tcPr>
          <w:p>
            <w:r/>
            <w:r>
              <w:rPr>
                <w:rFonts w:ascii="Aptos" w:hAnsi="Aptos"/>
                <w:b w:val="0"/>
                <w:color w:val="1D2B27"/>
                <w:sz w:val="17"/>
              </w:rPr>
              <w:t>Copias, almacenamiento aislado, pruebas y contingencia</w:t>
            </w:r>
          </w:p>
        </w:tc>
      </w:tr>
      <w:tr>
        <w:tc>
          <w:tcPr>
            <w:tcW w:type="dxa" w:w="2592"/>
            <w:vAlign w:val="center"/>
            <w:tcMar>
              <w:top w:w="100" w:type="dxa"/>
              <w:start w:w="120" w:type="dxa"/>
              <w:bottom w:w="100" w:type="dxa"/>
              <w:end w:w="120" w:type="dxa"/>
            </w:tcMar>
            <w:shd w:fill="FFFFFF"/>
          </w:tcPr>
          <w:p>
            <w:r/>
            <w:r>
              <w:rPr>
                <w:rFonts w:ascii="Aptos" w:hAnsi="Aptos"/>
                <w:b w:val="0"/>
                <w:color w:val="1D2B27"/>
                <w:sz w:val="17"/>
              </w:rPr>
              <w:t>Seguridad</w:t>
            </w:r>
          </w:p>
        </w:tc>
        <w:tc>
          <w:tcPr>
            <w:tcW w:type="dxa" w:w="7488"/>
            <w:vAlign w:val="center"/>
            <w:tcMar>
              <w:top w:w="100" w:type="dxa"/>
              <w:start w:w="120" w:type="dxa"/>
              <w:bottom w:w="100" w:type="dxa"/>
              <w:end w:w="120" w:type="dxa"/>
            </w:tcMar>
            <w:shd w:fill="FFFFFF"/>
          </w:tcPr>
          <w:p>
            <w:r/>
            <w:r>
              <w:rPr>
                <w:rFonts w:ascii="Aptos" w:hAnsi="Aptos"/>
                <w:b w:val="0"/>
                <w:color w:val="1D2B27"/>
                <w:sz w:val="17"/>
              </w:rPr>
              <w:t>Revisiones, herramientas, remediación y respuesta a incidentes</w:t>
            </w:r>
          </w:p>
        </w:tc>
      </w:tr>
      <w:tr>
        <w:tc>
          <w:tcPr>
            <w:tcW w:type="dxa" w:w="2592"/>
            <w:vAlign w:val="center"/>
            <w:tcMar>
              <w:top w:w="100" w:type="dxa"/>
              <w:start w:w="120" w:type="dxa"/>
              <w:bottom w:w="100" w:type="dxa"/>
              <w:end w:w="120" w:type="dxa"/>
            </w:tcMar>
            <w:shd w:fill="F2F6F4"/>
          </w:tcPr>
          <w:p>
            <w:r/>
            <w:r>
              <w:rPr>
                <w:rFonts w:ascii="Aptos" w:hAnsi="Aptos"/>
                <w:b w:val="0"/>
                <w:color w:val="1D2B27"/>
                <w:sz w:val="17"/>
              </w:rPr>
              <w:t>Cambio organizacional</w:t>
            </w:r>
          </w:p>
        </w:tc>
        <w:tc>
          <w:tcPr>
            <w:tcW w:type="dxa" w:w="7488"/>
            <w:vAlign w:val="center"/>
            <w:tcMar>
              <w:top w:w="100" w:type="dxa"/>
              <w:start w:w="120" w:type="dxa"/>
              <w:bottom w:w="100" w:type="dxa"/>
              <w:end w:w="120" w:type="dxa"/>
            </w:tcMar>
            <w:shd w:fill="F2F6F4"/>
          </w:tcPr>
          <w:p>
            <w:r/>
            <w:r>
              <w:rPr>
                <w:rFonts w:ascii="Aptos" w:hAnsi="Aptos"/>
                <w:b w:val="0"/>
                <w:color w:val="1D2B27"/>
                <w:sz w:val="17"/>
              </w:rPr>
              <w:t>Formación, soporte a usuarios, documentación y gestión de datos</w:t>
            </w:r>
          </w:p>
        </w:tc>
      </w:tr>
    </w:tbl>
    <w:p>
      <w:pPr>
        <w:spacing w:after="0"/>
      </w:pPr>
    </w:p>
    <w:p>
      <w:pPr>
        <w:pStyle w:val="Heading2"/>
        <w:keepNext/>
      </w:pPr>
      <w:r>
        <w:rPr>
          <w:lang w:val="es-CO"/>
        </w:rPr>
        <w:t>13.3 Ejemplo base ilustrativo</w:t>
      </w:r>
    </w:p>
    <w:p>
      <w:r>
        <w:rPr>
          <w:lang w:val="es-CO"/>
        </w:rPr>
        <w:t>Con 3.500 horas de construcción a COP 140.000/h, el desarrollo inicial sería COP 490 millones. Con 900 horas/año de mantenimiento durante cuatro años, serían COP 504 millones adicionales. Una infraestructura media de USD 300/mes representaría USD 18.000 en cinco años, antes de crecimiento, impuestos y soporte. El ejemplo demuestra que el trabajo humano domina el TCO; no constituye una oferta.</w:t>
      </w:r>
    </w:p>
    <w:tbl>
      <w:tblPr>
        <w:tblW w:type="auto" w:w="0"/>
        <w:jc w:val="center"/>
        <w:tblLayout w:type="fixed"/>
        <w:tblLook w:firstColumn="1" w:firstRow="1" w:lastColumn="0" w:lastRow="0" w:noHBand="0" w:noVBand="1" w:val="04A0"/>
      </w:tblPr>
      <w:tblGrid>
        <w:gridCol w:w="173"/>
        <w:gridCol w:w="9864"/>
      </w:tblGrid>
      <w:tr>
        <w:tc>
          <w:tcPr>
            <w:tcW w:type="dxa" w:w="5083"/>
            <w:shd w:fill="A3384D"/>
          </w:tcPr>
          <w:p/>
        </w:tc>
        <w:tc>
          <w:tcPr>
            <w:tcW w:type="dxa" w:w="5083"/>
            <w:shd w:fill="F2F6F4"/>
            <w:tcMar>
              <w:top w:w="150" w:type="dxa"/>
              <w:start w:w="180" w:type="dxa"/>
              <w:bottom w:w="150" w:type="dxa"/>
              <w:end w:w="180" w:type="dxa"/>
            </w:tcMar>
          </w:tcPr>
          <w:p>
            <w:r>
              <w:rPr>
                <w:b/>
                <w:color w:val="A3384D"/>
                <w:sz w:val="20"/>
              </w:rPr>
              <w:t>LECTURA CORRECTA</w:t>
              <w:br/>
            </w:r>
            <w:r>
              <w:rPr>
                <w:color w:val="1D2B27"/>
                <w:sz w:val="18"/>
              </w:rPr>
              <w:t>Una aplicación propia no es “gratis”. Su ventaja económica es evitar que el costo crezca automáticamente por cada usuario o aplicación y poder optimizar infraestructura; a cambio, Gaia asume propiedad técnica, mantenimiento y riesgo operativo.</w:t>
            </w:r>
          </w:p>
        </w:tc>
      </w:tr>
    </w:tbl>
    <w:p>
      <w:pPr>
        <w:spacing w:after="0"/>
      </w:pPr>
    </w:p>
    <w:p>
      <w:r>
        <w:rPr>
          <w:lang w:val="es-CO"/>
        </w:rPr>
        <w:br w:type="page"/>
      </w:r>
    </w:p>
    <w:p>
      <w:pPr>
        <w:pStyle w:val="Heading1"/>
        <w:keepNext/>
      </w:pPr>
      <w:r>
        <w:rPr>
          <w:lang w:val="es-CO"/>
        </w:rPr>
        <w:t>14. Riesgos y mitigaciones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76"/>
            <w:vAlign w:val="center"/>
            <w:tcMar>
              <w:top w:w="100" w:type="dxa"/>
              <w:start w:w="120" w:type="dxa"/>
              <w:bottom w:w="100" w:type="dxa"/>
              <w:end w:w="120" w:type="dxa"/>
            </w:tcMar>
            <w:shd w:fill="2F5048"/>
          </w:tcPr>
          <w:p>
            <w:r/>
            <w:r>
              <w:rPr>
                <w:rFonts w:ascii="Aptos" w:hAnsi="Aptos"/>
                <w:b/>
                <w:color w:val="FFFFFF"/>
                <w:sz w:val="16"/>
              </w:rPr>
              <w:t>Riesgo</w:t>
            </w:r>
          </w:p>
        </w:tc>
        <w:tc>
          <w:tcPr>
            <w:tcW w:type="dxa" w:w="3096"/>
            <w:vAlign w:val="center"/>
            <w:tcMar>
              <w:top w:w="100" w:type="dxa"/>
              <w:start w:w="120" w:type="dxa"/>
              <w:bottom w:w="100" w:type="dxa"/>
              <w:end w:w="120" w:type="dxa"/>
            </w:tcMar>
            <w:shd w:fill="2F5048"/>
          </w:tcPr>
          <w:p>
            <w:r/>
            <w:r>
              <w:rPr>
                <w:rFonts w:ascii="Aptos" w:hAnsi="Aptos"/>
                <w:b/>
                <w:color w:val="FFFFFF"/>
                <w:sz w:val="16"/>
              </w:rPr>
              <w:t>Impacto</w:t>
            </w:r>
          </w:p>
        </w:tc>
        <w:tc>
          <w:tcPr>
            <w:tcW w:type="dxa" w:w="4608"/>
            <w:vAlign w:val="center"/>
            <w:tcMar>
              <w:top w:w="100" w:type="dxa"/>
              <w:start w:w="120" w:type="dxa"/>
              <w:bottom w:w="100" w:type="dxa"/>
              <w:end w:w="120" w:type="dxa"/>
            </w:tcMar>
            <w:shd w:fill="2F5048"/>
          </w:tcPr>
          <w:p>
            <w:r/>
            <w:r>
              <w:rPr>
                <w:rFonts w:ascii="Aptos" w:hAnsi="Aptos"/>
                <w:b/>
                <w:color w:val="FFFFFF"/>
                <w:sz w:val="16"/>
              </w:rPr>
              <w:t>Mitigación prioritaria</w:t>
            </w:r>
          </w:p>
        </w:tc>
      </w:tr>
      <w:tr>
        <w:tc>
          <w:tcPr>
            <w:tcW w:type="dxa" w:w="2376"/>
            <w:vAlign w:val="center"/>
            <w:tcMar>
              <w:top w:w="100" w:type="dxa"/>
              <w:start w:w="120" w:type="dxa"/>
              <w:bottom w:w="100" w:type="dxa"/>
              <w:end w:w="120" w:type="dxa"/>
            </w:tcMar>
            <w:shd w:fill="FFFFFF"/>
          </w:tcPr>
          <w:p>
            <w:r/>
            <w:r>
              <w:rPr>
                <w:rFonts w:ascii="Aptos" w:hAnsi="Aptos"/>
                <w:b w:val="0"/>
                <w:color w:val="1D2B27"/>
                <w:sz w:val="15"/>
              </w:rPr>
              <w:t>Dependencia de una sola persona</w:t>
            </w:r>
          </w:p>
        </w:tc>
        <w:tc>
          <w:tcPr>
            <w:tcW w:type="dxa" w:w="3096"/>
            <w:vAlign w:val="center"/>
            <w:tcMar>
              <w:top w:w="100" w:type="dxa"/>
              <w:start w:w="120" w:type="dxa"/>
              <w:bottom w:w="100" w:type="dxa"/>
              <w:end w:w="120" w:type="dxa"/>
            </w:tcMar>
            <w:shd w:fill="FFFFFF"/>
          </w:tcPr>
          <w:p>
            <w:r/>
            <w:r>
              <w:rPr>
                <w:rFonts w:ascii="Aptos" w:hAnsi="Aptos"/>
                <w:b w:val="0"/>
                <w:color w:val="1D2B27"/>
                <w:sz w:val="15"/>
              </w:rPr>
              <w:t>Pérdida de continuidad y conocimiento</w:t>
            </w:r>
          </w:p>
        </w:tc>
        <w:tc>
          <w:tcPr>
            <w:tcW w:type="dxa" w:w="4608"/>
            <w:vAlign w:val="center"/>
            <w:tcMar>
              <w:top w:w="100" w:type="dxa"/>
              <w:start w:w="120" w:type="dxa"/>
              <w:bottom w:w="100" w:type="dxa"/>
              <w:end w:w="120" w:type="dxa"/>
            </w:tcMar>
            <w:shd w:fill="FFFFFF"/>
          </w:tcPr>
          <w:p>
            <w:r/>
            <w:r>
              <w:rPr>
                <w:rFonts w:ascii="Aptos" w:hAnsi="Aptos"/>
                <w:b w:val="0"/>
                <w:color w:val="1D2B27"/>
                <w:sz w:val="15"/>
              </w:rPr>
              <w:t>Repositorio institucional, documentación, revisión por pares y suplencia</w:t>
            </w:r>
          </w:p>
        </w:tc>
      </w:tr>
      <w:tr>
        <w:tc>
          <w:tcPr>
            <w:tcW w:type="dxa" w:w="2376"/>
            <w:vAlign w:val="center"/>
            <w:tcMar>
              <w:top w:w="100" w:type="dxa"/>
              <w:start w:w="120" w:type="dxa"/>
              <w:bottom w:w="100" w:type="dxa"/>
              <w:end w:w="120" w:type="dxa"/>
            </w:tcMar>
            <w:shd w:fill="F2F6F4"/>
          </w:tcPr>
          <w:p>
            <w:r/>
            <w:r>
              <w:rPr>
                <w:rFonts w:ascii="Aptos" w:hAnsi="Aptos"/>
                <w:b w:val="0"/>
                <w:color w:val="1D2B27"/>
                <w:sz w:val="15"/>
              </w:rPr>
              <w:t>Subestimar QA/seguridad</w:t>
            </w:r>
          </w:p>
        </w:tc>
        <w:tc>
          <w:tcPr>
            <w:tcW w:type="dxa" w:w="3096"/>
            <w:vAlign w:val="center"/>
            <w:tcMar>
              <w:top w:w="100" w:type="dxa"/>
              <w:start w:w="120" w:type="dxa"/>
              <w:bottom w:w="100" w:type="dxa"/>
              <w:end w:w="120" w:type="dxa"/>
            </w:tcMar>
            <w:shd w:fill="F2F6F4"/>
          </w:tcPr>
          <w:p>
            <w:r/>
            <w:r>
              <w:rPr>
                <w:rFonts w:ascii="Aptos" w:hAnsi="Aptos"/>
                <w:b w:val="0"/>
                <w:color w:val="1D2B27"/>
                <w:sz w:val="15"/>
              </w:rPr>
              <w:t>Errores, fuga de datos o rechazo del usuario</w:t>
            </w:r>
          </w:p>
        </w:tc>
        <w:tc>
          <w:tcPr>
            <w:tcW w:type="dxa" w:w="4608"/>
            <w:vAlign w:val="center"/>
            <w:tcMar>
              <w:top w:w="100" w:type="dxa"/>
              <w:start w:w="120" w:type="dxa"/>
              <w:bottom w:w="100" w:type="dxa"/>
              <w:end w:w="120" w:type="dxa"/>
            </w:tcMar>
            <w:shd w:fill="F2F6F4"/>
          </w:tcPr>
          <w:p>
            <w:r/>
            <w:r>
              <w:rPr>
                <w:rFonts w:ascii="Aptos" w:hAnsi="Aptos"/>
                <w:b w:val="0"/>
                <w:color w:val="1D2B27"/>
                <w:sz w:val="15"/>
              </w:rPr>
              <w:t>Criterios de terminado y presupuesto explícito para QA y seguridad</w:t>
            </w:r>
          </w:p>
        </w:tc>
      </w:tr>
      <w:tr>
        <w:tc>
          <w:tcPr>
            <w:tcW w:type="dxa" w:w="2376"/>
            <w:vAlign w:val="center"/>
            <w:tcMar>
              <w:top w:w="100" w:type="dxa"/>
              <w:start w:w="120" w:type="dxa"/>
              <w:bottom w:w="100" w:type="dxa"/>
              <w:end w:w="120" w:type="dxa"/>
            </w:tcMar>
            <w:shd w:fill="FFFFFF"/>
          </w:tcPr>
          <w:p>
            <w:r/>
            <w:r>
              <w:rPr>
                <w:rFonts w:ascii="Aptos" w:hAnsi="Aptos"/>
                <w:b w:val="0"/>
                <w:color w:val="1D2B27"/>
                <w:sz w:val="15"/>
              </w:rPr>
              <w:t>Servidor propio sin operación</w:t>
            </w:r>
          </w:p>
        </w:tc>
        <w:tc>
          <w:tcPr>
            <w:tcW w:type="dxa" w:w="3096"/>
            <w:vAlign w:val="center"/>
            <w:tcMar>
              <w:top w:w="100" w:type="dxa"/>
              <w:start w:w="120" w:type="dxa"/>
              <w:bottom w:w="100" w:type="dxa"/>
              <w:end w:w="120" w:type="dxa"/>
            </w:tcMar>
            <w:shd w:fill="FFFFFF"/>
          </w:tcPr>
          <w:p>
            <w:r/>
            <w:r>
              <w:rPr>
                <w:rFonts w:ascii="Aptos" w:hAnsi="Aptos"/>
                <w:b w:val="0"/>
                <w:color w:val="1D2B27"/>
                <w:sz w:val="15"/>
              </w:rPr>
              <w:t>Interrupción, pérdida o exposición</w:t>
            </w:r>
          </w:p>
        </w:tc>
        <w:tc>
          <w:tcPr>
            <w:tcW w:type="dxa" w:w="4608"/>
            <w:vAlign w:val="center"/>
            <w:tcMar>
              <w:top w:w="100" w:type="dxa"/>
              <w:start w:w="120" w:type="dxa"/>
              <w:bottom w:w="100" w:type="dxa"/>
              <w:end w:w="120" w:type="dxa"/>
            </w:tcMar>
            <w:shd w:fill="FFFFFF"/>
          </w:tcPr>
          <w:p>
            <w:r/>
            <w:r>
              <w:rPr>
                <w:rFonts w:ascii="Aptos" w:hAnsi="Aptos"/>
                <w:b w:val="0"/>
                <w:color w:val="1D2B27"/>
                <w:sz w:val="15"/>
              </w:rPr>
              <w:t>Responsable, monitoreo, parches, UPS, copias externas y recuperación probada</w:t>
            </w:r>
          </w:p>
        </w:tc>
      </w:tr>
      <w:tr>
        <w:tc>
          <w:tcPr>
            <w:tcW w:type="dxa" w:w="2376"/>
            <w:vAlign w:val="center"/>
            <w:tcMar>
              <w:top w:w="100" w:type="dxa"/>
              <w:start w:w="120" w:type="dxa"/>
              <w:bottom w:w="100" w:type="dxa"/>
              <w:end w:w="120" w:type="dxa"/>
            </w:tcMar>
            <w:shd w:fill="F2F6F4"/>
          </w:tcPr>
          <w:p>
            <w:r/>
            <w:r>
              <w:rPr>
                <w:rFonts w:ascii="Aptos" w:hAnsi="Aptos"/>
                <w:b w:val="0"/>
                <w:color w:val="1D2B27"/>
                <w:sz w:val="15"/>
              </w:rPr>
              <w:t>Consultas o reportes pesados</w:t>
            </w:r>
          </w:p>
        </w:tc>
        <w:tc>
          <w:tcPr>
            <w:tcW w:type="dxa" w:w="3096"/>
            <w:vAlign w:val="center"/>
            <w:tcMar>
              <w:top w:w="100" w:type="dxa"/>
              <w:start w:w="120" w:type="dxa"/>
              <w:bottom w:w="100" w:type="dxa"/>
              <w:end w:w="120" w:type="dxa"/>
            </w:tcMar>
            <w:shd w:fill="F2F6F4"/>
          </w:tcPr>
          <w:p>
            <w:r/>
            <w:r>
              <w:rPr>
                <w:rFonts w:ascii="Aptos" w:hAnsi="Aptos"/>
                <w:b w:val="0"/>
                <w:color w:val="1D2B27"/>
                <w:sz w:val="15"/>
              </w:rPr>
              <w:t>Lentitud general</w:t>
            </w:r>
          </w:p>
        </w:tc>
        <w:tc>
          <w:tcPr>
            <w:tcW w:type="dxa" w:w="4608"/>
            <w:vAlign w:val="center"/>
            <w:tcMar>
              <w:top w:w="100" w:type="dxa"/>
              <w:start w:w="120" w:type="dxa"/>
              <w:bottom w:w="100" w:type="dxa"/>
              <w:end w:w="120" w:type="dxa"/>
            </w:tcMar>
            <w:shd w:fill="F2F6F4"/>
          </w:tcPr>
          <w:p>
            <w:r/>
            <w:r>
              <w:rPr>
                <w:rFonts w:ascii="Aptos" w:hAnsi="Aptos"/>
                <w:b w:val="0"/>
                <w:color w:val="1D2B27"/>
                <w:sz w:val="15"/>
              </w:rPr>
              <w:t>Índices, paginación, colas, vistas analíticas y prueba de carga</w:t>
            </w:r>
          </w:p>
        </w:tc>
      </w:tr>
      <w:tr>
        <w:tc>
          <w:tcPr>
            <w:tcW w:type="dxa" w:w="2376"/>
            <w:vAlign w:val="center"/>
            <w:tcMar>
              <w:top w:w="100" w:type="dxa"/>
              <w:start w:w="120" w:type="dxa"/>
              <w:bottom w:w="100" w:type="dxa"/>
              <w:end w:w="120" w:type="dxa"/>
            </w:tcMar>
            <w:shd w:fill="FFFFFF"/>
          </w:tcPr>
          <w:p>
            <w:r/>
            <w:r>
              <w:rPr>
                <w:rFonts w:ascii="Aptos" w:hAnsi="Aptos"/>
                <w:b w:val="0"/>
                <w:color w:val="1D2B27"/>
                <w:sz w:val="15"/>
              </w:rPr>
              <w:t>Crecimiento documental</w:t>
            </w:r>
          </w:p>
        </w:tc>
        <w:tc>
          <w:tcPr>
            <w:tcW w:type="dxa" w:w="3096"/>
            <w:vAlign w:val="center"/>
            <w:tcMar>
              <w:top w:w="100" w:type="dxa"/>
              <w:start w:w="120" w:type="dxa"/>
              <w:bottom w:w="100" w:type="dxa"/>
              <w:end w:w="120" w:type="dxa"/>
            </w:tcMar>
            <w:shd w:fill="FFFFFF"/>
          </w:tcPr>
          <w:p>
            <w:r/>
            <w:r>
              <w:rPr>
                <w:rFonts w:ascii="Aptos" w:hAnsi="Aptos"/>
                <w:b w:val="0"/>
                <w:color w:val="1D2B27"/>
                <w:sz w:val="15"/>
              </w:rPr>
              <w:t>Costo y copias lentas</w:t>
            </w:r>
          </w:p>
        </w:tc>
        <w:tc>
          <w:tcPr>
            <w:tcW w:type="dxa" w:w="4608"/>
            <w:vAlign w:val="center"/>
            <w:tcMar>
              <w:top w:w="100" w:type="dxa"/>
              <w:start w:w="120" w:type="dxa"/>
              <w:bottom w:w="100" w:type="dxa"/>
              <w:end w:w="120" w:type="dxa"/>
            </w:tcMar>
            <w:shd w:fill="FFFFFF"/>
          </w:tcPr>
          <w:p>
            <w:r/>
            <w:r>
              <w:rPr>
                <w:rFonts w:ascii="Aptos" w:hAnsi="Aptos"/>
                <w:b w:val="0"/>
                <w:color w:val="1D2B27"/>
                <w:sz w:val="15"/>
              </w:rPr>
              <w:t>Objetos, ciclo de vida, cuotas y metadatos</w:t>
            </w:r>
          </w:p>
        </w:tc>
      </w:tr>
      <w:tr>
        <w:tc>
          <w:tcPr>
            <w:tcW w:type="dxa" w:w="2376"/>
            <w:vAlign w:val="center"/>
            <w:tcMar>
              <w:top w:w="100" w:type="dxa"/>
              <w:start w:w="120" w:type="dxa"/>
              <w:bottom w:w="100" w:type="dxa"/>
              <w:end w:w="120" w:type="dxa"/>
            </w:tcMar>
            <w:shd w:fill="F2F6F4"/>
          </w:tcPr>
          <w:p>
            <w:r/>
            <w:r>
              <w:rPr>
                <w:rFonts w:ascii="Aptos" w:hAnsi="Aptos"/>
                <w:b w:val="0"/>
                <w:color w:val="1D2B27"/>
                <w:sz w:val="15"/>
              </w:rPr>
              <w:t>Cambios sin gobierno</w:t>
            </w:r>
          </w:p>
        </w:tc>
        <w:tc>
          <w:tcPr>
            <w:tcW w:type="dxa" w:w="3096"/>
            <w:vAlign w:val="center"/>
            <w:tcMar>
              <w:top w:w="100" w:type="dxa"/>
              <w:start w:w="120" w:type="dxa"/>
              <w:bottom w:w="100" w:type="dxa"/>
              <w:end w:w="120" w:type="dxa"/>
            </w:tcMar>
            <w:shd w:fill="F2F6F4"/>
          </w:tcPr>
          <w:p>
            <w:r/>
            <w:r>
              <w:rPr>
                <w:rFonts w:ascii="Aptos" w:hAnsi="Aptos"/>
                <w:b w:val="0"/>
                <w:color w:val="1D2B27"/>
                <w:sz w:val="15"/>
              </w:rPr>
              <w:t>Datos inconsistentes y retrabajo</w:t>
            </w:r>
          </w:p>
        </w:tc>
        <w:tc>
          <w:tcPr>
            <w:tcW w:type="dxa" w:w="4608"/>
            <w:vAlign w:val="center"/>
            <w:tcMar>
              <w:top w:w="100" w:type="dxa"/>
              <w:start w:w="120" w:type="dxa"/>
              <w:bottom w:w="100" w:type="dxa"/>
              <w:end w:w="120" w:type="dxa"/>
            </w:tcMar>
            <w:shd w:fill="F2F6F4"/>
          </w:tcPr>
          <w:p>
            <w:r/>
            <w:r>
              <w:rPr>
                <w:rFonts w:ascii="Aptos" w:hAnsi="Aptos"/>
                <w:b w:val="0"/>
                <w:color w:val="1D2B27"/>
                <w:sz w:val="15"/>
              </w:rPr>
              <w:t>Propietarios de datos, catálogo, migraciones y aceptación</w:t>
            </w:r>
          </w:p>
        </w:tc>
      </w:tr>
      <w:tr>
        <w:tc>
          <w:tcPr>
            <w:tcW w:type="dxa" w:w="2376"/>
            <w:vAlign w:val="center"/>
            <w:tcMar>
              <w:top w:w="100" w:type="dxa"/>
              <w:start w:w="120" w:type="dxa"/>
              <w:bottom w:w="100" w:type="dxa"/>
              <w:end w:w="120" w:type="dxa"/>
            </w:tcMar>
            <w:shd w:fill="FFFFFF"/>
          </w:tcPr>
          <w:p>
            <w:r/>
            <w:r>
              <w:rPr>
                <w:rFonts w:ascii="Aptos" w:hAnsi="Aptos"/>
                <w:b w:val="0"/>
                <w:color w:val="1D2B27"/>
                <w:sz w:val="15"/>
              </w:rPr>
              <w:t>Dependencias obsoletas</w:t>
            </w:r>
          </w:p>
        </w:tc>
        <w:tc>
          <w:tcPr>
            <w:tcW w:type="dxa" w:w="3096"/>
            <w:vAlign w:val="center"/>
            <w:tcMar>
              <w:top w:w="100" w:type="dxa"/>
              <w:start w:w="120" w:type="dxa"/>
              <w:bottom w:w="100" w:type="dxa"/>
              <w:end w:w="120" w:type="dxa"/>
            </w:tcMar>
            <w:shd w:fill="FFFFFF"/>
          </w:tcPr>
          <w:p>
            <w:r/>
            <w:r>
              <w:rPr>
                <w:rFonts w:ascii="Aptos" w:hAnsi="Aptos"/>
                <w:b w:val="0"/>
                <w:color w:val="1D2B27"/>
                <w:sz w:val="15"/>
              </w:rPr>
              <w:t>Vulnerabilidades y migraciones urgentes</w:t>
            </w:r>
          </w:p>
        </w:tc>
        <w:tc>
          <w:tcPr>
            <w:tcW w:type="dxa" w:w="4608"/>
            <w:vAlign w:val="center"/>
            <w:tcMar>
              <w:top w:w="100" w:type="dxa"/>
              <w:start w:w="120" w:type="dxa"/>
              <w:bottom w:w="100" w:type="dxa"/>
              <w:end w:w="120" w:type="dxa"/>
            </w:tcMar>
            <w:shd w:fill="FFFFFF"/>
          </w:tcPr>
          <w:p>
            <w:r/>
            <w:r>
              <w:rPr>
                <w:rFonts w:ascii="Aptos" w:hAnsi="Aptos"/>
                <w:b w:val="0"/>
                <w:color w:val="1D2B27"/>
                <w:sz w:val="15"/>
              </w:rPr>
              <w:t>Calendario LTS, SBOM y actualización continua</w:t>
            </w:r>
          </w:p>
        </w:tc>
      </w:tr>
      <w:tr>
        <w:tc>
          <w:tcPr>
            <w:tcW w:type="dxa" w:w="2376"/>
            <w:vAlign w:val="center"/>
            <w:tcMar>
              <w:top w:w="100" w:type="dxa"/>
              <w:start w:w="120" w:type="dxa"/>
              <w:bottom w:w="100" w:type="dxa"/>
              <w:end w:w="120" w:type="dxa"/>
            </w:tcMar>
            <w:shd w:fill="F2F6F4"/>
          </w:tcPr>
          <w:p>
            <w:r/>
            <w:r>
              <w:rPr>
                <w:rFonts w:ascii="Aptos" w:hAnsi="Aptos"/>
                <w:b w:val="0"/>
                <w:color w:val="1D2B27"/>
                <w:sz w:val="15"/>
              </w:rPr>
              <w:t>Alcance ilimitado</w:t>
            </w:r>
          </w:p>
        </w:tc>
        <w:tc>
          <w:tcPr>
            <w:tcW w:type="dxa" w:w="3096"/>
            <w:vAlign w:val="center"/>
            <w:tcMar>
              <w:top w:w="100" w:type="dxa"/>
              <w:start w:w="120" w:type="dxa"/>
              <w:bottom w:w="100" w:type="dxa"/>
              <w:end w:w="120" w:type="dxa"/>
            </w:tcMar>
            <w:shd w:fill="F2F6F4"/>
          </w:tcPr>
          <w:p>
            <w:r/>
            <w:r>
              <w:rPr>
                <w:rFonts w:ascii="Aptos" w:hAnsi="Aptos"/>
                <w:b w:val="0"/>
                <w:color w:val="1D2B27"/>
                <w:sz w:val="15"/>
              </w:rPr>
              <w:t>Proyecto sin entrega útil</w:t>
            </w:r>
          </w:p>
        </w:tc>
        <w:tc>
          <w:tcPr>
            <w:tcW w:type="dxa" w:w="4608"/>
            <w:vAlign w:val="center"/>
            <w:tcMar>
              <w:top w:w="100" w:type="dxa"/>
              <w:start w:w="120" w:type="dxa"/>
              <w:bottom w:w="100" w:type="dxa"/>
              <w:end w:w="120" w:type="dxa"/>
            </w:tcMar>
            <w:shd w:fill="F2F6F4"/>
          </w:tcPr>
          <w:p>
            <w:r/>
            <w:r>
              <w:rPr>
                <w:rFonts w:ascii="Aptos" w:hAnsi="Aptos"/>
                <w:b w:val="0"/>
                <w:color w:val="1D2B27"/>
                <w:sz w:val="15"/>
              </w:rPr>
              <w:t>Roadmap modular, límites por fase y métricas de valor</w:t>
            </w:r>
          </w:p>
        </w:tc>
      </w:tr>
    </w:tbl>
    <w:p>
      <w:pPr>
        <w:spacing w:after="0"/>
      </w:pPr>
    </w:p>
    <w:p>
      <w:pPr>
        <w:pStyle w:val="Heading2"/>
        <w:keepNext/>
      </w:pPr>
      <w:r>
        <w:rPr>
          <w:lang w:val="es-CO"/>
        </w:rPr>
        <w:t>14.1 Condiciones de aprobación recomendadas</w:t>
      </w:r>
    </w:p>
    <w:p>
      <w:pPr>
        <w:pStyle w:val="ListBullet"/>
      </w:pPr>
      <w:r>
        <w:rPr>
          <w:lang w:val="es-CO"/>
        </w:rPr>
        <w:t>Nombrar responsable de producto, responsable técnico y propietarios de datos.</w:t>
      </w:r>
    </w:p>
    <w:p>
      <w:pPr>
        <w:pStyle w:val="ListBullet"/>
      </w:pPr>
      <w:r>
        <w:rPr>
          <w:lang w:val="es-CO"/>
        </w:rPr>
        <w:t>Aprobar presupuesto de construcción y una partida anual de mantenimiento.</w:t>
      </w:r>
    </w:p>
    <w:p>
      <w:pPr>
        <w:pStyle w:val="ListBullet"/>
      </w:pPr>
      <w:r>
        <w:rPr>
          <w:lang w:val="es-CO"/>
        </w:rPr>
        <w:t>Definir RPO/RTO y escoger hospedaje según criticidad, no solo precio.</w:t>
      </w:r>
    </w:p>
    <w:p>
      <w:pPr>
        <w:pStyle w:val="ListBullet"/>
      </w:pPr>
      <w:r>
        <w:rPr>
          <w:lang w:val="es-CO"/>
        </w:rPr>
        <w:t>Ejecutar una prueba de carga y una restauración completa antes de producción.</w:t>
      </w:r>
    </w:p>
    <w:p>
      <w:pPr>
        <w:pStyle w:val="ListBullet"/>
      </w:pPr>
      <w:r>
        <w:rPr>
          <w:lang w:val="es-CO"/>
        </w:rPr>
        <w:t>Validar Entra ID, permisos, auditoría y protección de datos con el administrador Microsoft y responsables institucionales.</w:t>
      </w:r>
    </w:p>
    <w:p>
      <w:pPr>
        <w:pStyle w:val="ListBullet"/>
      </w:pPr>
      <w:r>
        <w:rPr>
          <w:lang w:val="es-CO"/>
        </w:rPr>
        <w:t>Reevaluar arquitectura al crecer, pero no migrar a microservicios sin evidencia.</w:t>
      </w:r>
    </w:p>
    <w:p>
      <w:r>
        <w:rPr>
          <w:lang w:val="es-CO"/>
        </w:rPr>
        <w:br w:type="page"/>
      </w:r>
    </w:p>
    <w:p>
      <w:pPr>
        <w:pStyle w:val="Heading1"/>
        <w:keepNext/>
      </w:pPr>
      <w:r>
        <w:rPr>
          <w:lang w:val="es-CO"/>
        </w:rPr>
        <w:t>15. Recomendación final y próximos pasos</w:t>
      </w:r>
    </w:p>
    <w:p>
      <w:r>
        <w:rPr>
          <w:lang w:val="es-CO"/>
        </w:rPr>
        <w:t>La aplicación independiente es una alternativa sólida para Gaia Amazonas si la organización desea control de experiencia, datos, evolución e integración sin costos de plataforma por usuario. La escala prevista es compatible con una infraestructura moderada y tecnologías abiertas. La decisión debe aprobarse como producto institucional de largo plazo, no como una serie de pantallas mantenidas informalmente.</w:t>
      </w:r>
    </w:p>
    <w:p>
      <w:pPr>
        <w:pStyle w:val="Heading2"/>
        <w:keepNext/>
      </w:pPr>
      <w:r>
        <w:rPr>
          <w:lang w:val="es-CO"/>
        </w:rPr>
        <w:t>15.1 Próximos 30 días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440"/>
            <w:vAlign w:val="center"/>
            <w:tcMar>
              <w:top w:w="100" w:type="dxa"/>
              <w:start w:w="120" w:type="dxa"/>
              <w:bottom w:w="100" w:type="dxa"/>
              <w:end w:w="120" w:type="dxa"/>
            </w:tcMar>
            <w:shd w:fill="2F5048"/>
          </w:tcPr>
          <w:p>
            <w:r/>
            <w:r>
              <w:rPr>
                <w:rFonts w:ascii="Aptos" w:hAnsi="Aptos"/>
                <w:b/>
                <w:color w:val="FFFFFF"/>
                <w:sz w:val="16"/>
              </w:rPr>
              <w:t>Semana</w:t>
            </w:r>
          </w:p>
        </w:tc>
        <w:tc>
          <w:tcPr>
            <w:tcW w:type="dxa" w:w="8640"/>
            <w:vAlign w:val="center"/>
            <w:tcMar>
              <w:top w:w="100" w:type="dxa"/>
              <w:start w:w="120" w:type="dxa"/>
              <w:bottom w:w="100" w:type="dxa"/>
              <w:end w:w="120" w:type="dxa"/>
            </w:tcMar>
            <w:shd w:fill="2F5048"/>
          </w:tcPr>
          <w:p>
            <w:r/>
            <w:r>
              <w:rPr>
                <w:rFonts w:ascii="Aptos" w:hAnsi="Aptos"/>
                <w:b/>
                <w:color w:val="FFFFFF"/>
                <w:sz w:val="16"/>
              </w:rPr>
              <w:t>Entregable</w:t>
            </w:r>
          </w:p>
        </w:tc>
      </w:tr>
      <w:tr>
        <w:tc>
          <w:tcPr>
            <w:tcW w:type="dxa" w:w="1440"/>
            <w:vAlign w:val="center"/>
            <w:tcMar>
              <w:top w:w="100" w:type="dxa"/>
              <w:start w:w="120" w:type="dxa"/>
              <w:bottom w:w="100" w:type="dxa"/>
              <w:end w:w="120" w:type="dxa"/>
            </w:tcMar>
            <w:shd w:fill="FFFFFF"/>
          </w:tcPr>
          <w:p>
            <w:r/>
            <w:r>
              <w:rPr>
                <w:rFonts w:ascii="Aptos" w:hAnsi="Aptos"/>
                <w:b w:val="0"/>
                <w:color w:val="1D2B27"/>
                <w:sz w:val="17"/>
              </w:rPr>
              <w:t>1</w:t>
            </w:r>
          </w:p>
        </w:tc>
        <w:tc>
          <w:tcPr>
            <w:tcW w:type="dxa" w:w="8640"/>
            <w:vAlign w:val="center"/>
            <w:tcMar>
              <w:top w:w="100" w:type="dxa"/>
              <w:start w:w="120" w:type="dxa"/>
              <w:bottom w:w="100" w:type="dxa"/>
              <w:end w:w="120" w:type="dxa"/>
            </w:tcMar>
            <w:shd w:fill="FFFFFF"/>
          </w:tcPr>
          <w:p>
            <w:r/>
            <w:r>
              <w:rPr>
                <w:rFonts w:ascii="Aptos" w:hAnsi="Aptos"/>
                <w:b w:val="0"/>
                <w:color w:val="1D2B27"/>
                <w:sz w:val="17"/>
              </w:rPr>
              <w:t>Inventario del código, modelo de datos y datos maestros; brechas frente a producción.</w:t>
            </w:r>
          </w:p>
        </w:tc>
      </w:tr>
      <w:tr>
        <w:tc>
          <w:tcPr>
            <w:tcW w:type="dxa" w:w="1440"/>
            <w:vAlign w:val="center"/>
            <w:tcMar>
              <w:top w:w="100" w:type="dxa"/>
              <w:start w:w="120" w:type="dxa"/>
              <w:bottom w:w="100" w:type="dxa"/>
              <w:end w:w="120" w:type="dxa"/>
            </w:tcMar>
            <w:shd w:fill="F2F6F4"/>
          </w:tcPr>
          <w:p>
            <w:r/>
            <w:r>
              <w:rPr>
                <w:rFonts w:ascii="Aptos" w:hAnsi="Aptos"/>
                <w:b w:val="0"/>
                <w:color w:val="1D2B27"/>
                <w:sz w:val="17"/>
              </w:rPr>
              <w:t>2</w:t>
            </w:r>
          </w:p>
        </w:tc>
        <w:tc>
          <w:tcPr>
            <w:tcW w:type="dxa" w:w="8640"/>
            <w:vAlign w:val="center"/>
            <w:tcMar>
              <w:top w:w="100" w:type="dxa"/>
              <w:start w:w="120" w:type="dxa"/>
              <w:bottom w:w="100" w:type="dxa"/>
              <w:end w:w="120" w:type="dxa"/>
            </w:tcMar>
            <w:shd w:fill="F2F6F4"/>
          </w:tcPr>
          <w:p>
            <w:r/>
            <w:r>
              <w:rPr>
                <w:rFonts w:ascii="Aptos" w:hAnsi="Aptos"/>
                <w:b w:val="0"/>
                <w:color w:val="1D2B27"/>
                <w:sz w:val="17"/>
              </w:rPr>
              <w:t>Registro de aplicación Entra ID; matriz inicial de roles/permisos; clasificación de datos.</w:t>
            </w:r>
          </w:p>
        </w:tc>
      </w:tr>
      <w:tr>
        <w:tc>
          <w:tcPr>
            <w:tcW w:type="dxa" w:w="1440"/>
            <w:vAlign w:val="center"/>
            <w:tcMar>
              <w:top w:w="100" w:type="dxa"/>
              <w:start w:w="120" w:type="dxa"/>
              <w:bottom w:w="100" w:type="dxa"/>
              <w:end w:w="120" w:type="dxa"/>
            </w:tcMar>
            <w:shd w:fill="FFFFFF"/>
          </w:tcPr>
          <w:p>
            <w:r/>
            <w:r>
              <w:rPr>
                <w:rFonts w:ascii="Aptos" w:hAnsi="Aptos"/>
                <w:b w:val="0"/>
                <w:color w:val="1D2B27"/>
                <w:sz w:val="17"/>
              </w:rPr>
              <w:t>3</w:t>
            </w:r>
          </w:p>
        </w:tc>
        <w:tc>
          <w:tcPr>
            <w:tcW w:type="dxa" w:w="8640"/>
            <w:vAlign w:val="center"/>
            <w:tcMar>
              <w:top w:w="100" w:type="dxa"/>
              <w:start w:w="120" w:type="dxa"/>
              <w:bottom w:w="100" w:type="dxa"/>
              <w:end w:w="120" w:type="dxa"/>
            </w:tcMar>
            <w:shd w:fill="FFFFFF"/>
          </w:tcPr>
          <w:p>
            <w:r/>
            <w:r>
              <w:rPr>
                <w:rFonts w:ascii="Aptos" w:hAnsi="Aptos"/>
                <w:b w:val="0"/>
                <w:color w:val="1D2B27"/>
                <w:sz w:val="17"/>
              </w:rPr>
              <w:t>Ambientes, CI/CD, observabilidad y respaldo mínimo; dataset de carga.</w:t>
            </w:r>
          </w:p>
        </w:tc>
      </w:tr>
      <w:tr>
        <w:tc>
          <w:tcPr>
            <w:tcW w:type="dxa" w:w="1440"/>
            <w:vAlign w:val="center"/>
            <w:tcMar>
              <w:top w:w="100" w:type="dxa"/>
              <w:start w:w="120" w:type="dxa"/>
              <w:bottom w:w="100" w:type="dxa"/>
              <w:end w:w="120" w:type="dxa"/>
            </w:tcMar>
            <w:shd w:fill="F2F6F4"/>
          </w:tcPr>
          <w:p>
            <w:r/>
            <w:r>
              <w:rPr>
                <w:rFonts w:ascii="Aptos" w:hAnsi="Aptos"/>
                <w:b w:val="0"/>
                <w:color w:val="1D2B27"/>
                <w:sz w:val="17"/>
              </w:rPr>
              <w:t>4</w:t>
            </w:r>
          </w:p>
        </w:tc>
        <w:tc>
          <w:tcPr>
            <w:tcW w:type="dxa" w:w="8640"/>
            <w:vAlign w:val="center"/>
            <w:tcMar>
              <w:top w:w="100" w:type="dxa"/>
              <w:start w:w="120" w:type="dxa"/>
              <w:bottom w:w="100" w:type="dxa"/>
              <w:end w:w="120" w:type="dxa"/>
            </w:tcMar>
            <w:shd w:fill="F2F6F4"/>
          </w:tcPr>
          <w:p>
            <w:r/>
            <w:r>
              <w:rPr>
                <w:rFonts w:ascii="Aptos" w:hAnsi="Aptos"/>
                <w:b w:val="0"/>
                <w:color w:val="1D2B27"/>
                <w:sz w:val="17"/>
              </w:rPr>
              <w:t>Prueba de carga base, plan de remediación y presupuesto validado por fases.</w:t>
            </w:r>
          </w:p>
        </w:tc>
      </w:tr>
    </w:tbl>
    <w:p>
      <w:pPr>
        <w:spacing w:after="0"/>
      </w:pPr>
    </w:p>
    <w:p>
      <w:pPr>
        <w:pStyle w:val="Heading2"/>
        <w:keepNext/>
      </w:pPr>
      <w:r>
        <w:rPr>
          <w:lang w:val="es-CO"/>
        </w:rPr>
        <w:t>15.2 Puerta de decisión</w:t>
      </w:r>
    </w:p>
    <w:tbl>
      <w:tblPr>
        <w:tblW w:type="auto" w:w="0"/>
        <w:jc w:val="center"/>
        <w:tblLayout w:type="fixed"/>
        <w:tblLook w:firstColumn="1" w:firstRow="1" w:lastColumn="0" w:lastRow="0" w:noHBand="0" w:noVBand="1" w:val="04A0"/>
      </w:tblPr>
      <w:tblGrid>
        <w:gridCol w:w="173"/>
        <w:gridCol w:w="9864"/>
      </w:tblGrid>
      <w:tr>
        <w:tc>
          <w:tcPr>
            <w:tcW w:type="dxa" w:w="5083"/>
            <w:shd w:fill="2F5048"/>
          </w:tcPr>
          <w:p/>
        </w:tc>
        <w:tc>
          <w:tcPr>
            <w:tcW w:type="dxa" w:w="5083"/>
            <w:shd w:fill="F2F6F4"/>
            <w:tcMar>
              <w:top w:w="150" w:type="dxa"/>
              <w:start w:w="180" w:type="dxa"/>
              <w:bottom w:w="150" w:type="dxa"/>
              <w:end w:w="180" w:type="dxa"/>
            </w:tcMar>
          </w:tcPr>
          <w:p>
            <w:r>
              <w:rPr>
                <w:b/>
                <w:color w:val="2F5048"/>
                <w:sz w:val="20"/>
              </w:rPr>
              <w:t>AVANZAR SI</w:t>
              <w:br/>
            </w:r>
            <w:r>
              <w:rPr>
                <w:color w:val="1D2B27"/>
                <w:sz w:val="18"/>
              </w:rPr>
              <w:t>Gaia asigna dueño funcional, responsable técnico, capacidad de QA/operación, presupuesto de mantenimiento y acepta construir por módulos con controles de producción.</w:t>
            </w:r>
          </w:p>
        </w:tc>
      </w:tr>
    </w:tbl>
    <w:p>
      <w:pPr>
        <w:spacing w:after="0"/>
      </w:pPr>
    </w:p>
    <w:tbl>
      <w:tblPr>
        <w:tblW w:type="auto" w:w="0"/>
        <w:jc w:val="center"/>
        <w:tblLayout w:type="fixed"/>
        <w:tblLook w:firstColumn="1" w:firstRow="1" w:lastColumn="0" w:lastRow="0" w:noHBand="0" w:noVBand="1" w:val="04A0"/>
      </w:tblPr>
      <w:tblGrid>
        <w:gridCol w:w="173"/>
        <w:gridCol w:w="9864"/>
      </w:tblGrid>
      <w:tr>
        <w:tc>
          <w:tcPr>
            <w:tcW w:type="dxa" w:w="5083"/>
            <w:shd w:fill="B54545"/>
          </w:tcPr>
          <w:p/>
        </w:tc>
        <w:tc>
          <w:tcPr>
            <w:tcW w:type="dxa" w:w="5083"/>
            <w:shd w:fill="F2F6F4"/>
            <w:tcMar>
              <w:top w:w="150" w:type="dxa"/>
              <w:start w:w="180" w:type="dxa"/>
              <w:bottom w:w="150" w:type="dxa"/>
              <w:end w:w="180" w:type="dxa"/>
            </w:tcMar>
          </w:tcPr>
          <w:p>
            <w:r>
              <w:rPr>
                <w:b/>
                <w:color w:val="B54545"/>
                <w:sz w:val="20"/>
              </w:rPr>
              <w:t>NO PUBLICAR AÚN SI</w:t>
              <w:br/>
            </w:r>
            <w:r>
              <w:rPr>
                <w:color w:val="1D2B27"/>
                <w:sz w:val="18"/>
              </w:rPr>
              <w:t>La única infraestructura disponible es un computador personal, no existen copias restaurables, la autorización depende del frontend o no hay quién atienda actualizaciones e incidentes.</w:t>
            </w:r>
          </w:p>
        </w:tc>
      </w:tr>
    </w:tbl>
    <w:p>
      <w:pPr>
        <w:spacing w:after="0"/>
      </w:pPr>
    </w:p>
    <w:p>
      <w:pPr>
        <w:pStyle w:val="Heading2"/>
        <w:keepNext/>
      </w:pPr>
      <w:r>
        <w:rPr>
          <w:lang w:val="es-CO"/>
        </w:rPr>
        <w:t>15.3 Resultado esperado</w:t>
      </w:r>
    </w:p>
    <w:p>
      <w:r>
        <w:rPr>
          <w:lang w:val="es-CO"/>
        </w:rPr>
        <w:t>Al terminar el primer ciclo productivo, Gaia deberá tener una plataforma propia con inicio corporativo, permisos verificables, organización jerárquica, terceros e inventario, consultas rápidas sobre el conjunto completo de datos, documentos controlados, auditoría y una ruta segura para Power BI y nuevos módulos.</w:t>
      </w:r>
    </w:p>
    <w:p>
      <w:r>
        <w:rPr>
          <w:lang w:val="es-CO"/>
        </w:rPr>
        <w:br w:type="page"/>
      </w:r>
    </w:p>
    <w:p>
      <w:pPr>
        <w:pStyle w:val="Heading1"/>
        <w:keepNext/>
      </w:pPr>
      <w:r>
        <w:rPr>
          <w:lang w:val="es-CO"/>
        </w:rPr>
        <w:t>Fuentes técnicas verificables</w:t>
      </w:r>
    </w:p>
    <w:p>
      <w:pPr>
        <w:spacing w:after="120"/>
      </w:pPr>
      <w:r>
        <w:rPr>
          <w:b/>
          <w:lang w:val="es-CO"/>
        </w:rPr>
        <w:t xml:space="preserve">1. </w:t>
      </w:r>
      <w:hyperlink r:id="rId11">
        <w:r>
          <w:rPr>
            <w:color w:val="3C838C"/>
            <w:u w:val="single"/>
          </w:rPr>
          <w:t>Microsoft — .NET Support Policy</w:t>
        </w:r>
      </w:hyperlink>
      <w:r>
        <w:rPr>
          <w:lang w:val="es-CO"/>
        </w:rPr>
        <w:t xml:space="preserve"> — Ciclo LTS y fechas de soporte de .NET 10.</w:t>
      </w:r>
    </w:p>
    <w:p>
      <w:pPr>
        <w:spacing w:after="120"/>
      </w:pPr>
      <w:r>
        <w:rPr>
          <w:b/>
          <w:lang w:val="es-CO"/>
        </w:rPr>
        <w:t xml:space="preserve">2. </w:t>
      </w:r>
      <w:hyperlink r:id="rId12">
        <w:r>
          <w:rPr>
            <w:color w:val="3C838C"/>
            <w:u w:val="single"/>
          </w:rPr>
          <w:t>PostgreSQL — Versioning Policy</w:t>
        </w:r>
      </w:hyperlink>
      <w:r>
        <w:rPr>
          <w:lang w:val="es-CO"/>
        </w:rPr>
        <w:t xml:space="preserve"> — Política de cinco años por versión mayor y soporte de PostgreSQL 18.</w:t>
      </w:r>
    </w:p>
    <w:p>
      <w:pPr>
        <w:spacing w:after="120"/>
      </w:pPr>
      <w:r>
        <w:rPr>
          <w:b/>
          <w:lang w:val="es-CO"/>
        </w:rPr>
        <w:t xml:space="preserve">3. </w:t>
      </w:r>
      <w:hyperlink r:id="rId13">
        <w:r>
          <w:rPr>
            <w:color w:val="3C838C"/>
            <w:u w:val="single"/>
          </w:rPr>
          <w:t>Node.js — Previous Releases</w:t>
        </w:r>
      </w:hyperlink>
      <w:r>
        <w:rPr>
          <w:lang w:val="es-CO"/>
        </w:rPr>
        <w:t xml:space="preserve"> — Uso de líneas LTS y ciclo de Node.js 24.</w:t>
      </w:r>
    </w:p>
    <w:p>
      <w:pPr>
        <w:spacing w:after="120"/>
      </w:pPr>
      <w:r>
        <w:rPr>
          <w:b/>
          <w:lang w:val="es-CO"/>
        </w:rPr>
        <w:t xml:space="preserve">4. </w:t>
      </w:r>
      <w:hyperlink r:id="rId14">
        <w:r>
          <w:rPr>
            <w:color w:val="3C838C"/>
            <w:u w:val="single"/>
          </w:rPr>
          <w:t>Next.js — Self-hosting</w:t>
        </w:r>
      </w:hyperlink>
      <w:r>
        <w:rPr>
          <w:lang w:val="es-CO"/>
        </w:rPr>
        <w:t xml:space="preserve"> — Proxy inverso, caché, múltiples instancias y despliegue propio.</w:t>
      </w:r>
    </w:p>
    <w:p>
      <w:pPr>
        <w:spacing w:after="120"/>
      </w:pPr>
      <w:r>
        <w:rPr>
          <w:b/>
          <w:lang w:val="es-CO"/>
        </w:rPr>
        <w:t xml:space="preserve">5. </w:t>
      </w:r>
      <w:hyperlink r:id="rId15">
        <w:r>
          <w:rPr>
            <w:color w:val="3C838C"/>
            <w:u w:val="single"/>
          </w:rPr>
          <w:t>Microsoft Learn — OpenID Connect en ASP.NET Core</w:t>
        </w:r>
      </w:hyperlink>
      <w:r>
        <w:rPr>
          <w:lang w:val="es-CO"/>
        </w:rPr>
        <w:t xml:space="preserve"> — Arquitectura OIDC y patrón BFF.</w:t>
      </w:r>
    </w:p>
    <w:p>
      <w:pPr>
        <w:spacing w:after="120"/>
      </w:pPr>
      <w:r>
        <w:rPr>
          <w:b/>
          <w:lang w:val="es-CO"/>
        </w:rPr>
        <w:t xml:space="preserve">6. </w:t>
      </w:r>
      <w:hyperlink r:id="rId16">
        <w:r>
          <w:rPr>
            <w:color w:val="3C838C"/>
            <w:u w:val="single"/>
          </w:rPr>
          <w:t>Microsoft Learn — Inicio con Microsoft Entra ID</w:t>
        </w:r>
      </w:hyperlink>
      <w:r>
        <w:rPr>
          <w:lang w:val="es-CO"/>
        </w:rPr>
        <w:t xml:space="preserve"> — Integración oficial de ASP.NET Core con Entra ID.</w:t>
      </w:r>
    </w:p>
    <w:p>
      <w:pPr>
        <w:spacing w:after="120"/>
      </w:pPr>
      <w:r>
        <w:rPr>
          <w:b/>
          <w:lang w:val="es-CO"/>
        </w:rPr>
        <w:t xml:space="preserve">7. </w:t>
      </w:r>
      <w:hyperlink r:id="rId17">
        <w:r>
          <w:rPr>
            <w:color w:val="3C838C"/>
            <w:u w:val="single"/>
          </w:rPr>
          <w:t>Microsoft Learn — Rate limiting en ASP.NET Core</w:t>
        </w:r>
      </w:hyperlink>
      <w:r>
        <w:rPr>
          <w:lang w:val="es-CO"/>
        </w:rPr>
        <w:t xml:space="preserve"> — Algoritmos, políticas, métricas y necesidad de pruebas de carga.</w:t>
      </w:r>
    </w:p>
    <w:p>
      <w:pPr>
        <w:spacing w:after="120"/>
      </w:pPr>
      <w:r>
        <w:rPr>
          <w:b/>
          <w:lang w:val="es-CO"/>
        </w:rPr>
        <w:t xml:space="preserve">8. </w:t>
      </w:r>
      <w:hyperlink r:id="rId18">
        <w:r>
          <w:rPr>
            <w:color w:val="3C838C"/>
            <w:u w:val="single"/>
          </w:rPr>
          <w:t>PostgreSQL 18 — PITR</w:t>
        </w:r>
      </w:hyperlink>
      <w:r>
        <w:rPr>
          <w:lang w:val="es-CO"/>
        </w:rPr>
        <w:t xml:space="preserve"> — Archivo WAL, copias base y recuperación a punto en el tiempo.</w:t>
      </w:r>
    </w:p>
    <w:p>
      <w:pPr>
        <w:spacing w:after="120"/>
      </w:pPr>
      <w:r>
        <w:rPr>
          <w:b/>
          <w:lang w:val="es-CO"/>
        </w:rPr>
        <w:t xml:space="preserve">9. </w:t>
      </w:r>
      <w:hyperlink r:id="rId19">
        <w:r>
          <w:rPr>
            <w:color w:val="3C838C"/>
            <w:u w:val="single"/>
          </w:rPr>
          <w:t>Microsoft Learn — Conector PostgreSQL de Power Query</w:t>
        </w:r>
      </w:hyperlink>
      <w:r>
        <w:rPr>
          <w:lang w:val="es-CO"/>
        </w:rPr>
        <w:t xml:space="preserve"> — Compatibilidad Power BI, Import, DirectQuery y gateways.</w:t>
      </w:r>
    </w:p>
    <w:p>
      <w:pPr>
        <w:spacing w:after="120"/>
      </w:pPr>
      <w:r>
        <w:rPr>
          <w:b/>
          <w:lang w:val="es-CO"/>
        </w:rPr>
        <w:t xml:space="preserve">10. </w:t>
      </w:r>
      <w:hyperlink r:id="rId20">
        <w:r>
          <w:rPr>
            <w:color w:val="3C838C"/>
            <w:u w:val="single"/>
          </w:rPr>
          <w:t>Azure — App Service Linux pricing</w:t>
        </w:r>
      </w:hyperlink>
      <w:r>
        <w:rPr>
          <w:lang w:val="es-CO"/>
        </w:rPr>
        <w:t xml:space="preserve"> — Referencia oficial de precios y opciones de hospedaje administrado.</w:t>
      </w:r>
    </w:p>
    <w:p>
      <w:pPr>
        <w:spacing w:after="120"/>
      </w:pPr>
      <w:r>
        <w:rPr>
          <w:b/>
          <w:lang w:val="es-CO"/>
        </w:rPr>
        <w:t xml:space="preserve">11. </w:t>
      </w:r>
      <w:hyperlink r:id="rId21">
        <w:r>
          <w:rPr>
            <w:color w:val="3C838C"/>
            <w:u w:val="single"/>
          </w:rPr>
          <w:t>Azure — Database for PostgreSQL pricing</w:t>
        </w:r>
      </w:hyperlink>
      <w:r>
        <w:rPr>
          <w:lang w:val="es-CO"/>
        </w:rPr>
        <w:t xml:space="preserve"> — Modelo de pago por uso, capacidad reservada y variabilidad de precios.</w:t>
      </w:r>
    </w:p>
    <w:p>
      <w:pPr>
        <w:spacing w:after="120"/>
      </w:pPr>
      <w:r>
        <w:rPr>
          <w:b/>
          <w:lang w:val="es-CO"/>
        </w:rPr>
        <w:t xml:space="preserve">12. </w:t>
      </w:r>
      <w:hyperlink r:id="rId22">
        <w:r>
          <w:rPr>
            <w:color w:val="3C838C"/>
            <w:u w:val="single"/>
          </w:rPr>
          <w:t>OWASP — Application Security Verification Standard</w:t>
        </w:r>
      </w:hyperlink>
      <w:r>
        <w:rPr>
          <w:lang w:val="es-CO"/>
        </w:rPr>
        <w:t xml:space="preserve"> — Base de requisitos verificables de seguridad de aplicaciones.</w:t>
      </w:r>
    </w:p>
    <w:p>
      <w:pPr>
        <w:pStyle w:val="Heading2"/>
        <w:keepNext/>
      </w:pPr>
      <w:r>
        <w:rPr>
          <w:lang w:val="es-CO"/>
        </w:rPr>
        <w:t>Notas metodológicas</w:t>
      </w:r>
    </w:p>
    <w:p>
      <w:r>
        <w:rPr>
          <w:lang w:val="es-CO"/>
        </w:rPr>
        <w:t>Fecha de consulta de fuentes: 5 de agosto de 2026. Las cifras de infraestructura y esfuerzo son rangos de planeación elaborados para los supuestos de este informe; no son tarifas publicadas ni cotizaciones. Las versiones tecnológicas reflejan el proyecto Gaia examinado y deben verificarse nuevamente antes de cada compra o salida a producción.</w:t>
      </w:r>
    </w:p>
    <w:p>
      <w:r>
        <w:rPr>
          <w:lang w:val="es-CO"/>
        </w:rPr>
        <w:t>Este informe es técnico y de gestión. Las obligaciones legales de protección de datos, archivo y contratación deben validarse con los responsables jurídicos y de cumplimiento de Gaia Amazonas.</w:t>
      </w:r>
    </w:p>
    <w:sectPr w:rsidR="00FC693F" w:rsidRPr="0006063C" w:rsidSect="00034616">
      <w:headerReference w:type="default" r:id="rId9"/>
      <w:footerReference w:type="default" r:id="rId10"/>
      <w:pgSz w:w="12240" w:h="15840"/>
      <w:pgMar w:top="893" w:right="1037" w:bottom="893" w:left="1037" w:header="360" w:footer="36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Gaia Amazonas  •  Aplicación empresarial independiente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6912"/>
      <w:gridCol w:w="3240"/>
    </w:tblGrid>
    <w:tr>
      <w:tc>
        <w:tcPr>
          <w:tcW w:type="dxa" w:w="5076"/>
          <w:shd w:fill="2F5048"/>
          <w:vAlign w:val="center"/>
          <w:tcMar>
            <w:top w:w="100" w:type="dxa"/>
            <w:start w:w="120" w:type="dxa"/>
            <w:bottom w:w="100" w:type="dxa"/>
            <w:end w:w="120" w:type="dxa"/>
          </w:tcMar>
        </w:tcPr>
        <w:p>
          <w:r/>
          <w:r>
            <w:rPr>
              <w:rFonts w:ascii="Aptos" w:hAnsi="Aptos"/>
              <w:b/>
              <w:color w:val="FFFFFF"/>
              <w:sz w:val="16"/>
            </w:rPr>
            <w:t>GAIA AMAZONAS  |  PLATAFORMA EMPRESARIAL</w:t>
          </w:r>
        </w:p>
      </w:tc>
      <w:tc>
        <w:tcPr>
          <w:tcW w:type="dxa" w:w="5076"/>
          <w:shd w:fill="3C838C"/>
          <w:vAlign w:val="center"/>
          <w:tcMar>
            <w:top w:w="100" w:type="dxa"/>
            <w:start w:w="120" w:type="dxa"/>
            <w:bottom w:w="100" w:type="dxa"/>
            <w:end w:w="120" w:type="dxa"/>
          </w:tcMar>
        </w:tcPr>
        <w:p>
          <w:pPr>
            <w:jc w:val="right"/>
          </w:pPr>
          <w:r/>
          <w:r>
            <w:rPr>
              <w:rFonts w:ascii="Aptos" w:hAnsi="Aptos"/>
              <w:b/>
              <w:color w:val="FFFFFF"/>
              <w:sz w:val="16"/>
            </w:rPr>
            <w:t>INFORME TÉCNICO 02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D2B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2F5048"/>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3C838C"/>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6F387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2F5048"/>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80" w:after="100"/>
    </w:pPr>
    <w:rPr>
      <w:rFonts w:asciiTheme="majorHAnsi" w:eastAsiaTheme="majorEastAsia" w:hAnsiTheme="majorHAnsi" w:cstheme="majorBidi" w:ascii="Aptos Display" w:hAnsi="Aptos Display"/>
      <w:b/>
      <w:i/>
      <w:iCs/>
      <w:color w:val="3C838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rPr>
      <w:rFonts w:ascii="Aptos" w:hAnsi="Aptos"/>
      <w:sz w:val="17"/>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tnet.microsoft.com/en-us/platform/support/policy" TargetMode="External"/><Relationship Id="rId12" Type="http://schemas.openxmlformats.org/officeDocument/2006/relationships/hyperlink" Target="https://www.postgresql.org/support/versioning/" TargetMode="External"/><Relationship Id="rId13" Type="http://schemas.openxmlformats.org/officeDocument/2006/relationships/hyperlink" Target="https://nodejs.org/en/about/previous-releases" TargetMode="External"/><Relationship Id="rId14" Type="http://schemas.openxmlformats.org/officeDocument/2006/relationships/hyperlink" Target="https://nextjs.org/docs/app/guides/self-hosting" TargetMode="External"/><Relationship Id="rId15" Type="http://schemas.openxmlformats.org/officeDocument/2006/relationships/hyperlink" Target="https://learn.microsoft.com/en-us/aspnet/core/security/authentication/configure-oidc-web-authentication?view=aspnetcore-10.0" TargetMode="External"/><Relationship Id="rId16" Type="http://schemas.openxmlformats.org/officeDocument/2006/relationships/hyperlink" Target="https://learn.microsoft.com/en-us/entra/msidweb/getting-started/quickstart-webapp" TargetMode="External"/><Relationship Id="rId17" Type="http://schemas.openxmlformats.org/officeDocument/2006/relationships/hyperlink" Target="https://learn.microsoft.com/en-us/aspnet/core/performance/rate-limit?view=aspnetcore-10.0" TargetMode="External"/><Relationship Id="rId18" Type="http://schemas.openxmlformats.org/officeDocument/2006/relationships/hyperlink" Target="https://www.postgresql.org/docs/current/continuous-archiving.html" TargetMode="External"/><Relationship Id="rId19" Type="http://schemas.openxmlformats.org/officeDocument/2006/relationships/hyperlink" Target="https://learn.microsoft.com/en-us/power-query/connectors/postgresql" TargetMode="External"/><Relationship Id="rId20" Type="http://schemas.openxmlformats.org/officeDocument/2006/relationships/hyperlink" Target="https://azure.microsoft.com/en-us/pricing/details/app-service/linux/" TargetMode="External"/><Relationship Id="rId21" Type="http://schemas.openxmlformats.org/officeDocument/2006/relationships/hyperlink" Target="https://azure.microsoft.com/en-us/pricing/details/postgresql/flexible-server/" TargetMode="External"/><Relationship Id="rId22" Type="http://schemas.openxmlformats.org/officeDocument/2006/relationships/hyperlink" Target="https://owasp.org/www-project-application-security-verification-stand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02 — Aplicación empresarial independiente</dc:title>
  <dc:subject>Arquitectura, infraestructura, seguridad, rendimiento, operación y TCO</dc:subject>
  <dc:creator>Proyecto Gaia Aplicación</dc:creator>
  <cp:keywords>Gaia Amazonas, aplicación independiente, arquitectura, PostgreSQL, ASP.NET Core, Next.js</cp:keywords>
  <dc:description>generated by python-docx</dc:description>
  <cp:lastModifiedBy/>
  <cp:revision>1</cp:revision>
  <dcterms:created xsi:type="dcterms:W3CDTF">2013-12-23T23:15:00Z</dcterms:created>
  <dcterms:modified xsi:type="dcterms:W3CDTF">2013-12-23T23:15:00Z</dcterms:modified>
  <cp:category/>
</cp:coreProperties>
</file>