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240"/>
        <w:jc w:val="center"/>
      </w:pPr>
      <w:r>
        <w:rPr>
          <w:rFonts w:ascii="Aptos Display" w:hAnsi="Aptos Display"/>
          <w:b/>
          <w:color w:val="237A78"/>
          <w:sz w:val="28"/>
        </w:rPr>
        <w:t>INFORME TÉCNICO</w:t>
      </w:r>
    </w:p>
    <w:p>
      <w:pPr>
        <w:spacing w:after="160"/>
        <w:jc w:val="center"/>
      </w:pPr>
      <w:r>
        <w:rPr>
          <w:rFonts w:ascii="Aptos Display" w:hAnsi="Aptos Display"/>
          <w:b/>
          <w:color w:val="173F3D"/>
          <w:sz w:val="54"/>
        </w:rPr>
        <w:t>Evaluación de Power Apps y Microsoft Dataverse</w:t>
      </w:r>
    </w:p>
    <w:p>
      <w:pPr>
        <w:spacing w:after="560"/>
        <w:jc w:val="center"/>
      </w:pPr>
      <w:r>
        <w:rPr>
          <w:color w:val="386037"/>
          <w:sz w:val="30"/>
        </w:rPr>
        <w:t>Plataforma empresarial e intranet Gaia Amazonas</w:t>
      </w:r>
    </w:p>
    <w:tbl>
      <w:tblPr>
        <w:tblW w:type="auto" w:w="0"/>
        <w:jc w:val="center"/>
        <w:tblLayout w:type="fixed"/>
        <w:tblLook w:firstColumn="1" w:firstRow="1" w:lastColumn="0" w:lastRow="0" w:noHBand="0" w:noVBand="1" w:val="04A0"/>
      </w:tblPr>
      <w:tblGrid>
        <w:gridCol w:w="9878"/>
      </w:tblGrid>
      <w:tr>
        <w:tc>
          <w:tcPr>
            <w:tcW w:type="dxa" w:w="9576"/>
            <w:shd w:fill="EDF4EA"/>
            <w:tcMar>
              <w:top w:w="130" w:type="dxa"/>
              <w:start w:w="160" w:type="dxa"/>
              <w:bottom w:w="130" w:type="dxa"/>
              <w:end w:w="160" w:type="dxa"/>
            </w:tcMar>
          </w:tcPr>
          <w:p>
            <w:pPr>
              <w:spacing w:after="60"/>
            </w:pPr>
            <w:r>
              <w:rPr>
                <w:b/>
                <w:color w:val="386037"/>
                <w:sz w:val="18"/>
              </w:rPr>
              <w:t>PROPÓSITO</w:t>
            </w:r>
          </w:p>
          <w:p>
            <w:pPr>
              <w:spacing w:after="0" w:line="259" w:lineRule="auto"/>
            </w:pPr>
            <w:r>
              <w:t>Determinar la viabilidad técnica, funcional, operativa y económica de continuar la plataforma sobre Power Apps y Dataverse, con énfasis en respuestas rápidas, 30–50 usuarios consultando la aplicación, crecimiento documental, inventarios, reportería y Power BI.</w:t>
            </w:r>
          </w:p>
        </w:tc>
      </w:tr>
    </w:tbl>
    <w:p>
      <w:pPr>
        <w:spacing w:after="20"/>
      </w:pPr>
    </w:p>
    <w:p>
      <w:pPr>
        <w:spacing w:after="1100"/>
      </w:pPr>
    </w:p>
    <w:p>
      <w:pPr>
        <w:spacing w:after="60"/>
        <w:jc w:val="center"/>
      </w:pPr>
      <w:r>
        <w:rPr>
          <w:b/>
          <w:color w:val="173F3D"/>
        </w:rPr>
        <w:t xml:space="preserve">Organización: </w:t>
      </w:r>
      <w:r>
        <w:rPr>
          <w:color w:val="5F6B6A"/>
        </w:rPr>
        <w:t>Fundación Gaia Amazonas</w:t>
      </w:r>
    </w:p>
    <w:p>
      <w:pPr>
        <w:spacing w:after="60"/>
        <w:jc w:val="center"/>
      </w:pPr>
      <w:r>
        <w:rPr>
          <w:b/>
          <w:color w:val="173F3D"/>
        </w:rPr>
        <w:t xml:space="preserve">Alcance: </w:t>
      </w:r>
      <w:r>
        <w:rPr>
          <w:color w:val="5F6B6A"/>
        </w:rPr>
        <w:t>Alternativa Power Apps + Dataverse exclusivamente</w:t>
      </w:r>
    </w:p>
    <w:p>
      <w:pPr>
        <w:spacing w:after="60"/>
        <w:jc w:val="center"/>
      </w:pPr>
      <w:r>
        <w:rPr>
          <w:b/>
          <w:color w:val="173F3D"/>
        </w:rPr>
        <w:t xml:space="preserve">Fecha de corte: </w:t>
      </w:r>
      <w:r>
        <w:rPr>
          <w:color w:val="5F6B6A"/>
        </w:rPr>
        <w:t>5 de agosto de 2026</w:t>
      </w:r>
    </w:p>
    <w:p>
      <w:pPr>
        <w:spacing w:after="60"/>
        <w:jc w:val="center"/>
      </w:pPr>
      <w:r>
        <w:rPr>
          <w:b/>
          <w:color w:val="173F3D"/>
        </w:rPr>
        <w:t xml:space="preserve">Clasificación: </w:t>
      </w:r>
      <w:r>
        <w:rPr>
          <w:color w:val="5F6B6A"/>
        </w:rPr>
        <w:t>Documento de evaluación técnica para decisión interna</w:t>
      </w:r>
    </w:p>
    <w:p>
      <w:r>
        <w:br w:type="page"/>
      </w:r>
    </w:p>
    <w:p>
      <w:pPr>
        <w:pStyle w:val="Heading1"/>
        <w:keepNext/>
      </w:pPr>
      <w:r>
        <w:t>Resumen ejecutivo</w:t>
      </w:r>
    </w:p>
    <w:tbl>
      <w:tblPr>
        <w:tblW w:type="auto" w:w="0"/>
        <w:jc w:val="center"/>
        <w:tblLayout w:type="fixed"/>
        <w:tblLook w:firstColumn="1" w:firstRow="1" w:lastColumn="0" w:lastRow="0" w:noHBand="0" w:noVBand="1" w:val="04A0"/>
      </w:tblPr>
      <w:tblGrid>
        <w:gridCol w:w="9878"/>
      </w:tblGrid>
      <w:tr>
        <w:tc>
          <w:tcPr>
            <w:tcW w:type="dxa" w:w="9576"/>
            <w:shd w:fill="EDF4EA"/>
            <w:tcMar>
              <w:top w:w="130" w:type="dxa"/>
              <w:start w:w="160" w:type="dxa"/>
              <w:bottom w:w="130" w:type="dxa"/>
              <w:end w:w="160" w:type="dxa"/>
            </w:tcMar>
          </w:tcPr>
          <w:p>
            <w:pPr>
              <w:spacing w:after="60"/>
            </w:pPr>
            <w:r>
              <w:rPr>
                <w:b/>
                <w:color w:val="386037"/>
                <w:sz w:val="18"/>
              </w:rPr>
              <w:t>CONCLUSIÓN PRINCIPAL</w:t>
            </w:r>
          </w:p>
          <w:p>
            <w:pPr>
              <w:spacing w:after="0" w:line="259" w:lineRule="auto"/>
            </w:pPr>
            <w:r>
              <w:t>Power Apps + Dataverse es técnicamente viable para una población de 30–50 usuarios que consulten y gestionen información, siempre que se confirme el licenciamiento permanente, se diseñen consultas delegables, se separen los documentos hacia SharePoint, se controle la automatización y se adopte un modelo formal de entornos, seguridad, pruebas y monitoreo. La concurrencia indicada no es, por sí sola, un impedimento de capacidad.</w:t>
            </w:r>
          </w:p>
        </w:tc>
      </w:tr>
    </w:tbl>
    <w:p>
      <w:pPr>
        <w:spacing w:after="20"/>
      </w:pPr>
    </w:p>
    <w:p>
      <w:pPr>
        <w:spacing w:after="100"/>
      </w:pPr>
      <w:r>
        <w:rPr>
          <w:i w:val="0"/>
        </w:rPr>
        <w:t>El riesgo funcional más importante no es el número simple de llamadas, sino la posibilidad de obtener resultados incompletos por fórmulas no delegables. En Canvas Apps, una consulta no delegable procesa por defecto los primeros 500 registros y puede configurarse hasta 2.000. Cuando la tabla supera ese volumen, una búsqueda puede omitir registros válidos. Este riesgo debe tratarse como criterio de aceptación y no como una advertencia menor de desarrollo. [S1]</w:t>
      </w:r>
    </w:p>
    <w:p>
      <w:pPr>
        <w:spacing w:after="100"/>
      </w:pPr>
      <w:r>
        <w:rPr>
          <w:i w:val="0"/>
        </w:rPr>
        <w:t>La rapidez depende del diseño. Una pantalla de Terceros puede requerir varias solicitudes para persona, idiomas, estudios, experiencia y documentos; esto es manejable si las relaciones se cargan bajo demanda, los catálogos pequeños se mantienen en memoria y las búsquedas aplican espera de escritura. Power Apps se degrada cuando se sobrecarga App.OnStart, se descargan colecciones grandes, se ejecutan consultas N+1 o se repiten llamadas en controles y galerías. [S2][S3]</w:t>
      </w:r>
    </w:p>
    <w:p>
      <w:pPr>
        <w:spacing w:after="100"/>
      </w:pPr>
      <w:r>
        <w:rPr>
          <w:i w:val="0"/>
        </w:rPr>
        <w:t>Las licencias observadas no permiten concluir que la producción esté cubierta. Power Apps Plan 2 Trial es temporal; Power Apps Developer es exclusivamente para desarrollo y pruebas y no autoriza producción. La licencia Microsoft 365 Empresa Premium no debe confundirse con Power Apps Premium. Antes de aprobar la arquitectura se requiere un reporte oficial del tenant con licencias calificadas, expiraciones, usuarios activos y capacidad efectiva. [S4][S5]</w:t>
      </w:r>
    </w:p>
    <w:p>
      <w:pPr>
        <w:spacing w:after="100"/>
      </w:pPr>
      <w:r>
        <w:rPr>
          <w:i w:val="0"/>
        </w:rPr>
        <w:t>Para documentos, fotografías y PDF se recomienda Dataverse para metadatos, relaciones, estados y control transaccional, y SharePoint Online para los archivos. Microsoft soporta la gestión documental integrada, permitiendo acceder a documentos de SharePoint desde registros de Dataverse. Esto reduce el consumo de capacidad de archivos de Dataverse y aprovecha las capacidades documentales de Microsoft 365. [S6]</w:t>
      </w:r>
    </w:p>
    <w:p>
      <w:pPr>
        <w:spacing w:after="100"/>
      </w:pPr>
      <w:r>
        <w:rPr>
          <w:i w:val="0"/>
        </w:rPr>
        <w:t>Power BI se integra de forma natural, pero su licenciamiento es independiente. Insertar un reporte en Power Apps no concede acceso automáticamente: el usuario debe tener permisos y Power BI Pro/PPU, o el contenido debe residir en una capacidad Fabric/Premium que habilite a los lectores correspondientes. [S7]</w:t>
      </w:r>
    </w:p>
    <w:p>
      <w:pPr>
        <w:pStyle w:val="Heading2"/>
        <w:keepNext/>
      </w:pPr>
      <w:r>
        <w:t>Decisión recomendada</w:t>
      </w:r>
    </w:p>
    <w:p>
      <w:pPr>
        <w:spacing w:after="100"/>
      </w:pPr>
      <w:r>
        <w:rPr>
          <w:i w:val="0"/>
        </w:rPr>
        <w:t>Autorizar una prueba de arquitectura controlada, no todavía una adopción definitiva. La prueba debe utilizar un entorno de desarrollo y uno de pruebas; implementar Organización, Terceros e Inventario; cargar un volumen representativo; simular 50 usuarios; medir latencia, delegación, solicitudes y almacenamiento; y producir un informe de licencias desde el centro de administración. La producción solo debe aprobarse si se cumplen los criterios de la sección 13.</w:t>
      </w:r>
    </w:p>
    <w:p>
      <w:pPr>
        <w:pStyle w:val="Heading2"/>
        <w:keepNext/>
      </w:pPr>
      <w:r>
        <w:t>Hallazgos críticos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80"/>
            <w:shd w:fill="173F3D"/>
            <w:tcMar>
              <w:top w:w="100" w:type="dxa"/>
              <w:start w:w="110" w:type="dxa"/>
              <w:bottom w:w="100" w:type="dxa"/>
              <w:end w:w="110" w:type="dxa"/>
            </w:tcMar>
            <w:vAlign w:val="center"/>
          </w:tcPr>
          <w:p>
            <w:pPr>
              <w:spacing w:after="0"/>
              <w:jc w:val="center"/>
            </w:pPr>
            <w:r>
              <w:rPr>
                <w:b/>
                <w:color w:val="FFFFFF"/>
                <w:sz w:val="16"/>
              </w:rPr>
              <w:t>Prioridad</w:t>
            </w:r>
          </w:p>
        </w:tc>
        <w:tc>
          <w:tcPr>
            <w:tcW w:type="dxa" w:w="3528"/>
            <w:shd w:fill="173F3D"/>
            <w:tcMar>
              <w:top w:w="100" w:type="dxa"/>
              <w:start w:w="110" w:type="dxa"/>
              <w:bottom w:w="100" w:type="dxa"/>
              <w:end w:w="110" w:type="dxa"/>
            </w:tcMar>
            <w:vAlign w:val="center"/>
          </w:tcPr>
          <w:p>
            <w:pPr>
              <w:spacing w:after="0"/>
              <w:jc w:val="center"/>
            </w:pPr>
            <w:r>
              <w:rPr>
                <w:b/>
                <w:color w:val="FFFFFF"/>
                <w:sz w:val="16"/>
              </w:rPr>
              <w:t>Hallazgo</w:t>
            </w:r>
          </w:p>
        </w:tc>
        <w:tc>
          <w:tcPr>
            <w:tcW w:type="dxa" w:w="4968"/>
            <w:shd w:fill="173F3D"/>
            <w:tcMar>
              <w:top w:w="100" w:type="dxa"/>
              <w:start w:w="110" w:type="dxa"/>
              <w:bottom w:w="100" w:type="dxa"/>
              <w:end w:w="110" w:type="dxa"/>
            </w:tcMar>
            <w:vAlign w:val="center"/>
          </w:tcPr>
          <w:p>
            <w:pPr>
              <w:spacing w:after="0"/>
              <w:jc w:val="center"/>
            </w:pPr>
            <w:r>
              <w:rPr>
                <w:b/>
                <w:color w:val="FFFFFF"/>
                <w:sz w:val="16"/>
              </w:rPr>
              <w:t>Impacto</w:t>
            </w:r>
          </w:p>
        </w:tc>
      </w:tr>
      <w:tr>
        <w:tc>
          <w:tcPr>
            <w:tcW w:type="dxa" w:w="1080"/>
            <w:tcMar>
              <w:top w:w="90" w:type="dxa"/>
              <w:start w:w="110" w:type="dxa"/>
              <w:bottom w:w="90" w:type="dxa"/>
              <w:end w:w="110" w:type="dxa"/>
            </w:tcMar>
            <w:vAlign w:val="center"/>
          </w:tcPr>
          <w:p>
            <w:pPr>
              <w:spacing w:after="0" w:line="247" w:lineRule="auto"/>
            </w:pPr>
            <w:r>
              <w:rPr>
                <w:sz w:val="16"/>
              </w:rPr>
              <w:t>Crítica</w:t>
            </w:r>
          </w:p>
        </w:tc>
        <w:tc>
          <w:tcPr>
            <w:tcW w:type="dxa" w:w="3528"/>
            <w:tcMar>
              <w:top w:w="90" w:type="dxa"/>
              <w:start w:w="110" w:type="dxa"/>
              <w:bottom w:w="90" w:type="dxa"/>
              <w:end w:w="110" w:type="dxa"/>
            </w:tcMar>
            <w:vAlign w:val="center"/>
          </w:tcPr>
          <w:p>
            <w:pPr>
              <w:spacing w:after="0" w:line="247" w:lineRule="auto"/>
            </w:pPr>
            <w:r>
              <w:rPr>
                <w:sz w:val="16"/>
              </w:rPr>
              <w:t>Trial y Developer no acreditan producción</w:t>
            </w:r>
          </w:p>
        </w:tc>
        <w:tc>
          <w:tcPr>
            <w:tcW w:type="dxa" w:w="4968"/>
            <w:tcMar>
              <w:top w:w="90" w:type="dxa"/>
              <w:start w:w="110" w:type="dxa"/>
              <w:bottom w:w="90" w:type="dxa"/>
              <w:end w:w="110" w:type="dxa"/>
            </w:tcMar>
            <w:vAlign w:val="center"/>
          </w:tcPr>
          <w:p>
            <w:pPr>
              <w:spacing w:after="0" w:line="247" w:lineRule="auto"/>
            </w:pPr>
            <w:r>
              <w:rPr>
                <w:sz w:val="16"/>
              </w:rPr>
              <w:t>Riesgo de interrupción, solicitud de compra o incumplimiento al expirar.</w:t>
            </w:r>
          </w:p>
        </w:tc>
      </w:tr>
      <w:tr>
        <w:tc>
          <w:tcPr>
            <w:tcW w:type="dxa" w:w="1080"/>
            <w:tcMar>
              <w:top w:w="90" w:type="dxa"/>
              <w:start w:w="110" w:type="dxa"/>
              <w:bottom w:w="90" w:type="dxa"/>
              <w:end w:w="110" w:type="dxa"/>
            </w:tcMar>
            <w:vAlign w:val="center"/>
            <w:shd w:fill="F5F8F7"/>
          </w:tcPr>
          <w:p>
            <w:pPr>
              <w:spacing w:after="0" w:line="247" w:lineRule="auto"/>
            </w:pPr>
            <w:r>
              <w:rPr>
                <w:sz w:val="16"/>
              </w:rPr>
              <w:t>Crítica</w:t>
            </w:r>
          </w:p>
        </w:tc>
        <w:tc>
          <w:tcPr>
            <w:tcW w:type="dxa" w:w="3528"/>
            <w:tcMar>
              <w:top w:w="90" w:type="dxa"/>
              <w:start w:w="110" w:type="dxa"/>
              <w:bottom w:w="90" w:type="dxa"/>
              <w:end w:w="110" w:type="dxa"/>
            </w:tcMar>
            <w:vAlign w:val="center"/>
            <w:shd w:fill="F5F8F7"/>
          </w:tcPr>
          <w:p>
            <w:pPr>
              <w:spacing w:after="0" w:line="247" w:lineRule="auto"/>
            </w:pPr>
            <w:r>
              <w:rPr>
                <w:sz w:val="16"/>
              </w:rPr>
              <w:t>Consultas no delegables</w:t>
            </w:r>
          </w:p>
        </w:tc>
        <w:tc>
          <w:tcPr>
            <w:tcW w:type="dxa" w:w="4968"/>
            <w:tcMar>
              <w:top w:w="90" w:type="dxa"/>
              <w:start w:w="110" w:type="dxa"/>
              <w:bottom w:w="90" w:type="dxa"/>
              <w:end w:w="110" w:type="dxa"/>
            </w:tcMar>
            <w:vAlign w:val="center"/>
            <w:shd w:fill="F5F8F7"/>
          </w:tcPr>
          <w:p>
            <w:pPr>
              <w:spacing w:after="0" w:line="247" w:lineRule="auto"/>
            </w:pPr>
            <w:r>
              <w:rPr>
                <w:sz w:val="16"/>
              </w:rPr>
              <w:t>Resultados incompletos a partir de 500/2.000 registros.</w:t>
            </w:r>
          </w:p>
        </w:tc>
      </w:tr>
      <w:tr>
        <w:tc>
          <w:tcPr>
            <w:tcW w:type="dxa" w:w="1080"/>
            <w:tcMar>
              <w:top w:w="90" w:type="dxa"/>
              <w:start w:w="110" w:type="dxa"/>
              <w:bottom w:w="90" w:type="dxa"/>
              <w:end w:w="110" w:type="dxa"/>
            </w:tcMar>
            <w:vAlign w:val="center"/>
          </w:tcPr>
          <w:p>
            <w:pPr>
              <w:spacing w:after="0" w:line="247" w:lineRule="auto"/>
            </w:pPr>
            <w:r>
              <w:rPr>
                <w:sz w:val="16"/>
              </w:rPr>
              <w:t>Alta</w:t>
            </w:r>
          </w:p>
        </w:tc>
        <w:tc>
          <w:tcPr>
            <w:tcW w:type="dxa" w:w="3528"/>
            <w:tcMar>
              <w:top w:w="90" w:type="dxa"/>
              <w:start w:w="110" w:type="dxa"/>
              <w:bottom w:w="90" w:type="dxa"/>
              <w:end w:w="110" w:type="dxa"/>
            </w:tcMar>
            <w:vAlign w:val="center"/>
          </w:tcPr>
          <w:p>
            <w:pPr>
              <w:spacing w:after="0" w:line="247" w:lineRule="auto"/>
            </w:pPr>
            <w:r>
              <w:rPr>
                <w:sz w:val="16"/>
              </w:rPr>
              <w:t>Documentos dentro de Dataverse</w:t>
            </w:r>
          </w:p>
        </w:tc>
        <w:tc>
          <w:tcPr>
            <w:tcW w:type="dxa" w:w="4968"/>
            <w:tcMar>
              <w:top w:w="90" w:type="dxa"/>
              <w:start w:w="110" w:type="dxa"/>
              <w:bottom w:w="90" w:type="dxa"/>
              <w:end w:w="110" w:type="dxa"/>
            </w:tcMar>
            <w:vAlign w:val="center"/>
          </w:tcPr>
          <w:p>
            <w:pPr>
              <w:spacing w:after="0" w:line="247" w:lineRule="auto"/>
            </w:pPr>
            <w:r>
              <w:rPr>
                <w:sz w:val="16"/>
              </w:rPr>
              <w:t>Crecimiento acelerado de File Capacity y mayores costos.</w:t>
            </w:r>
          </w:p>
        </w:tc>
      </w:tr>
      <w:tr>
        <w:tc>
          <w:tcPr>
            <w:tcW w:type="dxa" w:w="1080"/>
            <w:tcMar>
              <w:top w:w="90" w:type="dxa"/>
              <w:start w:w="110" w:type="dxa"/>
              <w:bottom w:w="90" w:type="dxa"/>
              <w:end w:w="110" w:type="dxa"/>
            </w:tcMar>
            <w:vAlign w:val="center"/>
            <w:shd w:fill="F5F8F7"/>
          </w:tcPr>
          <w:p>
            <w:pPr>
              <w:spacing w:after="0" w:line="247" w:lineRule="auto"/>
            </w:pPr>
            <w:r>
              <w:rPr>
                <w:sz w:val="16"/>
              </w:rPr>
              <w:t>Alta</w:t>
            </w:r>
          </w:p>
        </w:tc>
        <w:tc>
          <w:tcPr>
            <w:tcW w:type="dxa" w:w="3528"/>
            <w:tcMar>
              <w:top w:w="90" w:type="dxa"/>
              <w:start w:w="110" w:type="dxa"/>
              <w:bottom w:w="90" w:type="dxa"/>
              <w:end w:w="110" w:type="dxa"/>
            </w:tcMar>
            <w:vAlign w:val="center"/>
            <w:shd w:fill="F5F8F7"/>
          </w:tcPr>
          <w:p>
            <w:pPr>
              <w:spacing w:after="0" w:line="247" w:lineRule="auto"/>
            </w:pPr>
            <w:r>
              <w:rPr>
                <w:sz w:val="16"/>
              </w:rPr>
              <w:t>Aplicación Canvas monolítica</w:t>
            </w:r>
          </w:p>
        </w:tc>
        <w:tc>
          <w:tcPr>
            <w:tcW w:type="dxa" w:w="4968"/>
            <w:tcMar>
              <w:top w:w="90" w:type="dxa"/>
              <w:start w:w="110" w:type="dxa"/>
              <w:bottom w:w="90" w:type="dxa"/>
              <w:end w:w="110" w:type="dxa"/>
            </w:tcMar>
            <w:vAlign w:val="center"/>
            <w:shd w:fill="F5F8F7"/>
          </w:tcPr>
          <w:p>
            <w:pPr>
              <w:spacing w:after="0" w:line="247" w:lineRule="auto"/>
            </w:pPr>
            <w:r>
              <w:rPr>
                <w:sz w:val="16"/>
              </w:rPr>
              <w:t>Mayor tiempo de carga, regresiones y mantenimiento complejo.</w:t>
            </w:r>
          </w:p>
        </w:tc>
      </w:tr>
      <w:tr>
        <w:tc>
          <w:tcPr>
            <w:tcW w:type="dxa" w:w="1080"/>
            <w:tcMar>
              <w:top w:w="90" w:type="dxa"/>
              <w:start w:w="110" w:type="dxa"/>
              <w:bottom w:w="90" w:type="dxa"/>
              <w:end w:w="110" w:type="dxa"/>
            </w:tcMar>
            <w:vAlign w:val="center"/>
          </w:tcPr>
          <w:p>
            <w:pPr>
              <w:spacing w:after="0" w:line="247" w:lineRule="auto"/>
            </w:pPr>
            <w:r>
              <w:rPr>
                <w:sz w:val="16"/>
              </w:rPr>
              <w:t>Alta</w:t>
            </w:r>
          </w:p>
        </w:tc>
        <w:tc>
          <w:tcPr>
            <w:tcW w:type="dxa" w:w="3528"/>
            <w:tcMar>
              <w:top w:w="90" w:type="dxa"/>
              <w:start w:w="110" w:type="dxa"/>
              <w:bottom w:w="90" w:type="dxa"/>
              <w:end w:w="110" w:type="dxa"/>
            </w:tcMar>
            <w:vAlign w:val="center"/>
          </w:tcPr>
          <w:p>
            <w:pPr>
              <w:spacing w:after="0" w:line="247" w:lineRule="auto"/>
            </w:pPr>
            <w:r>
              <w:rPr>
                <w:sz w:val="16"/>
              </w:rPr>
              <w:t>Power BI con licencias separadas</w:t>
            </w:r>
          </w:p>
        </w:tc>
        <w:tc>
          <w:tcPr>
            <w:tcW w:type="dxa" w:w="4968"/>
            <w:tcMar>
              <w:top w:w="90" w:type="dxa"/>
              <w:start w:w="110" w:type="dxa"/>
              <w:bottom w:w="90" w:type="dxa"/>
              <w:end w:w="110" w:type="dxa"/>
            </w:tcMar>
            <w:vAlign w:val="center"/>
          </w:tcPr>
          <w:p>
            <w:pPr>
              <w:spacing w:after="0" w:line="247" w:lineRule="auto"/>
            </w:pPr>
            <w:r>
              <w:rPr>
                <w:sz w:val="16"/>
              </w:rPr>
              <w:t>Usuarios pueden abrir la app y no visualizar el informe.</w:t>
            </w:r>
          </w:p>
        </w:tc>
      </w:tr>
      <w:tr>
        <w:tc>
          <w:tcPr>
            <w:tcW w:type="dxa" w:w="1080"/>
            <w:tcMar>
              <w:top w:w="90" w:type="dxa"/>
              <w:start w:w="110" w:type="dxa"/>
              <w:bottom w:w="90" w:type="dxa"/>
              <w:end w:w="110" w:type="dxa"/>
            </w:tcMar>
            <w:vAlign w:val="center"/>
            <w:shd w:fill="F5F8F7"/>
          </w:tcPr>
          <w:p>
            <w:pPr>
              <w:spacing w:after="0" w:line="247" w:lineRule="auto"/>
            </w:pPr>
            <w:r>
              <w:rPr>
                <w:sz w:val="16"/>
              </w:rPr>
              <w:t>Media</w:t>
            </w:r>
          </w:p>
        </w:tc>
        <w:tc>
          <w:tcPr>
            <w:tcW w:type="dxa" w:w="3528"/>
            <w:tcMar>
              <w:top w:w="90" w:type="dxa"/>
              <w:start w:w="110" w:type="dxa"/>
              <w:bottom w:w="90" w:type="dxa"/>
              <w:end w:w="110" w:type="dxa"/>
            </w:tcMar>
            <w:vAlign w:val="center"/>
            <w:shd w:fill="F5F8F7"/>
          </w:tcPr>
          <w:p>
            <w:pPr>
              <w:spacing w:after="0" w:line="247" w:lineRule="auto"/>
            </w:pPr>
            <w:r>
              <w:rPr>
                <w:sz w:val="16"/>
              </w:rPr>
              <w:t>Dependencia tecnológica</w:t>
            </w:r>
          </w:p>
        </w:tc>
        <w:tc>
          <w:tcPr>
            <w:tcW w:type="dxa" w:w="4968"/>
            <w:tcMar>
              <w:top w:w="90" w:type="dxa"/>
              <w:start w:w="110" w:type="dxa"/>
              <w:bottom w:w="90" w:type="dxa"/>
              <w:end w:w="110" w:type="dxa"/>
            </w:tcMar>
            <w:vAlign w:val="center"/>
            <w:shd w:fill="F5F8F7"/>
          </w:tcPr>
          <w:p>
            <w:pPr>
              <w:spacing w:after="0" w:line="247" w:lineRule="auto"/>
            </w:pPr>
            <w:r>
              <w:rPr>
                <w:sz w:val="16"/>
              </w:rPr>
              <w:t>Migración futura requiere extraer esquema, lógica, flujos y seguridad.</w:t>
            </w:r>
          </w:p>
        </w:tc>
      </w:tr>
    </w:tbl>
    <w:p>
      <w:pPr>
        <w:spacing w:after="20"/>
      </w:pPr>
    </w:p>
    <w:p>
      <w:pPr>
        <w:pStyle w:val="Heading1"/>
        <w:keepNext/>
      </w:pPr>
      <w:r>
        <w:t>1. Objeto, alcance y supuestos</w:t>
      </w:r>
    </w:p>
    <w:p>
      <w:pPr>
        <w:spacing w:after="100"/>
      </w:pPr>
      <w:r>
        <w:rPr>
          <w:i w:val="0"/>
        </w:rPr>
        <w:t>Este informe evalúa exclusivamente la alternativa Microsoft Power Apps + Microsoft Dataverse para la plataforma empresarial de Gaia Amazonas. No compara todavía el costo humano ni la operación de una aplicación independiente; esos elementos corresponderán al segundo informe solicitado. La comparación integral será objeto de un tercer documento.</w:t>
      </w:r>
    </w:p>
    <w:p>
      <w:pPr>
        <w:spacing w:after="100"/>
      </w:pPr>
      <w:r>
        <w:rPr>
          <w:i w:val="0"/>
        </w:rPr>
        <w:t>La evaluación contempla estructura organizacional, terceros, usuarios y permisos, inventarios, documentos PDF, imágenes, reportes operativos, automatizaciones y consumo analítico desde Power BI.</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73F3D"/>
            <w:tcMar>
              <w:top w:w="100" w:type="dxa"/>
              <w:start w:w="110" w:type="dxa"/>
              <w:bottom w:w="100" w:type="dxa"/>
              <w:end w:w="110" w:type="dxa"/>
            </w:tcMar>
            <w:vAlign w:val="center"/>
          </w:tcPr>
          <w:p>
            <w:pPr>
              <w:spacing w:after="0"/>
              <w:jc w:val="center"/>
            </w:pPr>
            <w:r>
              <w:rPr>
                <w:b/>
                <w:color w:val="FFFFFF"/>
                <w:sz w:val="17"/>
              </w:rPr>
              <w:t>Variable</w:t>
            </w:r>
          </w:p>
        </w:tc>
        <w:tc>
          <w:tcPr>
            <w:tcW w:type="dxa" w:w="7344"/>
            <w:shd w:fill="173F3D"/>
            <w:tcMar>
              <w:top w:w="100" w:type="dxa"/>
              <w:start w:w="110" w:type="dxa"/>
              <w:bottom w:w="100" w:type="dxa"/>
              <w:end w:w="110" w:type="dxa"/>
            </w:tcMar>
            <w:vAlign w:val="center"/>
          </w:tcPr>
          <w:p>
            <w:pPr>
              <w:spacing w:after="0"/>
              <w:jc w:val="center"/>
            </w:pPr>
            <w:r>
              <w:rPr>
                <w:b/>
                <w:color w:val="FFFFFF"/>
                <w:sz w:val="17"/>
              </w:rPr>
              <w:t>Supuesto de trabajo</w:t>
            </w:r>
          </w:p>
        </w:tc>
      </w:tr>
      <w:tr>
        <w:tc>
          <w:tcPr>
            <w:tcW w:type="dxa" w:w="2232"/>
            <w:tcMar>
              <w:top w:w="90" w:type="dxa"/>
              <w:start w:w="110" w:type="dxa"/>
              <w:bottom w:w="90" w:type="dxa"/>
              <w:end w:w="110" w:type="dxa"/>
            </w:tcMar>
            <w:vAlign w:val="center"/>
          </w:tcPr>
          <w:p>
            <w:pPr>
              <w:spacing w:after="0" w:line="247" w:lineRule="auto"/>
            </w:pPr>
            <w:r>
              <w:rPr>
                <w:sz w:val="17"/>
              </w:rPr>
              <w:t>Población corporativa</w:t>
            </w:r>
          </w:p>
        </w:tc>
        <w:tc>
          <w:tcPr>
            <w:tcW w:type="dxa" w:w="7344"/>
            <w:tcMar>
              <w:top w:w="90" w:type="dxa"/>
              <w:start w:w="110" w:type="dxa"/>
              <w:bottom w:w="90" w:type="dxa"/>
              <w:end w:w="110" w:type="dxa"/>
            </w:tcMar>
            <w:vAlign w:val="center"/>
          </w:tcPr>
          <w:p>
            <w:pPr>
              <w:spacing w:after="0" w:line="247" w:lineRule="auto"/>
            </w:pPr>
            <w:r>
              <w:rPr>
                <w:sz w:val="17"/>
              </w:rPr>
              <w:t>170 empleados.</w:t>
            </w:r>
          </w:p>
        </w:tc>
      </w:tr>
      <w:tr>
        <w:tc>
          <w:tcPr>
            <w:tcW w:type="dxa" w:w="2232"/>
            <w:tcMar>
              <w:top w:w="90" w:type="dxa"/>
              <w:start w:w="110" w:type="dxa"/>
              <w:bottom w:w="90" w:type="dxa"/>
              <w:end w:w="110" w:type="dxa"/>
            </w:tcMar>
            <w:vAlign w:val="center"/>
            <w:shd w:fill="F5F8F7"/>
          </w:tcPr>
          <w:p>
            <w:pPr>
              <w:spacing w:after="0" w:line="247" w:lineRule="auto"/>
            </w:pPr>
            <w:r>
              <w:rPr>
                <w:sz w:val="17"/>
              </w:rPr>
              <w:t>Usuarios de la aplicación</w:t>
            </w:r>
          </w:p>
        </w:tc>
        <w:tc>
          <w:tcPr>
            <w:tcW w:type="dxa" w:w="7344"/>
            <w:tcMar>
              <w:top w:w="90" w:type="dxa"/>
              <w:start w:w="110" w:type="dxa"/>
              <w:bottom w:w="90" w:type="dxa"/>
              <w:end w:w="110" w:type="dxa"/>
            </w:tcMar>
            <w:vAlign w:val="center"/>
            <w:shd w:fill="F5F8F7"/>
          </w:tcPr>
          <w:p>
            <w:pPr>
              <w:spacing w:after="0" w:line="247" w:lineRule="auto"/>
            </w:pPr>
            <w:r>
              <w:rPr>
                <w:sz w:val="17"/>
              </w:rPr>
              <w:t>30–50 personas consultando y utilizando la aplicación. Para dimensionamiento se adopta 50 como escenario conservador.</w:t>
            </w:r>
          </w:p>
        </w:tc>
      </w:tr>
      <w:tr>
        <w:tc>
          <w:tcPr>
            <w:tcW w:type="dxa" w:w="2232"/>
            <w:tcMar>
              <w:top w:w="90" w:type="dxa"/>
              <w:start w:w="110" w:type="dxa"/>
              <w:bottom w:w="90" w:type="dxa"/>
              <w:end w:w="110" w:type="dxa"/>
            </w:tcMar>
            <w:vAlign w:val="center"/>
          </w:tcPr>
          <w:p>
            <w:pPr>
              <w:spacing w:after="0" w:line="247" w:lineRule="auto"/>
            </w:pPr>
            <w:r>
              <w:rPr>
                <w:sz w:val="17"/>
              </w:rPr>
              <w:t>Concurrencia</w:t>
            </w:r>
          </w:p>
        </w:tc>
        <w:tc>
          <w:tcPr>
            <w:tcW w:type="dxa" w:w="7344"/>
            <w:tcMar>
              <w:top w:w="90" w:type="dxa"/>
              <w:start w:w="110" w:type="dxa"/>
              <w:bottom w:w="90" w:type="dxa"/>
              <w:end w:w="110" w:type="dxa"/>
            </w:tcMar>
            <w:vAlign w:val="center"/>
          </w:tcPr>
          <w:p>
            <w:pPr>
              <w:spacing w:after="0" w:line="247" w:lineRule="auto"/>
            </w:pPr>
            <w:r>
              <w:rPr>
                <w:sz w:val="17"/>
              </w:rPr>
              <w:t>Se modela un pico de hasta 50 sesiones simultáneas. Si 30–50 corresponde a usuarios totales pero no simultáneos, la proyección es aún más favorable.</w:t>
            </w:r>
          </w:p>
        </w:tc>
      </w:tr>
      <w:tr>
        <w:tc>
          <w:tcPr>
            <w:tcW w:type="dxa" w:w="2232"/>
            <w:tcMar>
              <w:top w:w="90" w:type="dxa"/>
              <w:start w:w="110" w:type="dxa"/>
              <w:bottom w:w="90" w:type="dxa"/>
              <w:end w:w="110" w:type="dxa"/>
            </w:tcMar>
            <w:vAlign w:val="center"/>
            <w:shd w:fill="F5F8F7"/>
          </w:tcPr>
          <w:p>
            <w:pPr>
              <w:spacing w:after="0" w:line="247" w:lineRule="auto"/>
            </w:pPr>
            <w:r>
              <w:rPr>
                <w:sz w:val="17"/>
              </w:rPr>
              <w:t>Horizonte</w:t>
            </w:r>
          </w:p>
        </w:tc>
        <w:tc>
          <w:tcPr>
            <w:tcW w:type="dxa" w:w="7344"/>
            <w:tcMar>
              <w:top w:w="90" w:type="dxa"/>
              <w:start w:w="110" w:type="dxa"/>
              <w:bottom w:w="90" w:type="dxa"/>
              <w:end w:w="110" w:type="dxa"/>
            </w:tcMar>
            <w:vAlign w:val="center"/>
            <w:shd w:fill="F5F8F7"/>
          </w:tcPr>
          <w:p>
            <w:pPr>
              <w:spacing w:after="0" w:line="247" w:lineRule="auto"/>
            </w:pPr>
            <w:r>
              <w:rPr>
                <w:sz w:val="17"/>
              </w:rPr>
              <w:t>Estimaciones a 1, 3 y 5 años; la visión empresarial puede superar 10 años, pero requiere recalibración anual.</w:t>
            </w:r>
          </w:p>
        </w:tc>
      </w:tr>
      <w:tr>
        <w:tc>
          <w:tcPr>
            <w:tcW w:type="dxa" w:w="2232"/>
            <w:tcMar>
              <w:top w:w="90" w:type="dxa"/>
              <w:start w:w="110" w:type="dxa"/>
              <w:bottom w:w="90" w:type="dxa"/>
              <w:end w:w="110" w:type="dxa"/>
            </w:tcMar>
            <w:vAlign w:val="center"/>
          </w:tcPr>
          <w:p>
            <w:pPr>
              <w:spacing w:after="0" w:line="247" w:lineRule="auto"/>
            </w:pPr>
            <w:r>
              <w:rPr>
                <w:sz w:val="17"/>
              </w:rPr>
              <w:t>Rendimiento</w:t>
            </w:r>
          </w:p>
        </w:tc>
        <w:tc>
          <w:tcPr>
            <w:tcW w:type="dxa" w:w="7344"/>
            <w:tcMar>
              <w:top w:w="90" w:type="dxa"/>
              <w:start w:w="110" w:type="dxa"/>
              <w:bottom w:w="90" w:type="dxa"/>
              <w:end w:w="110" w:type="dxa"/>
            </w:tcMar>
            <w:vAlign w:val="center"/>
          </w:tcPr>
          <w:p>
            <w:pPr>
              <w:spacing w:after="0" w:line="247" w:lineRule="auto"/>
            </w:pPr>
            <w:r>
              <w:rPr>
                <w:sz w:val="17"/>
              </w:rPr>
              <w:t>Las respuestas rápidas se convierten en criterios medibles, no en una apreciación subjetiva.</w:t>
            </w:r>
          </w:p>
        </w:tc>
      </w:tr>
      <w:tr>
        <w:tc>
          <w:tcPr>
            <w:tcW w:type="dxa" w:w="2232"/>
            <w:tcMar>
              <w:top w:w="90" w:type="dxa"/>
              <w:start w:w="110" w:type="dxa"/>
              <w:bottom w:w="90" w:type="dxa"/>
              <w:end w:w="110" w:type="dxa"/>
            </w:tcMar>
            <w:vAlign w:val="center"/>
            <w:shd w:fill="F5F8F7"/>
          </w:tcPr>
          <w:p>
            <w:pPr>
              <w:spacing w:after="0" w:line="247" w:lineRule="auto"/>
            </w:pPr>
            <w:r>
              <w:rPr>
                <w:sz w:val="17"/>
              </w:rPr>
              <w:t>Documentos</w:t>
            </w:r>
          </w:p>
        </w:tc>
        <w:tc>
          <w:tcPr>
            <w:tcW w:type="dxa" w:w="7344"/>
            <w:tcMar>
              <w:top w:w="90" w:type="dxa"/>
              <w:start w:w="110" w:type="dxa"/>
              <w:bottom w:w="90" w:type="dxa"/>
              <w:end w:w="110" w:type="dxa"/>
            </w:tcMar>
            <w:vAlign w:val="center"/>
            <w:shd w:fill="F5F8F7"/>
          </w:tcPr>
          <w:p>
            <w:pPr>
              <w:spacing w:after="0" w:line="247" w:lineRule="auto"/>
            </w:pPr>
            <w:r>
              <w:rPr>
                <w:sz w:val="17"/>
              </w:rPr>
              <w:t>PDF, imágenes, hojas de vida, soportes de inventario, actas y evidencias.</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576"/>
            <w:shd w:fill="FBF5E8"/>
            <w:tcMar>
              <w:top w:w="130" w:type="dxa"/>
              <w:start w:w="160" w:type="dxa"/>
              <w:bottom w:w="130" w:type="dxa"/>
              <w:end w:w="160" w:type="dxa"/>
            </w:tcMar>
          </w:tcPr>
          <w:p>
            <w:pPr>
              <w:spacing w:after="60"/>
            </w:pPr>
            <w:r>
              <w:rPr>
                <w:b/>
                <w:color w:val="A77A20"/>
                <w:sz w:val="18"/>
              </w:rPr>
              <w:t>REGLA DE LICENCIAMIENTO</w:t>
            </w:r>
          </w:p>
          <w:p>
            <w:pPr>
              <w:spacing w:after="0" w:line="259" w:lineRule="auto"/>
            </w:pPr>
            <w:r>
              <w:t>Las licencias se asignan por usuario o por el modelo contractual aplicable, no por número de conexiones simultáneas. Si 170 personas abren la aplicación en momentos distintos, la concurrencia puede ser 50 pero la población que necesita derechos de uso podría ser 170.</w:t>
            </w:r>
          </w:p>
        </w:tc>
      </w:tr>
    </w:tbl>
    <w:p>
      <w:pPr>
        <w:spacing w:after="20"/>
      </w:pPr>
    </w:p>
    <w:p>
      <w:pPr>
        <w:pStyle w:val="Heading1"/>
        <w:keepNext/>
      </w:pPr>
      <w:r>
        <w:t>2. Evidencia de licenciamiento disponible</w:t>
      </w:r>
    </w:p>
    <w:p>
      <w:pPr>
        <w:spacing w:after="100"/>
      </w:pPr>
      <w:r>
        <w:rPr>
          <w:i w:val="0"/>
        </w:rPr>
        <w:t>Las capturas proporcionadas reflejan disponibilidad y asignación de productos en el tenant. No constituyen por sí mismas una liquidación contractual ni prueban derechos de producción para Dataverse. El conteo aparente es el resultado de restar licencias disponibles de licencias totales y puede incluir asignaciones superpuestas sobre las mismas personas.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shd w:fill="173F3D"/>
            <w:tcMar>
              <w:top w:w="100" w:type="dxa"/>
              <w:start w:w="110" w:type="dxa"/>
              <w:bottom w:w="100" w:type="dxa"/>
              <w:end w:w="110" w:type="dxa"/>
            </w:tcMar>
            <w:vAlign w:val="center"/>
          </w:tcPr>
          <w:p>
            <w:pPr>
              <w:spacing w:after="0"/>
              <w:jc w:val="center"/>
            </w:pPr>
            <w:r>
              <w:rPr>
                <w:b/>
                <w:color w:val="FFFFFF"/>
                <w:sz w:val="16"/>
              </w:rPr>
              <w:t>Producto observado</w:t>
            </w:r>
          </w:p>
        </w:tc>
        <w:tc>
          <w:tcPr>
            <w:tcW w:type="dxa" w:w="2520"/>
            <w:shd w:fill="173F3D"/>
            <w:tcMar>
              <w:top w:w="100" w:type="dxa"/>
              <w:start w:w="110" w:type="dxa"/>
              <w:bottom w:w="100" w:type="dxa"/>
              <w:end w:w="110" w:type="dxa"/>
            </w:tcMar>
            <w:vAlign w:val="center"/>
          </w:tcPr>
          <w:p>
            <w:pPr>
              <w:spacing w:after="0"/>
              <w:jc w:val="center"/>
            </w:pPr>
            <w:r>
              <w:rPr>
                <w:b/>
                <w:color w:val="FFFFFF"/>
                <w:sz w:val="16"/>
              </w:rPr>
              <w:t>Lectura técnica</w:t>
            </w:r>
          </w:p>
        </w:tc>
        <w:tc>
          <w:tcPr>
            <w:tcW w:type="dxa" w:w="4608"/>
            <w:shd w:fill="173F3D"/>
            <w:tcMar>
              <w:top w:w="100" w:type="dxa"/>
              <w:start w:w="110" w:type="dxa"/>
              <w:bottom w:w="100" w:type="dxa"/>
              <w:end w:w="110" w:type="dxa"/>
            </w:tcMar>
            <w:vAlign w:val="center"/>
          </w:tcPr>
          <w:p>
            <w:pPr>
              <w:spacing w:after="0"/>
              <w:jc w:val="center"/>
            </w:pPr>
            <w:r>
              <w:rPr>
                <w:b/>
                <w:color w:val="FFFFFF"/>
                <w:sz w:val="16"/>
              </w:rPr>
              <w:t>Uso productivo</w:t>
            </w:r>
          </w:p>
        </w:tc>
      </w:tr>
      <w:tr>
        <w:tc>
          <w:tcPr>
            <w:tcW w:type="dxa" w:w="2448"/>
            <w:tcMar>
              <w:top w:w="90" w:type="dxa"/>
              <w:start w:w="110" w:type="dxa"/>
              <w:bottom w:w="90" w:type="dxa"/>
              <w:end w:w="110" w:type="dxa"/>
            </w:tcMar>
            <w:vAlign w:val="center"/>
          </w:tcPr>
          <w:p>
            <w:pPr>
              <w:spacing w:after="0" w:line="247" w:lineRule="auto"/>
            </w:pPr>
            <w:r>
              <w:rPr>
                <w:sz w:val="16"/>
              </w:rPr>
              <w:t>Microsoft 365 Empresa Premium</w:t>
            </w:r>
          </w:p>
        </w:tc>
        <w:tc>
          <w:tcPr>
            <w:tcW w:type="dxa" w:w="2520"/>
            <w:tcMar>
              <w:top w:w="90" w:type="dxa"/>
              <w:start w:w="110" w:type="dxa"/>
              <w:bottom w:w="90" w:type="dxa"/>
              <w:end w:w="110" w:type="dxa"/>
            </w:tcMar>
            <w:vAlign w:val="center"/>
          </w:tcPr>
          <w:p>
            <w:pPr>
              <w:spacing w:after="0" w:line="247" w:lineRule="auto"/>
            </w:pPr>
            <w:r>
              <w:rPr>
                <w:sz w:val="16"/>
              </w:rPr>
              <w:t>101 asignadas aparentes de 180.</w:t>
            </w:r>
          </w:p>
        </w:tc>
        <w:tc>
          <w:tcPr>
            <w:tcW w:type="dxa" w:w="4608"/>
            <w:tcMar>
              <w:top w:w="90" w:type="dxa"/>
              <w:start w:w="110" w:type="dxa"/>
              <w:bottom w:w="90" w:type="dxa"/>
              <w:end w:w="110" w:type="dxa"/>
            </w:tcMar>
            <w:vAlign w:val="center"/>
          </w:tcPr>
          <w:p>
            <w:pPr>
              <w:spacing w:after="0" w:line="247" w:lineRule="auto"/>
            </w:pPr>
            <w:r>
              <w:rPr>
                <w:sz w:val="16"/>
              </w:rPr>
              <w:t>Aporta Microsoft 365, SharePoint, Entra ID P1 y seguridad; no debe asumirse equivalente a Power Apps Premium.</w:t>
            </w:r>
          </w:p>
        </w:tc>
      </w:tr>
      <w:tr>
        <w:tc>
          <w:tcPr>
            <w:tcW w:type="dxa" w:w="2448"/>
            <w:tcMar>
              <w:top w:w="90" w:type="dxa"/>
              <w:start w:w="110" w:type="dxa"/>
              <w:bottom w:w="90" w:type="dxa"/>
              <w:end w:w="110" w:type="dxa"/>
            </w:tcMar>
            <w:vAlign w:val="center"/>
            <w:shd w:fill="F5F8F7"/>
          </w:tcPr>
          <w:p>
            <w:pPr>
              <w:spacing w:after="0" w:line="247" w:lineRule="auto"/>
            </w:pPr>
            <w:r>
              <w:rPr>
                <w:sz w:val="16"/>
              </w:rPr>
              <w:t>Microsoft 365 Empresa Básico</w:t>
            </w:r>
          </w:p>
        </w:tc>
        <w:tc>
          <w:tcPr>
            <w:tcW w:type="dxa" w:w="2520"/>
            <w:tcMar>
              <w:top w:w="90" w:type="dxa"/>
              <w:start w:w="110" w:type="dxa"/>
              <w:bottom w:w="90" w:type="dxa"/>
              <w:end w:w="110" w:type="dxa"/>
            </w:tcMar>
            <w:vAlign w:val="center"/>
            <w:shd w:fill="F5F8F7"/>
          </w:tcPr>
          <w:p>
            <w:pPr>
              <w:spacing w:after="0" w:line="247" w:lineRule="auto"/>
            </w:pPr>
            <w:r>
              <w:rPr>
                <w:sz w:val="16"/>
              </w:rPr>
              <w:t>52 asignadas aparentes de 299.</w:t>
            </w:r>
          </w:p>
        </w:tc>
        <w:tc>
          <w:tcPr>
            <w:tcW w:type="dxa" w:w="4608"/>
            <w:tcMar>
              <w:top w:w="90" w:type="dxa"/>
              <w:start w:w="110" w:type="dxa"/>
              <w:bottom w:w="90" w:type="dxa"/>
              <w:end w:w="110" w:type="dxa"/>
            </w:tcMar>
            <w:vAlign w:val="center"/>
            <w:shd w:fill="F5F8F7"/>
          </w:tcPr>
          <w:p>
            <w:pPr>
              <w:spacing w:after="0" w:line="247" w:lineRule="auto"/>
            </w:pPr>
            <w:r>
              <w:rPr>
                <w:sz w:val="16"/>
              </w:rPr>
              <w:t>Adecuada para productividad web; no acredita Dataverse premium personalizado.</w:t>
            </w:r>
          </w:p>
        </w:tc>
      </w:tr>
      <w:tr>
        <w:tc>
          <w:tcPr>
            <w:tcW w:type="dxa" w:w="2448"/>
            <w:tcMar>
              <w:top w:w="90" w:type="dxa"/>
              <w:start w:w="110" w:type="dxa"/>
              <w:bottom w:w="90" w:type="dxa"/>
              <w:end w:w="110" w:type="dxa"/>
            </w:tcMar>
            <w:vAlign w:val="center"/>
          </w:tcPr>
          <w:p>
            <w:pPr>
              <w:spacing w:after="0" w:line="247" w:lineRule="auto"/>
            </w:pPr>
            <w:r>
              <w:rPr>
                <w:sz w:val="16"/>
              </w:rPr>
              <w:t>Power Apps Plan 2 Trial</w:t>
            </w:r>
          </w:p>
        </w:tc>
        <w:tc>
          <w:tcPr>
            <w:tcW w:type="dxa" w:w="2520"/>
            <w:tcMar>
              <w:top w:w="90" w:type="dxa"/>
              <w:start w:w="110" w:type="dxa"/>
              <w:bottom w:w="90" w:type="dxa"/>
              <w:end w:w="110" w:type="dxa"/>
            </w:tcMar>
            <w:vAlign w:val="center"/>
          </w:tcPr>
          <w:p>
            <w:pPr>
              <w:spacing w:after="0" w:line="247" w:lineRule="auto"/>
            </w:pPr>
            <w:r>
              <w:rPr>
                <w:sz w:val="16"/>
              </w:rPr>
              <w:t>309 asignadas aparentes; prueba temporal.</w:t>
            </w:r>
          </w:p>
        </w:tc>
        <w:tc>
          <w:tcPr>
            <w:tcW w:type="dxa" w:w="4608"/>
            <w:tcMar>
              <w:top w:w="90" w:type="dxa"/>
              <w:start w:w="110" w:type="dxa"/>
              <w:bottom w:w="90" w:type="dxa"/>
              <w:end w:w="110" w:type="dxa"/>
            </w:tcMar>
            <w:vAlign w:val="center"/>
          </w:tcPr>
          <w:p>
            <w:pPr>
              <w:spacing w:after="0" w:line="247" w:lineRule="auto"/>
            </w:pPr>
            <w:r>
              <w:rPr>
                <w:sz w:val="16"/>
              </w:rPr>
              <w:t>No constituye base estable de producción; el trial individual tiene duración limitada. [S5]</w:t>
            </w:r>
          </w:p>
        </w:tc>
      </w:tr>
      <w:tr>
        <w:tc>
          <w:tcPr>
            <w:tcW w:type="dxa" w:w="2448"/>
            <w:tcMar>
              <w:top w:w="90" w:type="dxa"/>
              <w:start w:w="110" w:type="dxa"/>
              <w:bottom w:w="90" w:type="dxa"/>
              <w:end w:w="110" w:type="dxa"/>
            </w:tcMar>
            <w:vAlign w:val="center"/>
            <w:shd w:fill="F5F8F7"/>
          </w:tcPr>
          <w:p>
            <w:pPr>
              <w:spacing w:after="0" w:line="247" w:lineRule="auto"/>
            </w:pPr>
            <w:r>
              <w:rPr>
                <w:sz w:val="16"/>
              </w:rPr>
              <w:t>Power Apps for Developer</w:t>
            </w:r>
          </w:p>
        </w:tc>
        <w:tc>
          <w:tcPr>
            <w:tcW w:type="dxa" w:w="2520"/>
            <w:tcMar>
              <w:top w:w="90" w:type="dxa"/>
              <w:start w:w="110" w:type="dxa"/>
              <w:bottom w:w="90" w:type="dxa"/>
              <w:end w:w="110" w:type="dxa"/>
            </w:tcMar>
            <w:vAlign w:val="center"/>
            <w:shd w:fill="F5F8F7"/>
          </w:tcPr>
          <w:p>
            <w:pPr>
              <w:spacing w:after="0" w:line="247" w:lineRule="auto"/>
            </w:pPr>
            <w:r>
              <w:rPr>
                <w:sz w:val="16"/>
              </w:rPr>
              <w:t>222 asignadas aparentes.</w:t>
            </w:r>
          </w:p>
        </w:tc>
        <w:tc>
          <w:tcPr>
            <w:tcW w:type="dxa" w:w="4608"/>
            <w:tcMar>
              <w:top w:w="90" w:type="dxa"/>
              <w:start w:w="110" w:type="dxa"/>
              <w:bottom w:w="90" w:type="dxa"/>
              <w:end w:w="110" w:type="dxa"/>
            </w:tcMar>
            <w:vAlign w:val="center"/>
            <w:shd w:fill="F5F8F7"/>
          </w:tcPr>
          <w:p>
            <w:pPr>
              <w:spacing w:after="0" w:line="247" w:lineRule="auto"/>
            </w:pPr>
            <w:r>
              <w:rPr>
                <w:sz w:val="16"/>
              </w:rPr>
              <w:t>Solo desarrollo/pruebas; Microsoft exige plan pagado para producción. [S4]</w:t>
            </w:r>
          </w:p>
        </w:tc>
      </w:tr>
      <w:tr>
        <w:tc>
          <w:tcPr>
            <w:tcW w:type="dxa" w:w="2448"/>
            <w:tcMar>
              <w:top w:w="90" w:type="dxa"/>
              <w:start w:w="110" w:type="dxa"/>
              <w:bottom w:w="90" w:type="dxa"/>
              <w:end w:w="110" w:type="dxa"/>
            </w:tcMar>
            <w:vAlign w:val="center"/>
          </w:tcPr>
          <w:p>
            <w:pPr>
              <w:spacing w:after="0" w:line="247" w:lineRule="auto"/>
            </w:pPr>
            <w:r>
              <w:rPr>
                <w:sz w:val="16"/>
              </w:rPr>
              <w:t>Power Automate Free</w:t>
            </w:r>
          </w:p>
        </w:tc>
        <w:tc>
          <w:tcPr>
            <w:tcW w:type="dxa" w:w="2520"/>
            <w:tcMar>
              <w:top w:w="90" w:type="dxa"/>
              <w:start w:w="110" w:type="dxa"/>
              <w:bottom w:w="90" w:type="dxa"/>
              <w:end w:w="110" w:type="dxa"/>
            </w:tcMar>
            <w:vAlign w:val="center"/>
          </w:tcPr>
          <w:p>
            <w:pPr>
              <w:spacing w:after="0" w:line="247" w:lineRule="auto"/>
            </w:pPr>
            <w:r>
              <w:rPr>
                <w:sz w:val="16"/>
              </w:rPr>
              <w:t>Asignación amplia.</w:t>
            </w:r>
          </w:p>
        </w:tc>
        <w:tc>
          <w:tcPr>
            <w:tcW w:type="dxa" w:w="4608"/>
            <w:tcMar>
              <w:top w:w="90" w:type="dxa"/>
              <w:start w:w="110" w:type="dxa"/>
              <w:bottom w:w="90" w:type="dxa"/>
              <w:end w:w="110" w:type="dxa"/>
            </w:tcMar>
            <w:vAlign w:val="center"/>
          </w:tcPr>
          <w:p>
            <w:pPr>
              <w:spacing w:after="0" w:line="247" w:lineRule="auto"/>
            </w:pPr>
            <w:r>
              <w:rPr>
                <w:sz w:val="16"/>
              </w:rPr>
              <w:t>No cubre automáticamente conectores premium ni todos los procesos empresariales.</w:t>
            </w:r>
          </w:p>
        </w:tc>
      </w:tr>
      <w:tr>
        <w:tc>
          <w:tcPr>
            <w:tcW w:type="dxa" w:w="2448"/>
            <w:tcMar>
              <w:top w:w="90" w:type="dxa"/>
              <w:start w:w="110" w:type="dxa"/>
              <w:bottom w:w="90" w:type="dxa"/>
              <w:end w:w="110" w:type="dxa"/>
            </w:tcMar>
            <w:vAlign w:val="center"/>
            <w:shd w:fill="F5F8F7"/>
          </w:tcPr>
          <w:p>
            <w:pPr>
              <w:spacing w:after="0" w:line="247" w:lineRule="auto"/>
            </w:pPr>
            <w:r>
              <w:rPr>
                <w:sz w:val="16"/>
              </w:rPr>
              <w:t>Fabric (Gratis)</w:t>
            </w:r>
          </w:p>
        </w:tc>
        <w:tc>
          <w:tcPr>
            <w:tcW w:type="dxa" w:w="2520"/>
            <w:tcMar>
              <w:top w:w="90" w:type="dxa"/>
              <w:start w:w="110" w:type="dxa"/>
              <w:bottom w:w="90" w:type="dxa"/>
              <w:end w:w="110" w:type="dxa"/>
            </w:tcMar>
            <w:vAlign w:val="center"/>
            <w:shd w:fill="F5F8F7"/>
          </w:tcPr>
          <w:p>
            <w:pPr>
              <w:spacing w:after="0" w:line="247" w:lineRule="auto"/>
            </w:pPr>
            <w:r>
              <w:rPr>
                <w:sz w:val="16"/>
              </w:rPr>
              <w:t>Licencia gratuita.</w:t>
            </w:r>
          </w:p>
        </w:tc>
        <w:tc>
          <w:tcPr>
            <w:tcW w:type="dxa" w:w="4608"/>
            <w:tcMar>
              <w:top w:w="90" w:type="dxa"/>
              <w:start w:w="110" w:type="dxa"/>
              <w:bottom w:w="90" w:type="dxa"/>
              <w:end w:w="110" w:type="dxa"/>
            </w:tcMar>
            <w:vAlign w:val="center"/>
            <w:shd w:fill="F5F8F7"/>
          </w:tcPr>
          <w:p>
            <w:pPr>
              <w:spacing w:after="0" w:line="247" w:lineRule="auto"/>
            </w:pPr>
            <w:r>
              <w:rPr>
                <w:sz w:val="16"/>
              </w:rPr>
              <w:t>No equivale a capacidad Fabric pagada ni habilita distribución general de reportes.</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576"/>
            <w:shd w:fill="F8ECEF"/>
            <w:tcMar>
              <w:top w:w="130" w:type="dxa"/>
              <w:start w:w="160" w:type="dxa"/>
              <w:bottom w:w="130" w:type="dxa"/>
              <w:end w:w="160" w:type="dxa"/>
            </w:tcMar>
          </w:tcPr>
          <w:p>
            <w:pPr>
              <w:spacing w:after="60"/>
            </w:pPr>
            <w:r>
              <w:rPr>
                <w:b/>
                <w:color w:val="A0384D"/>
                <w:sz w:val="18"/>
              </w:rPr>
              <w:t>ACCIÓN OBLIGATORIA</w:t>
            </w:r>
          </w:p>
          <w:p>
            <w:pPr>
              <w:spacing w:after="0" w:line="259" w:lineRule="auto"/>
            </w:pPr>
            <w:r>
              <w:t>Solicitar al administrador: exportación de licencias adquiridas y asignadas; fecha de vencimiento de trials; tipo de entorno actual; reporte de usuarios que requieren licencia; Power Platform Requests; capacidad Database/File/Log; y licencias Power BI/Fabric. Sin estos datos no es responsable aprobar el costo definitivo.</w:t>
            </w:r>
          </w:p>
        </w:tc>
      </w:tr>
    </w:tbl>
    <w:p>
      <w:pPr>
        <w:spacing w:after="20"/>
      </w:pPr>
    </w:p>
    <w:p>
      <w:pPr>
        <w:spacing w:after="100"/>
      </w:pPr>
      <w:r>
        <w:rPr>
          <w:i w:val="0"/>
        </w:rPr>
        <w:t>Si Producción se configura como Managed Environment, Microsoft exige que cada usuario activo tenga Power Apps Premium, Power Automate Premium u otro derecho calificable, o que el entorno disponga del modelo de capacidad correspondiente. Desde junio de 2026 Microsoft muestra notificaciones de cumplimiento a usuarios y administradores. [S21]</w:t>
      </w:r>
    </w:p>
    <w:p>
      <w:pPr>
        <w:spacing w:after="100"/>
      </w:pPr>
      <w:r>
        <w:rPr>
          <w:i w:val="0"/>
        </w:rPr>
        <w:t>Tampoco es válido conectar a muchos usuarios mediante una sola cuenta o proceso para reducir licencias. Microsoft considera multiplexación el uso de hardware o software que agrupa conexiones o reduce el número de usuarios que acceden directa o indirectamente al servicio. La arquitectura y el contrato deben preservar el licenciamiento de cada beneficiario real. [S22]</w:t>
      </w:r>
    </w:p>
    <w:p>
      <w:pPr>
        <w:pStyle w:val="Heading1"/>
        <w:keepNext/>
      </w:pPr>
      <w:r>
        <w:t>3. Arquitectura recomendada dentro del ecosistema Microsoft</w:t>
      </w:r>
    </w:p>
    <w:p>
      <w:pPr>
        <w:spacing w:after="100"/>
      </w:pPr>
      <w:r>
        <w:rPr>
          <w:i w:val="0"/>
        </w:rPr>
        <w:t>La alternativa recomendada no es una única Canvas App con toda la plataforma. Debe utilizarse una arquitectura modular con Dataverse como sistema transaccional, aplicaciones diferenciadas por dominio y SharePoint como repositorio documental.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F3D"/>
            <w:tcMar>
              <w:top w:w="100" w:type="dxa"/>
              <w:start w:w="110" w:type="dxa"/>
              <w:bottom w:w="100" w:type="dxa"/>
              <w:end w:w="110" w:type="dxa"/>
            </w:tcMar>
            <w:vAlign w:val="center"/>
          </w:tcPr>
          <w:p>
            <w:pPr>
              <w:spacing w:after="0"/>
              <w:jc w:val="center"/>
            </w:pPr>
            <w:r>
              <w:rPr>
                <w:b/>
                <w:color w:val="FFFFFF"/>
                <w:sz w:val="16"/>
              </w:rPr>
              <w:t>Capa</w:t>
            </w:r>
          </w:p>
        </w:tc>
        <w:tc>
          <w:tcPr>
            <w:tcW w:type="dxa" w:w="2448"/>
            <w:shd w:fill="173F3D"/>
            <w:tcMar>
              <w:top w:w="100" w:type="dxa"/>
              <w:start w:w="110" w:type="dxa"/>
              <w:bottom w:w="100" w:type="dxa"/>
              <w:end w:w="110" w:type="dxa"/>
            </w:tcMar>
            <w:vAlign w:val="center"/>
          </w:tcPr>
          <w:p>
            <w:pPr>
              <w:spacing w:after="0"/>
              <w:jc w:val="center"/>
            </w:pPr>
            <w:r>
              <w:rPr>
                <w:b/>
                <w:color w:val="FFFFFF"/>
                <w:sz w:val="16"/>
              </w:rPr>
              <w:t>Tecnología</w:t>
            </w:r>
          </w:p>
        </w:tc>
        <w:tc>
          <w:tcPr>
            <w:tcW w:type="dxa" w:w="5472"/>
            <w:shd w:fill="173F3D"/>
            <w:tcMar>
              <w:top w:w="100" w:type="dxa"/>
              <w:start w:w="110" w:type="dxa"/>
              <w:bottom w:w="100" w:type="dxa"/>
              <w:end w:w="110" w:type="dxa"/>
            </w:tcMar>
            <w:vAlign w:val="center"/>
          </w:tcPr>
          <w:p>
            <w:pPr>
              <w:spacing w:after="0"/>
              <w:jc w:val="center"/>
            </w:pPr>
            <w:r>
              <w:rPr>
                <w:b/>
                <w:color w:val="FFFFFF"/>
                <w:sz w:val="16"/>
              </w:rPr>
              <w:t>Responsabilidad</w:t>
            </w:r>
          </w:p>
        </w:tc>
      </w:tr>
      <w:tr>
        <w:tc>
          <w:tcPr>
            <w:tcW w:type="dxa" w:w="1656"/>
            <w:tcMar>
              <w:top w:w="90" w:type="dxa"/>
              <w:start w:w="110" w:type="dxa"/>
              <w:bottom w:w="90" w:type="dxa"/>
              <w:end w:w="110" w:type="dxa"/>
            </w:tcMar>
            <w:vAlign w:val="center"/>
          </w:tcPr>
          <w:p>
            <w:pPr>
              <w:spacing w:after="0" w:line="247" w:lineRule="auto"/>
            </w:pPr>
            <w:r>
              <w:rPr>
                <w:sz w:val="16"/>
              </w:rPr>
              <w:t>Identidad</w:t>
            </w:r>
          </w:p>
        </w:tc>
        <w:tc>
          <w:tcPr>
            <w:tcW w:type="dxa" w:w="2448"/>
            <w:tcMar>
              <w:top w:w="90" w:type="dxa"/>
              <w:start w:w="110" w:type="dxa"/>
              <w:bottom w:w="90" w:type="dxa"/>
              <w:end w:w="110" w:type="dxa"/>
            </w:tcMar>
            <w:vAlign w:val="center"/>
          </w:tcPr>
          <w:p>
            <w:pPr>
              <w:spacing w:after="0" w:line="247" w:lineRule="auto"/>
            </w:pPr>
            <w:r>
              <w:rPr>
                <w:sz w:val="16"/>
              </w:rPr>
              <w:t>Microsoft Entra ID</w:t>
            </w:r>
          </w:p>
        </w:tc>
        <w:tc>
          <w:tcPr>
            <w:tcW w:type="dxa" w:w="5472"/>
            <w:tcMar>
              <w:top w:w="90" w:type="dxa"/>
              <w:start w:w="110" w:type="dxa"/>
              <w:bottom w:w="90" w:type="dxa"/>
              <w:end w:w="110" w:type="dxa"/>
            </w:tcMar>
            <w:vAlign w:val="center"/>
          </w:tcPr>
          <w:p>
            <w:pPr>
              <w:spacing w:after="0" w:line="247" w:lineRule="auto"/>
            </w:pPr>
            <w:r>
              <w:rPr>
                <w:sz w:val="16"/>
              </w:rPr>
              <w:t>Inicio de sesión, MFA, grupos y acceso condicionado.</w:t>
            </w:r>
          </w:p>
        </w:tc>
      </w:tr>
      <w:tr>
        <w:tc>
          <w:tcPr>
            <w:tcW w:type="dxa" w:w="1656"/>
            <w:tcMar>
              <w:top w:w="90" w:type="dxa"/>
              <w:start w:w="110" w:type="dxa"/>
              <w:bottom w:w="90" w:type="dxa"/>
              <w:end w:w="110" w:type="dxa"/>
            </w:tcMar>
            <w:vAlign w:val="center"/>
            <w:shd w:fill="F5F8F7"/>
          </w:tcPr>
          <w:p>
            <w:pPr>
              <w:spacing w:after="0" w:line="247" w:lineRule="auto"/>
            </w:pPr>
            <w:r>
              <w:rPr>
                <w:sz w:val="16"/>
              </w:rPr>
              <w:t>Experiencia</w:t>
            </w:r>
          </w:p>
        </w:tc>
        <w:tc>
          <w:tcPr>
            <w:tcW w:type="dxa" w:w="2448"/>
            <w:tcMar>
              <w:top w:w="90" w:type="dxa"/>
              <w:start w:w="110" w:type="dxa"/>
              <w:bottom w:w="90" w:type="dxa"/>
              <w:end w:w="110" w:type="dxa"/>
            </w:tcMar>
            <w:vAlign w:val="center"/>
            <w:shd w:fill="F5F8F7"/>
          </w:tcPr>
          <w:p>
            <w:pPr>
              <w:spacing w:after="0" w:line="247" w:lineRule="auto"/>
            </w:pPr>
            <w:r>
              <w:rPr>
                <w:sz w:val="16"/>
              </w:rPr>
              <w:t>Power Apps Canvas y/o Model-driven</w:t>
            </w:r>
          </w:p>
        </w:tc>
        <w:tc>
          <w:tcPr>
            <w:tcW w:type="dxa" w:w="5472"/>
            <w:tcMar>
              <w:top w:w="90" w:type="dxa"/>
              <w:start w:w="110" w:type="dxa"/>
              <w:bottom w:w="90" w:type="dxa"/>
              <w:end w:w="110" w:type="dxa"/>
            </w:tcMar>
            <w:vAlign w:val="center"/>
            <w:shd w:fill="F5F8F7"/>
          </w:tcPr>
          <w:p>
            <w:pPr>
              <w:spacing w:after="0" w:line="247" w:lineRule="auto"/>
            </w:pPr>
            <w:r>
              <w:rPr>
                <w:sz w:val="16"/>
              </w:rPr>
              <w:t>Canvas para experiencias específicas; model-driven para gestión intensiva de datos y formularios relacionados.</w:t>
            </w:r>
          </w:p>
        </w:tc>
      </w:tr>
      <w:tr>
        <w:tc>
          <w:tcPr>
            <w:tcW w:type="dxa" w:w="1656"/>
            <w:tcMar>
              <w:top w:w="90" w:type="dxa"/>
              <w:start w:w="110" w:type="dxa"/>
              <w:bottom w:w="90" w:type="dxa"/>
              <w:end w:w="110" w:type="dxa"/>
            </w:tcMar>
            <w:vAlign w:val="center"/>
          </w:tcPr>
          <w:p>
            <w:pPr>
              <w:spacing w:after="0" w:line="247" w:lineRule="auto"/>
            </w:pPr>
            <w:r>
              <w:rPr>
                <w:sz w:val="16"/>
              </w:rPr>
              <w:t>Datos</w:t>
            </w:r>
          </w:p>
        </w:tc>
        <w:tc>
          <w:tcPr>
            <w:tcW w:type="dxa" w:w="2448"/>
            <w:tcMar>
              <w:top w:w="90" w:type="dxa"/>
              <w:start w:w="110" w:type="dxa"/>
              <w:bottom w:w="90" w:type="dxa"/>
              <w:end w:w="110" w:type="dxa"/>
            </w:tcMar>
            <w:vAlign w:val="center"/>
          </w:tcPr>
          <w:p>
            <w:pPr>
              <w:spacing w:after="0" w:line="247" w:lineRule="auto"/>
            </w:pPr>
            <w:r>
              <w:rPr>
                <w:sz w:val="16"/>
              </w:rPr>
              <w:t>Microsoft Dataverse</w:t>
            </w:r>
          </w:p>
        </w:tc>
        <w:tc>
          <w:tcPr>
            <w:tcW w:type="dxa" w:w="5472"/>
            <w:tcMar>
              <w:top w:w="90" w:type="dxa"/>
              <w:start w:w="110" w:type="dxa"/>
              <w:bottom w:w="90" w:type="dxa"/>
              <w:end w:w="110" w:type="dxa"/>
            </w:tcMar>
            <w:vAlign w:val="center"/>
          </w:tcPr>
          <w:p>
            <w:pPr>
              <w:spacing w:after="0" w:line="247" w:lineRule="auto"/>
            </w:pPr>
            <w:r>
              <w:rPr>
                <w:sz w:val="16"/>
              </w:rPr>
              <w:t>Tablas, relaciones, reglas, seguridad por roles, filas y columnas.</w:t>
            </w:r>
          </w:p>
        </w:tc>
      </w:tr>
      <w:tr>
        <w:tc>
          <w:tcPr>
            <w:tcW w:type="dxa" w:w="1656"/>
            <w:tcMar>
              <w:top w:w="90" w:type="dxa"/>
              <w:start w:w="110" w:type="dxa"/>
              <w:bottom w:w="90" w:type="dxa"/>
              <w:end w:w="110" w:type="dxa"/>
            </w:tcMar>
            <w:vAlign w:val="center"/>
            <w:shd w:fill="F5F8F7"/>
          </w:tcPr>
          <w:p>
            <w:pPr>
              <w:spacing w:after="0" w:line="247" w:lineRule="auto"/>
            </w:pPr>
            <w:r>
              <w:rPr>
                <w:sz w:val="16"/>
              </w:rPr>
              <w:t>Documentos</w:t>
            </w:r>
          </w:p>
        </w:tc>
        <w:tc>
          <w:tcPr>
            <w:tcW w:type="dxa" w:w="2448"/>
            <w:tcMar>
              <w:top w:w="90" w:type="dxa"/>
              <w:start w:w="110" w:type="dxa"/>
              <w:bottom w:w="90" w:type="dxa"/>
              <w:end w:w="110" w:type="dxa"/>
            </w:tcMar>
            <w:vAlign w:val="center"/>
            <w:shd w:fill="F5F8F7"/>
          </w:tcPr>
          <w:p>
            <w:pPr>
              <w:spacing w:after="0" w:line="247" w:lineRule="auto"/>
            </w:pPr>
            <w:r>
              <w:rPr>
                <w:sz w:val="16"/>
              </w:rPr>
              <w:t>SharePoint Online integrado</w:t>
            </w:r>
          </w:p>
        </w:tc>
        <w:tc>
          <w:tcPr>
            <w:tcW w:type="dxa" w:w="5472"/>
            <w:tcMar>
              <w:top w:w="90" w:type="dxa"/>
              <w:start w:w="110" w:type="dxa"/>
              <w:bottom w:w="90" w:type="dxa"/>
              <w:end w:w="110" w:type="dxa"/>
            </w:tcMar>
            <w:vAlign w:val="center"/>
            <w:shd w:fill="F5F8F7"/>
          </w:tcPr>
          <w:p>
            <w:pPr>
              <w:spacing w:after="0" w:line="247" w:lineRule="auto"/>
            </w:pPr>
            <w:r>
              <w:rPr>
                <w:sz w:val="16"/>
              </w:rPr>
              <w:t>PDF, imágenes, soportes, versiones, carpetas y retención documental.</w:t>
            </w:r>
          </w:p>
        </w:tc>
      </w:tr>
      <w:tr>
        <w:tc>
          <w:tcPr>
            <w:tcW w:type="dxa" w:w="1656"/>
            <w:tcMar>
              <w:top w:w="90" w:type="dxa"/>
              <w:start w:w="110" w:type="dxa"/>
              <w:bottom w:w="90" w:type="dxa"/>
              <w:end w:w="110" w:type="dxa"/>
            </w:tcMar>
            <w:vAlign w:val="center"/>
          </w:tcPr>
          <w:p>
            <w:pPr>
              <w:spacing w:after="0" w:line="247" w:lineRule="auto"/>
            </w:pPr>
            <w:r>
              <w:rPr>
                <w:sz w:val="16"/>
              </w:rPr>
              <w:t>Procesos</w:t>
            </w:r>
          </w:p>
        </w:tc>
        <w:tc>
          <w:tcPr>
            <w:tcW w:type="dxa" w:w="2448"/>
            <w:tcMar>
              <w:top w:w="90" w:type="dxa"/>
              <w:start w:w="110" w:type="dxa"/>
              <w:bottom w:w="90" w:type="dxa"/>
              <w:end w:w="110" w:type="dxa"/>
            </w:tcMar>
            <w:vAlign w:val="center"/>
          </w:tcPr>
          <w:p>
            <w:pPr>
              <w:spacing w:after="0" w:line="247" w:lineRule="auto"/>
            </w:pPr>
            <w:r>
              <w:rPr>
                <w:sz w:val="16"/>
              </w:rPr>
              <w:t>Power Automate</w:t>
            </w:r>
          </w:p>
        </w:tc>
        <w:tc>
          <w:tcPr>
            <w:tcW w:type="dxa" w:w="5472"/>
            <w:tcMar>
              <w:top w:w="90" w:type="dxa"/>
              <w:start w:w="110" w:type="dxa"/>
              <w:bottom w:w="90" w:type="dxa"/>
              <w:end w:w="110" w:type="dxa"/>
            </w:tcMar>
            <w:vAlign w:val="center"/>
          </w:tcPr>
          <w:p>
            <w:pPr>
              <w:spacing w:after="0" w:line="247" w:lineRule="auto"/>
            </w:pPr>
            <w:r>
              <w:rPr>
                <w:sz w:val="16"/>
              </w:rPr>
              <w:t>Aprobaciones, notificaciones, generación documental e integraciones.</w:t>
            </w:r>
          </w:p>
        </w:tc>
      </w:tr>
      <w:tr>
        <w:tc>
          <w:tcPr>
            <w:tcW w:type="dxa" w:w="1656"/>
            <w:tcMar>
              <w:top w:w="90" w:type="dxa"/>
              <w:start w:w="110" w:type="dxa"/>
              <w:bottom w:w="90" w:type="dxa"/>
              <w:end w:w="110" w:type="dxa"/>
            </w:tcMar>
            <w:vAlign w:val="center"/>
            <w:shd w:fill="F5F8F7"/>
          </w:tcPr>
          <w:p>
            <w:pPr>
              <w:spacing w:after="0" w:line="247" w:lineRule="auto"/>
            </w:pPr>
            <w:r>
              <w:rPr>
                <w:sz w:val="16"/>
              </w:rPr>
              <w:t>Analítica</w:t>
            </w:r>
          </w:p>
        </w:tc>
        <w:tc>
          <w:tcPr>
            <w:tcW w:type="dxa" w:w="2448"/>
            <w:tcMar>
              <w:top w:w="90" w:type="dxa"/>
              <w:start w:w="110" w:type="dxa"/>
              <w:bottom w:w="90" w:type="dxa"/>
              <w:end w:w="110" w:type="dxa"/>
            </w:tcMar>
            <w:vAlign w:val="center"/>
            <w:shd w:fill="F5F8F7"/>
          </w:tcPr>
          <w:p>
            <w:pPr>
              <w:spacing w:after="0" w:line="247" w:lineRule="auto"/>
            </w:pPr>
            <w:r>
              <w:rPr>
                <w:sz w:val="16"/>
              </w:rPr>
              <w:t>Power BI/Fabric</w:t>
            </w:r>
          </w:p>
        </w:tc>
        <w:tc>
          <w:tcPr>
            <w:tcW w:type="dxa" w:w="5472"/>
            <w:tcMar>
              <w:top w:w="90" w:type="dxa"/>
              <w:start w:w="110" w:type="dxa"/>
              <w:bottom w:w="90" w:type="dxa"/>
              <w:end w:w="110" w:type="dxa"/>
            </w:tcMar>
            <w:vAlign w:val="center"/>
            <w:shd w:fill="F5F8F7"/>
          </w:tcPr>
          <w:p>
            <w:pPr>
              <w:spacing w:after="0" w:line="247" w:lineRule="auto"/>
            </w:pPr>
            <w:r>
              <w:rPr>
                <w:sz w:val="16"/>
              </w:rPr>
              <w:t>Modelos semánticos, tableros, indicadores y reportería.</w:t>
            </w:r>
          </w:p>
        </w:tc>
      </w:tr>
      <w:tr>
        <w:tc>
          <w:tcPr>
            <w:tcW w:type="dxa" w:w="1656"/>
            <w:tcMar>
              <w:top w:w="90" w:type="dxa"/>
              <w:start w:w="110" w:type="dxa"/>
              <w:bottom w:w="90" w:type="dxa"/>
              <w:end w:w="110" w:type="dxa"/>
            </w:tcMar>
            <w:vAlign w:val="center"/>
          </w:tcPr>
          <w:p>
            <w:pPr>
              <w:spacing w:after="0" w:line="247" w:lineRule="auto"/>
            </w:pPr>
            <w:r>
              <w:rPr>
                <w:sz w:val="16"/>
              </w:rPr>
              <w:t>Gobierno</w:t>
            </w:r>
          </w:p>
        </w:tc>
        <w:tc>
          <w:tcPr>
            <w:tcW w:type="dxa" w:w="2448"/>
            <w:tcMar>
              <w:top w:w="90" w:type="dxa"/>
              <w:start w:w="110" w:type="dxa"/>
              <w:bottom w:w="90" w:type="dxa"/>
              <w:end w:w="110" w:type="dxa"/>
            </w:tcMar>
            <w:vAlign w:val="center"/>
          </w:tcPr>
          <w:p>
            <w:pPr>
              <w:spacing w:after="0" w:line="247" w:lineRule="auto"/>
            </w:pPr>
            <w:r>
              <w:rPr>
                <w:sz w:val="16"/>
              </w:rPr>
              <w:t>Power Platform Admin Center</w:t>
            </w:r>
          </w:p>
        </w:tc>
        <w:tc>
          <w:tcPr>
            <w:tcW w:type="dxa" w:w="5472"/>
            <w:tcMar>
              <w:top w:w="90" w:type="dxa"/>
              <w:start w:w="110" w:type="dxa"/>
              <w:bottom w:w="90" w:type="dxa"/>
              <w:end w:w="110" w:type="dxa"/>
            </w:tcMar>
            <w:vAlign w:val="center"/>
          </w:tcPr>
          <w:p>
            <w:pPr>
              <w:spacing w:after="0" w:line="247" w:lineRule="auto"/>
            </w:pPr>
            <w:r>
              <w:rPr>
                <w:sz w:val="16"/>
              </w:rPr>
              <w:t>Entornos, DLP, capacidades, auditoría, licencias y monitoreo.</w:t>
            </w:r>
          </w:p>
        </w:tc>
      </w:tr>
    </w:tbl>
    <w:p>
      <w:pPr>
        <w:spacing w:after="20"/>
      </w:pPr>
    </w:p>
    <w:p>
      <w:pPr>
        <w:spacing w:after="100"/>
      </w:pPr>
      <w:r>
        <w:rPr>
          <w:i w:val="0"/>
        </w:rPr>
        <w:t>La estructura mínima debe incluir entornos separados de Desarrollo, Pruebas/UAT y Producción. Los componentes deben transportarse mediante Solutions y pipelines, evitando editar directamente en producción. Microsoft advierte que low-code no significa baja complejidad y recomienda ALM, control de código fuente, pruebas y despliegues automatizados. [S8]</w:t>
      </w:r>
    </w:p>
    <w:p>
      <w:pPr>
        <w:pStyle w:val="Heading1"/>
        <w:keepNext/>
      </w:pPr>
      <w:r>
        <w:t>4. Impactos funcionales y límites de Power Apps</w:t>
      </w:r>
    </w:p>
    <w:p>
      <w:pPr>
        <w:pStyle w:val="Heading2"/>
        <w:keepNext/>
      </w:pPr>
      <w:r>
        <w:t>4.1 Delegación: riesgo de respuestas incorrectas</w:t>
      </w:r>
    </w:p>
    <w:p>
      <w:pPr>
        <w:spacing w:after="100"/>
      </w:pPr>
      <w:r>
        <w:rPr>
          <w:i w:val="0"/>
        </w:rPr>
        <w:t>Delegar significa que Power Apps traduce el filtro, ordenamiento o búsqueda y lo ejecuta en Dataverse. Si la fórmula es delegable, Dataverse procesa el conjunto completo y devuelve únicamente las filas requeridas. Si no es delegable, Power Apps descarga una porción inicial y procesa localmente.</w:t>
      </w:r>
    </w:p>
    <w:tbl>
      <w:tblPr>
        <w:tblW w:type="auto" w:w="0"/>
        <w:jc w:val="center"/>
        <w:tblLayout w:type="fixed"/>
        <w:tblLook w:firstColumn="1" w:firstRow="1" w:lastColumn="0" w:lastRow="0" w:noHBand="0" w:noVBand="1" w:val="04A0"/>
      </w:tblPr>
      <w:tblGrid>
        <w:gridCol w:w="9878"/>
      </w:tblGrid>
      <w:tr>
        <w:tc>
          <w:tcPr>
            <w:tcW w:type="dxa" w:w="9576"/>
            <w:shd w:fill="F8ECEF"/>
            <w:tcMar>
              <w:top w:w="130" w:type="dxa"/>
              <w:start w:w="160" w:type="dxa"/>
              <w:bottom w:w="130" w:type="dxa"/>
              <w:end w:w="160" w:type="dxa"/>
            </w:tcMar>
          </w:tcPr>
          <w:p>
            <w:pPr>
              <w:spacing w:after="60"/>
            </w:pPr>
            <w:r>
              <w:rPr>
                <w:b/>
                <w:color w:val="A0384D"/>
                <w:sz w:val="18"/>
              </w:rPr>
              <w:t>IMPACTO FUNCIONAL</w:t>
            </w:r>
          </w:p>
          <w:p>
            <w:pPr>
              <w:spacing w:after="0" w:line="259" w:lineRule="auto"/>
            </w:pPr>
            <w:r>
              <w:t>El límite de 500/2.000 no significa que la tabla solo pueda guardar esa cantidad. Significa que determinadas fórmulas pueden buscar únicamente dentro de esa porción. Un tercero ubicado en el registro 2.001 podría no aparecer, aunque exista y el usuario tenga permiso. Esto puede producir decisiones operativas equivocadas.</w:t>
            </w:r>
          </w:p>
        </w:tc>
      </w:tr>
    </w:tbl>
    <w:p>
      <w:pPr>
        <w:spacing w:after="2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173F3D"/>
            <w:tcMar>
              <w:top w:w="100" w:type="dxa"/>
              <w:start w:w="110" w:type="dxa"/>
              <w:bottom w:w="100" w:type="dxa"/>
              <w:end w:w="110" w:type="dxa"/>
            </w:tcMar>
            <w:vAlign w:val="center"/>
          </w:tcPr>
          <w:p>
            <w:pPr>
              <w:spacing w:after="0"/>
              <w:jc w:val="center"/>
            </w:pPr>
            <w:r>
              <w:rPr>
                <w:b/>
                <w:color w:val="FFFFFF"/>
                <w:sz w:val="16"/>
              </w:rPr>
              <w:t>Caso</w:t>
            </w:r>
          </w:p>
        </w:tc>
        <w:tc>
          <w:tcPr>
            <w:tcW w:type="dxa" w:w="3888"/>
            <w:shd w:fill="173F3D"/>
            <w:tcMar>
              <w:top w:w="100" w:type="dxa"/>
              <w:start w:w="110" w:type="dxa"/>
              <w:bottom w:w="100" w:type="dxa"/>
              <w:end w:w="110" w:type="dxa"/>
            </w:tcMar>
            <w:vAlign w:val="center"/>
          </w:tcPr>
          <w:p>
            <w:pPr>
              <w:spacing w:after="0"/>
              <w:jc w:val="center"/>
            </w:pPr>
            <w:r>
              <w:rPr>
                <w:b/>
                <w:color w:val="FFFFFF"/>
                <w:sz w:val="16"/>
              </w:rPr>
              <w:t>Diseño incorrecto</w:t>
            </w:r>
          </w:p>
        </w:tc>
        <w:tc>
          <w:tcPr>
            <w:tcW w:type="dxa" w:w="4176"/>
            <w:shd w:fill="173F3D"/>
            <w:tcMar>
              <w:top w:w="100" w:type="dxa"/>
              <w:start w:w="110" w:type="dxa"/>
              <w:bottom w:w="100" w:type="dxa"/>
              <w:end w:w="110" w:type="dxa"/>
            </w:tcMar>
            <w:vAlign w:val="center"/>
          </w:tcPr>
          <w:p>
            <w:pPr>
              <w:spacing w:after="0"/>
              <w:jc w:val="center"/>
            </w:pPr>
            <w:r>
              <w:rPr>
                <w:b/>
                <w:color w:val="FFFFFF"/>
                <w:sz w:val="16"/>
              </w:rPr>
              <w:t>Diseño requerido</w:t>
            </w:r>
          </w:p>
        </w:tc>
      </w:tr>
      <w:tr>
        <w:tc>
          <w:tcPr>
            <w:tcW w:type="dxa" w:w="1512"/>
            <w:tcMar>
              <w:top w:w="90" w:type="dxa"/>
              <w:start w:w="110" w:type="dxa"/>
              <w:bottom w:w="90" w:type="dxa"/>
              <w:end w:w="110" w:type="dxa"/>
            </w:tcMar>
            <w:vAlign w:val="center"/>
          </w:tcPr>
          <w:p>
            <w:pPr>
              <w:spacing w:after="0" w:line="247" w:lineRule="auto"/>
            </w:pPr>
            <w:r>
              <w:rPr>
                <w:sz w:val="16"/>
              </w:rPr>
              <w:t>Buscar tercero</w:t>
            </w:r>
          </w:p>
        </w:tc>
        <w:tc>
          <w:tcPr>
            <w:tcW w:type="dxa" w:w="3888"/>
            <w:tcMar>
              <w:top w:w="90" w:type="dxa"/>
              <w:start w:w="110" w:type="dxa"/>
              <w:bottom w:w="90" w:type="dxa"/>
              <w:end w:w="110" w:type="dxa"/>
            </w:tcMar>
            <w:vAlign w:val="center"/>
          </w:tcPr>
          <w:p>
            <w:pPr>
              <w:spacing w:after="0" w:line="247" w:lineRule="auto"/>
            </w:pPr>
            <w:r>
              <w:rPr>
                <w:sz w:val="16"/>
              </w:rPr>
              <w:t>Fórmula no delegable sobre colección parcial.</w:t>
            </w:r>
          </w:p>
        </w:tc>
        <w:tc>
          <w:tcPr>
            <w:tcW w:type="dxa" w:w="4176"/>
            <w:tcMar>
              <w:top w:w="90" w:type="dxa"/>
              <w:start w:w="110" w:type="dxa"/>
              <w:bottom w:w="90" w:type="dxa"/>
              <w:end w:w="110" w:type="dxa"/>
            </w:tcMar>
            <w:vAlign w:val="center"/>
          </w:tcPr>
          <w:p>
            <w:pPr>
              <w:spacing w:after="0" w:line="247" w:lineRule="auto"/>
            </w:pPr>
            <w:r>
              <w:rPr>
                <w:sz w:val="16"/>
              </w:rPr>
              <w:t>Filtro delegable en columnas normalizadas e indexables; probar con límite de filas configurado en 1 durante QA.</w:t>
            </w:r>
          </w:p>
        </w:tc>
      </w:tr>
      <w:tr>
        <w:tc>
          <w:tcPr>
            <w:tcW w:type="dxa" w:w="1512"/>
            <w:tcMar>
              <w:top w:w="90" w:type="dxa"/>
              <w:start w:w="110" w:type="dxa"/>
              <w:bottom w:w="90" w:type="dxa"/>
              <w:end w:w="110" w:type="dxa"/>
            </w:tcMar>
            <w:vAlign w:val="center"/>
            <w:shd w:fill="F5F8F7"/>
          </w:tcPr>
          <w:p>
            <w:pPr>
              <w:spacing w:after="0" w:line="247" w:lineRule="auto"/>
            </w:pPr>
            <w:r>
              <w:rPr>
                <w:sz w:val="16"/>
              </w:rPr>
              <w:t>Inventario</w:t>
            </w:r>
          </w:p>
        </w:tc>
        <w:tc>
          <w:tcPr>
            <w:tcW w:type="dxa" w:w="3888"/>
            <w:tcMar>
              <w:top w:w="90" w:type="dxa"/>
              <w:start w:w="110" w:type="dxa"/>
              <w:bottom w:w="90" w:type="dxa"/>
              <w:end w:w="110" w:type="dxa"/>
            </w:tcMar>
            <w:vAlign w:val="center"/>
            <w:shd w:fill="F5F8F7"/>
          </w:tcPr>
          <w:p>
            <w:pPr>
              <w:spacing w:after="0" w:line="247" w:lineRule="auto"/>
            </w:pPr>
            <w:r>
              <w:rPr>
                <w:sz w:val="16"/>
              </w:rPr>
              <w:t>Descargar todos los activos y filtrar localmente.</w:t>
            </w:r>
          </w:p>
        </w:tc>
        <w:tc>
          <w:tcPr>
            <w:tcW w:type="dxa" w:w="4176"/>
            <w:tcMar>
              <w:top w:w="90" w:type="dxa"/>
              <w:start w:w="110" w:type="dxa"/>
              <w:bottom w:w="90" w:type="dxa"/>
              <w:end w:w="110" w:type="dxa"/>
            </w:tcMar>
            <w:vAlign w:val="center"/>
            <w:shd w:fill="F5F8F7"/>
          </w:tcPr>
          <w:p>
            <w:pPr>
              <w:spacing w:after="0" w:line="247" w:lineRule="auto"/>
            </w:pPr>
            <w:r>
              <w:rPr>
                <w:sz w:val="16"/>
              </w:rPr>
              <w:t>Filtrar por estado, sede, responsable y categoría en Dataverse; paginar resultados.</w:t>
            </w:r>
          </w:p>
        </w:tc>
      </w:tr>
      <w:tr>
        <w:tc>
          <w:tcPr>
            <w:tcW w:type="dxa" w:w="1512"/>
            <w:tcMar>
              <w:top w:w="90" w:type="dxa"/>
              <w:start w:w="110" w:type="dxa"/>
              <w:bottom w:w="90" w:type="dxa"/>
              <w:end w:w="110" w:type="dxa"/>
            </w:tcMar>
            <w:vAlign w:val="center"/>
          </w:tcPr>
          <w:p>
            <w:pPr>
              <w:spacing w:after="0" w:line="247" w:lineRule="auto"/>
            </w:pPr>
            <w:r>
              <w:rPr>
                <w:sz w:val="16"/>
              </w:rPr>
              <w:t>Texto libre</w:t>
            </w:r>
          </w:p>
        </w:tc>
        <w:tc>
          <w:tcPr>
            <w:tcW w:type="dxa" w:w="3888"/>
            <w:tcMar>
              <w:top w:w="90" w:type="dxa"/>
              <w:start w:w="110" w:type="dxa"/>
              <w:bottom w:w="90" w:type="dxa"/>
              <w:end w:w="110" w:type="dxa"/>
            </w:tcMar>
            <w:vAlign w:val="center"/>
          </w:tcPr>
          <w:p>
            <w:pPr>
              <w:spacing w:after="0" w:line="247" w:lineRule="auto"/>
            </w:pPr>
            <w:r>
              <w:rPr>
                <w:sz w:val="16"/>
              </w:rPr>
              <w:t>Aplicar funciones no delegables sobre múltiples columnas.</w:t>
            </w:r>
          </w:p>
        </w:tc>
        <w:tc>
          <w:tcPr>
            <w:tcW w:type="dxa" w:w="4176"/>
            <w:tcMar>
              <w:top w:w="90" w:type="dxa"/>
              <w:start w:w="110" w:type="dxa"/>
              <w:bottom w:w="90" w:type="dxa"/>
              <w:end w:w="110" w:type="dxa"/>
            </w:tcMar>
            <w:vAlign w:val="center"/>
          </w:tcPr>
          <w:p>
            <w:pPr>
              <w:spacing w:after="0" w:line="247" w:lineRule="auto"/>
            </w:pPr>
            <w:r>
              <w:rPr>
                <w:sz w:val="16"/>
              </w:rPr>
              <w:t>Definir columnas de búsqueda, vistas, Dataverse Search o estrategia especializada.</w:t>
            </w:r>
          </w:p>
        </w:tc>
      </w:tr>
      <w:tr>
        <w:tc>
          <w:tcPr>
            <w:tcW w:type="dxa" w:w="1512"/>
            <w:tcMar>
              <w:top w:w="90" w:type="dxa"/>
              <w:start w:w="110" w:type="dxa"/>
              <w:bottom w:w="90" w:type="dxa"/>
              <w:end w:w="110" w:type="dxa"/>
            </w:tcMar>
            <w:vAlign w:val="center"/>
            <w:shd w:fill="F5F8F7"/>
          </w:tcPr>
          <w:p>
            <w:pPr>
              <w:spacing w:after="0" w:line="247" w:lineRule="auto"/>
            </w:pPr>
            <w:r>
              <w:rPr>
                <w:sz w:val="16"/>
              </w:rPr>
              <w:t>Agrupaciones</w:t>
            </w:r>
          </w:p>
        </w:tc>
        <w:tc>
          <w:tcPr>
            <w:tcW w:type="dxa" w:w="3888"/>
            <w:tcMar>
              <w:top w:w="90" w:type="dxa"/>
              <w:start w:w="110" w:type="dxa"/>
              <w:bottom w:w="90" w:type="dxa"/>
              <w:end w:w="110" w:type="dxa"/>
            </w:tcMar>
            <w:vAlign w:val="center"/>
            <w:shd w:fill="F5F8F7"/>
          </w:tcPr>
          <w:p>
            <w:pPr>
              <w:spacing w:after="0" w:line="247" w:lineRule="auto"/>
            </w:pPr>
            <w:r>
              <w:rPr>
                <w:sz w:val="16"/>
              </w:rPr>
              <w:t>GroupBy/Distinct local sobre miles de filas.</w:t>
            </w:r>
          </w:p>
        </w:tc>
        <w:tc>
          <w:tcPr>
            <w:tcW w:type="dxa" w:w="4176"/>
            <w:tcMar>
              <w:top w:w="90" w:type="dxa"/>
              <w:start w:w="110" w:type="dxa"/>
              <w:bottom w:w="90" w:type="dxa"/>
              <w:end w:w="110" w:type="dxa"/>
            </w:tcMar>
            <w:vAlign w:val="center"/>
            <w:shd w:fill="F5F8F7"/>
          </w:tcPr>
          <w:p>
            <w:pPr>
              <w:spacing w:after="0" w:line="247" w:lineRule="auto"/>
            </w:pPr>
            <w:r>
              <w:rPr>
                <w:sz w:val="16"/>
              </w:rPr>
              <w:t>Vistas, agregaciones de Dataverse o Power BI para análisis.</w:t>
            </w:r>
          </w:p>
        </w:tc>
      </w:tr>
      <w:tr>
        <w:tc>
          <w:tcPr>
            <w:tcW w:type="dxa" w:w="1512"/>
            <w:tcMar>
              <w:top w:w="90" w:type="dxa"/>
              <w:start w:w="110" w:type="dxa"/>
              <w:bottom w:w="90" w:type="dxa"/>
              <w:end w:w="110" w:type="dxa"/>
            </w:tcMar>
            <w:vAlign w:val="center"/>
          </w:tcPr>
          <w:p>
            <w:pPr>
              <w:spacing w:after="0" w:line="247" w:lineRule="auto"/>
            </w:pPr>
            <w:r>
              <w:rPr>
                <w:sz w:val="16"/>
              </w:rPr>
              <w:t>Relaciones</w:t>
            </w:r>
          </w:p>
        </w:tc>
        <w:tc>
          <w:tcPr>
            <w:tcW w:type="dxa" w:w="3888"/>
            <w:tcMar>
              <w:top w:w="90" w:type="dxa"/>
              <w:start w:w="110" w:type="dxa"/>
              <w:bottom w:w="90" w:type="dxa"/>
              <w:end w:w="110" w:type="dxa"/>
            </w:tcMar>
            <w:vAlign w:val="center"/>
          </w:tcPr>
          <w:p>
            <w:pPr>
              <w:spacing w:after="0" w:line="247" w:lineRule="auto"/>
            </w:pPr>
            <w:r>
              <w:rPr>
                <w:sz w:val="16"/>
              </w:rPr>
              <w:t>LookUp repetido por cada fila de una galería.</w:t>
            </w:r>
          </w:p>
        </w:tc>
        <w:tc>
          <w:tcPr>
            <w:tcW w:type="dxa" w:w="4176"/>
            <w:tcMar>
              <w:top w:w="90" w:type="dxa"/>
              <w:start w:w="110" w:type="dxa"/>
              <w:bottom w:w="90" w:type="dxa"/>
              <w:end w:w="110" w:type="dxa"/>
            </w:tcMar>
            <w:vAlign w:val="center"/>
          </w:tcPr>
          <w:p>
            <w:pPr>
              <w:spacing w:after="0" w:line="247" w:lineRule="auto"/>
            </w:pPr>
            <w:r>
              <w:rPr>
                <w:sz w:val="16"/>
              </w:rPr>
              <w:t>Expandir relaciones o recuperar datos en lote; eliminar patrón N+1.</w:t>
            </w:r>
          </w:p>
        </w:tc>
      </w:tr>
    </w:tbl>
    <w:p>
      <w:pPr>
        <w:spacing w:after="20"/>
      </w:pPr>
    </w:p>
    <w:p>
      <w:pPr>
        <w:pStyle w:val="Fuente"/>
      </w:pPr>
      <w:r>
        <w:t>Fuente: Microsoft, Query limitations: Delegation and query limits [S1].</w:t>
      </w:r>
    </w:p>
    <w:p>
      <w:pPr>
        <w:pStyle w:val="Heading2"/>
        <w:keepNext/>
      </w:pPr>
      <w:r>
        <w:t>4.2 Aplicación modular y tamaño</w:t>
      </w:r>
    </w:p>
    <w:p>
      <w:pPr>
        <w:spacing w:after="100"/>
      </w:pPr>
      <w:r>
        <w:rPr>
          <w:i w:val="0"/>
        </w:rPr>
        <w:t>Microsoft identifica como causas frecuentes de lentitud: OnStart sobrecargado, grandes volúmenes, referencias cruzadas entre pantallas, medios pesados, consultas ineficientes y aplicaciones excesivamente grandes. Recomienda diferir la carga, limitar datos, optimizar fórmulas y dividir aplicaciones. [S2]</w:t>
      </w:r>
    </w:p>
    <w:p>
      <w:pPr>
        <w:spacing w:after="100"/>
      </w:pPr>
      <w:r>
        <w:rPr>
          <w:i w:val="0"/>
        </w:rPr>
        <w:t>Para Gaia se recomienda separar, como mínimo, Organización/Seguridad, Terceros, Inventarios, Talento Humano, Finanzas y Comunicaciones. Una navegación corporativa común puede presentarlos como módulos, pero cada solución debe tener límites claros. Esto reduce el tiempo de descarga, el radio de falla y la dependencia entre equipos.</w:t>
      </w:r>
    </w:p>
    <w:p>
      <w:pPr>
        <w:pStyle w:val="Heading2"/>
        <w:keepNext/>
      </w:pPr>
      <w:r>
        <w:t>4.3 Relaciones de Terceros</w:t>
      </w:r>
    </w:p>
    <w:p>
      <w:pPr>
        <w:spacing w:after="100"/>
      </w:pPr>
      <w:r>
        <w:rPr>
          <w:i w:val="0"/>
        </w:rPr>
        <w:t>La pantalla de Terceros no debe cargar todas sus relaciones de forma anticipada. La ficha principal se carga primero; Idiomas, Estudios, Experiencia, Documentos y otras pestañas se consultan cuando el usuario las abre. Los datos ya consultados se conservan durante la sesión y se invalidan después de una modificación.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73F3D"/>
            <w:tcMar>
              <w:top w:w="100" w:type="dxa"/>
              <w:start w:w="110" w:type="dxa"/>
              <w:bottom w:w="100" w:type="dxa"/>
              <w:end w:w="110" w:type="dxa"/>
            </w:tcMar>
            <w:vAlign w:val="center"/>
          </w:tcPr>
          <w:p>
            <w:pPr>
              <w:spacing w:after="0"/>
              <w:jc w:val="center"/>
            </w:pPr>
            <w:r>
              <w:rPr>
                <w:b/>
                <w:color w:val="FFFFFF"/>
                <w:sz w:val="16"/>
              </w:rPr>
              <w:t>Interacción</w:t>
            </w:r>
          </w:p>
        </w:tc>
        <w:tc>
          <w:tcPr>
            <w:tcW w:type="dxa" w:w="1800"/>
            <w:shd w:fill="173F3D"/>
            <w:tcMar>
              <w:top w:w="100" w:type="dxa"/>
              <w:start w:w="110" w:type="dxa"/>
              <w:bottom w:w="100" w:type="dxa"/>
              <w:end w:w="110" w:type="dxa"/>
            </w:tcMar>
            <w:vAlign w:val="center"/>
          </w:tcPr>
          <w:p>
            <w:pPr>
              <w:spacing w:after="0"/>
              <w:jc w:val="center"/>
            </w:pPr>
            <w:r>
              <w:rPr>
                <w:b/>
                <w:color w:val="FFFFFF"/>
                <w:sz w:val="16"/>
              </w:rPr>
              <w:t>Solicitudes estimadas</w:t>
            </w:r>
          </w:p>
        </w:tc>
        <w:tc>
          <w:tcPr>
            <w:tcW w:type="dxa" w:w="4896"/>
            <w:shd w:fill="173F3D"/>
            <w:tcMar>
              <w:top w:w="100" w:type="dxa"/>
              <w:start w:w="110" w:type="dxa"/>
              <w:bottom w:w="100" w:type="dxa"/>
              <w:end w:w="110" w:type="dxa"/>
            </w:tcMar>
            <w:vAlign w:val="center"/>
          </w:tcPr>
          <w:p>
            <w:pPr>
              <w:spacing w:after="0"/>
              <w:jc w:val="center"/>
            </w:pPr>
            <w:r>
              <w:rPr>
                <w:b/>
                <w:color w:val="FFFFFF"/>
                <w:sz w:val="16"/>
              </w:rPr>
              <w:t>Tratamiento</w:t>
            </w:r>
          </w:p>
        </w:tc>
      </w:tr>
      <w:tr>
        <w:tc>
          <w:tcPr>
            <w:tcW w:type="dxa" w:w="2880"/>
            <w:tcMar>
              <w:top w:w="90" w:type="dxa"/>
              <w:start w:w="110" w:type="dxa"/>
              <w:bottom w:w="90" w:type="dxa"/>
              <w:end w:w="110" w:type="dxa"/>
            </w:tcMar>
            <w:vAlign w:val="center"/>
          </w:tcPr>
          <w:p>
            <w:pPr>
              <w:spacing w:after="0" w:line="247" w:lineRule="auto"/>
            </w:pPr>
            <w:r>
              <w:rPr>
                <w:sz w:val="16"/>
              </w:rPr>
              <w:t>Abrir tercero</w:t>
            </w:r>
          </w:p>
        </w:tc>
        <w:tc>
          <w:tcPr>
            <w:tcW w:type="dxa" w:w="1800"/>
            <w:tcMar>
              <w:top w:w="90" w:type="dxa"/>
              <w:start w:w="110" w:type="dxa"/>
              <w:bottom w:w="90" w:type="dxa"/>
              <w:end w:w="110" w:type="dxa"/>
            </w:tcMar>
            <w:vAlign w:val="center"/>
          </w:tcPr>
          <w:p>
            <w:pPr>
              <w:spacing w:after="0" w:line="247" w:lineRule="auto"/>
            </w:pPr>
            <w:r>
              <w:rPr>
                <w:sz w:val="16"/>
              </w:rPr>
              <w:t>1–2</w:t>
            </w:r>
          </w:p>
        </w:tc>
        <w:tc>
          <w:tcPr>
            <w:tcW w:type="dxa" w:w="4896"/>
            <w:tcMar>
              <w:top w:w="90" w:type="dxa"/>
              <w:start w:w="110" w:type="dxa"/>
              <w:bottom w:w="90" w:type="dxa"/>
              <w:end w:w="110" w:type="dxa"/>
            </w:tcMar>
            <w:vAlign w:val="center"/>
          </w:tcPr>
          <w:p>
            <w:pPr>
              <w:spacing w:after="0" w:line="247" w:lineRule="auto"/>
            </w:pPr>
            <w:r>
              <w:rPr>
                <w:sz w:val="16"/>
              </w:rPr>
              <w:t>Cabecera, información esencial y permisos.</w:t>
            </w:r>
          </w:p>
        </w:tc>
      </w:tr>
      <w:tr>
        <w:tc>
          <w:tcPr>
            <w:tcW w:type="dxa" w:w="2880"/>
            <w:tcMar>
              <w:top w:w="90" w:type="dxa"/>
              <w:start w:w="110" w:type="dxa"/>
              <w:bottom w:w="90" w:type="dxa"/>
              <w:end w:w="110" w:type="dxa"/>
            </w:tcMar>
            <w:vAlign w:val="center"/>
            <w:shd w:fill="F5F8F7"/>
          </w:tcPr>
          <w:p>
            <w:pPr>
              <w:spacing w:after="0" w:line="247" w:lineRule="auto"/>
            </w:pPr>
            <w:r>
              <w:rPr>
                <w:sz w:val="16"/>
              </w:rPr>
              <w:t>Abrir Idiomas</w:t>
            </w:r>
          </w:p>
        </w:tc>
        <w:tc>
          <w:tcPr>
            <w:tcW w:type="dxa" w:w="1800"/>
            <w:tcMar>
              <w:top w:w="90" w:type="dxa"/>
              <w:start w:w="110" w:type="dxa"/>
              <w:bottom w:w="90" w:type="dxa"/>
              <w:end w:w="110" w:type="dxa"/>
            </w:tcMar>
            <w:vAlign w:val="center"/>
            <w:shd w:fill="F5F8F7"/>
          </w:tcPr>
          <w:p>
            <w:pPr>
              <w:spacing w:after="0" w:line="247" w:lineRule="auto"/>
            </w:pPr>
            <w:r>
              <w:rPr>
                <w:sz w:val="16"/>
              </w:rPr>
              <w:t>1</w:t>
            </w:r>
          </w:p>
        </w:tc>
        <w:tc>
          <w:tcPr>
            <w:tcW w:type="dxa" w:w="4896"/>
            <w:tcMar>
              <w:top w:w="90" w:type="dxa"/>
              <w:start w:w="110" w:type="dxa"/>
              <w:bottom w:w="90" w:type="dxa"/>
              <w:end w:w="110" w:type="dxa"/>
            </w:tcMar>
            <w:vAlign w:val="center"/>
            <w:shd w:fill="F5F8F7"/>
          </w:tcPr>
          <w:p>
            <w:pPr>
              <w:spacing w:after="0" w:line="247" w:lineRule="auto"/>
            </w:pPr>
            <w:r>
              <w:rPr>
                <w:sz w:val="16"/>
              </w:rPr>
              <w:t>Carga bajo demanda y caché de sesión.</w:t>
            </w:r>
          </w:p>
        </w:tc>
      </w:tr>
      <w:tr>
        <w:tc>
          <w:tcPr>
            <w:tcW w:type="dxa" w:w="2880"/>
            <w:tcMar>
              <w:top w:w="90" w:type="dxa"/>
              <w:start w:w="110" w:type="dxa"/>
              <w:bottom w:w="90" w:type="dxa"/>
              <w:end w:w="110" w:type="dxa"/>
            </w:tcMar>
            <w:vAlign w:val="center"/>
          </w:tcPr>
          <w:p>
            <w:pPr>
              <w:spacing w:after="0" w:line="247" w:lineRule="auto"/>
            </w:pPr>
            <w:r>
              <w:rPr>
                <w:sz w:val="16"/>
              </w:rPr>
              <w:t>Abrir Estudios</w:t>
            </w:r>
          </w:p>
        </w:tc>
        <w:tc>
          <w:tcPr>
            <w:tcW w:type="dxa" w:w="1800"/>
            <w:tcMar>
              <w:top w:w="90" w:type="dxa"/>
              <w:start w:w="110" w:type="dxa"/>
              <w:bottom w:w="90" w:type="dxa"/>
              <w:end w:w="110" w:type="dxa"/>
            </w:tcMar>
            <w:vAlign w:val="center"/>
          </w:tcPr>
          <w:p>
            <w:pPr>
              <w:spacing w:after="0" w:line="247" w:lineRule="auto"/>
            </w:pPr>
            <w:r>
              <w:rPr>
                <w:sz w:val="16"/>
              </w:rPr>
              <w:t>1</w:t>
            </w:r>
          </w:p>
        </w:tc>
        <w:tc>
          <w:tcPr>
            <w:tcW w:type="dxa" w:w="4896"/>
            <w:tcMar>
              <w:top w:w="90" w:type="dxa"/>
              <w:start w:w="110" w:type="dxa"/>
              <w:bottom w:w="90" w:type="dxa"/>
              <w:end w:w="110" w:type="dxa"/>
            </w:tcMar>
            <w:vAlign w:val="center"/>
          </w:tcPr>
          <w:p>
            <w:pPr>
              <w:spacing w:after="0" w:line="247" w:lineRule="auto"/>
            </w:pPr>
            <w:r>
              <w:rPr>
                <w:sz w:val="16"/>
              </w:rPr>
              <w:t>Consulta filtrada por identificador del tercero.</w:t>
            </w:r>
          </w:p>
        </w:tc>
      </w:tr>
      <w:tr>
        <w:tc>
          <w:tcPr>
            <w:tcW w:type="dxa" w:w="2880"/>
            <w:tcMar>
              <w:top w:w="90" w:type="dxa"/>
              <w:start w:w="110" w:type="dxa"/>
              <w:bottom w:w="90" w:type="dxa"/>
              <w:end w:w="110" w:type="dxa"/>
            </w:tcMar>
            <w:vAlign w:val="center"/>
            <w:shd w:fill="F5F8F7"/>
          </w:tcPr>
          <w:p>
            <w:pPr>
              <w:spacing w:after="0" w:line="247" w:lineRule="auto"/>
            </w:pPr>
            <w:r>
              <w:rPr>
                <w:sz w:val="16"/>
              </w:rPr>
              <w:t>Abrir Experiencia</w:t>
            </w:r>
          </w:p>
        </w:tc>
        <w:tc>
          <w:tcPr>
            <w:tcW w:type="dxa" w:w="1800"/>
            <w:tcMar>
              <w:top w:w="90" w:type="dxa"/>
              <w:start w:w="110" w:type="dxa"/>
              <w:bottom w:w="90" w:type="dxa"/>
              <w:end w:w="110" w:type="dxa"/>
            </w:tcMar>
            <w:vAlign w:val="center"/>
            <w:shd w:fill="F5F8F7"/>
          </w:tcPr>
          <w:p>
            <w:pPr>
              <w:spacing w:after="0" w:line="247" w:lineRule="auto"/>
            </w:pPr>
            <w:r>
              <w:rPr>
                <w:sz w:val="16"/>
              </w:rPr>
              <w:t>1</w:t>
            </w:r>
          </w:p>
        </w:tc>
        <w:tc>
          <w:tcPr>
            <w:tcW w:type="dxa" w:w="4896"/>
            <w:tcMar>
              <w:top w:w="90" w:type="dxa"/>
              <w:start w:w="110" w:type="dxa"/>
              <w:bottom w:w="90" w:type="dxa"/>
              <w:end w:w="110" w:type="dxa"/>
            </w:tcMar>
            <w:vAlign w:val="center"/>
            <w:shd w:fill="F5F8F7"/>
          </w:tcPr>
          <w:p>
            <w:pPr>
              <w:spacing w:after="0" w:line="247" w:lineRule="auto"/>
            </w:pPr>
            <w:r>
              <w:rPr>
                <w:sz w:val="16"/>
              </w:rPr>
              <w:t>Paginación si existe historial amplio.</w:t>
            </w:r>
          </w:p>
        </w:tc>
      </w:tr>
      <w:tr>
        <w:tc>
          <w:tcPr>
            <w:tcW w:type="dxa" w:w="2880"/>
            <w:tcMar>
              <w:top w:w="90" w:type="dxa"/>
              <w:start w:w="110" w:type="dxa"/>
              <w:bottom w:w="90" w:type="dxa"/>
              <w:end w:w="110" w:type="dxa"/>
            </w:tcMar>
            <w:vAlign w:val="center"/>
          </w:tcPr>
          <w:p>
            <w:pPr>
              <w:spacing w:after="0" w:line="247" w:lineRule="auto"/>
            </w:pPr>
            <w:r>
              <w:rPr>
                <w:sz w:val="16"/>
              </w:rPr>
              <w:t>Abrir Documentos</w:t>
            </w:r>
          </w:p>
        </w:tc>
        <w:tc>
          <w:tcPr>
            <w:tcW w:type="dxa" w:w="1800"/>
            <w:tcMar>
              <w:top w:w="90" w:type="dxa"/>
              <w:start w:w="110" w:type="dxa"/>
              <w:bottom w:w="90" w:type="dxa"/>
              <w:end w:w="110" w:type="dxa"/>
            </w:tcMar>
            <w:vAlign w:val="center"/>
          </w:tcPr>
          <w:p>
            <w:pPr>
              <w:spacing w:after="0" w:line="247" w:lineRule="auto"/>
            </w:pPr>
            <w:r>
              <w:rPr>
                <w:sz w:val="16"/>
              </w:rPr>
              <w:t>1–2</w:t>
            </w:r>
          </w:p>
        </w:tc>
        <w:tc>
          <w:tcPr>
            <w:tcW w:type="dxa" w:w="4896"/>
            <w:tcMar>
              <w:top w:w="90" w:type="dxa"/>
              <w:start w:w="110" w:type="dxa"/>
              <w:bottom w:w="90" w:type="dxa"/>
              <w:end w:w="110" w:type="dxa"/>
            </w:tcMar>
            <w:vAlign w:val="center"/>
          </w:tcPr>
          <w:p>
            <w:pPr>
              <w:spacing w:after="0" w:line="247" w:lineRule="auto"/>
            </w:pPr>
            <w:r>
              <w:rPr>
                <w:sz w:val="16"/>
              </w:rPr>
              <w:t>Metadatos en Dataverse y archivos en SharePoint.</w:t>
            </w:r>
          </w:p>
        </w:tc>
      </w:tr>
      <w:tr>
        <w:tc>
          <w:tcPr>
            <w:tcW w:type="dxa" w:w="2880"/>
            <w:tcMar>
              <w:top w:w="90" w:type="dxa"/>
              <w:start w:w="110" w:type="dxa"/>
              <w:bottom w:w="90" w:type="dxa"/>
              <w:end w:w="110" w:type="dxa"/>
            </w:tcMar>
            <w:vAlign w:val="center"/>
            <w:shd w:fill="F5F8F7"/>
          </w:tcPr>
          <w:p>
            <w:pPr>
              <w:spacing w:after="0" w:line="247" w:lineRule="auto"/>
            </w:pPr>
            <w:r>
              <w:rPr>
                <w:sz w:val="16"/>
              </w:rPr>
              <w:t>Guardar cambio</w:t>
            </w:r>
          </w:p>
        </w:tc>
        <w:tc>
          <w:tcPr>
            <w:tcW w:type="dxa" w:w="1800"/>
            <w:tcMar>
              <w:top w:w="90" w:type="dxa"/>
              <w:start w:w="110" w:type="dxa"/>
              <w:bottom w:w="90" w:type="dxa"/>
              <w:end w:w="110" w:type="dxa"/>
            </w:tcMar>
            <w:vAlign w:val="center"/>
            <w:shd w:fill="F5F8F7"/>
          </w:tcPr>
          <w:p>
            <w:pPr>
              <w:spacing w:after="0" w:line="247" w:lineRule="auto"/>
            </w:pPr>
            <w:r>
              <w:rPr>
                <w:sz w:val="16"/>
              </w:rPr>
              <w:t>1 + automatizaciones</w:t>
            </w:r>
          </w:p>
        </w:tc>
        <w:tc>
          <w:tcPr>
            <w:tcW w:type="dxa" w:w="4896"/>
            <w:tcMar>
              <w:top w:w="90" w:type="dxa"/>
              <w:start w:w="110" w:type="dxa"/>
              <w:bottom w:w="90" w:type="dxa"/>
              <w:end w:w="110" w:type="dxa"/>
            </w:tcMar>
            <w:vAlign w:val="center"/>
            <w:shd w:fill="F5F8F7"/>
          </w:tcPr>
          <w:p>
            <w:pPr>
              <w:spacing w:after="0" w:line="247" w:lineRule="auto"/>
            </w:pPr>
            <w:r>
              <w:rPr>
                <w:sz w:val="16"/>
              </w:rPr>
              <w:t>Medir operaciones disparadas por plugins y flujos.</w:t>
            </w:r>
          </w:p>
        </w:tc>
      </w:tr>
    </w:tbl>
    <w:p>
      <w:pPr>
        <w:spacing w:after="20"/>
      </w:pPr>
    </w:p>
    <w:p>
      <w:pPr>
        <w:pStyle w:val="Heading2"/>
        <w:keepNext/>
      </w:pPr>
      <w:r>
        <w:t>4.4 Filtros y búsqueda rápida</w:t>
      </w:r>
    </w:p>
    <w:p>
      <w:pPr>
        <w:spacing w:after="100"/>
      </w:pPr>
      <w:r>
        <w:rPr>
          <w:i w:val="0"/>
        </w:rPr>
        <w:t>Las búsquedas no deben ejecutarse por cada tecla. Se requiere debounce de 300–500 ms, mínimo de dos o tres caracteres, cancelación de la consulta anterior, paginación y columnas específicamente preparadas para buscar. Los catálogos pequeños pueden mantenerse en memoria; los datos personales, movimientos e inventarios deben filtrarse del lado de Dataverse.</w:t>
      </w:r>
    </w:p>
    <w:p>
      <w:pPr>
        <w:pStyle w:val="Heading1"/>
        <w:keepNext/>
      </w:pPr>
      <w:r>
        <w:t>5. Modelo de solicitudes y concurrencia</w:t>
      </w:r>
    </w:p>
    <w:p>
      <w:pPr>
        <w:spacing w:after="100"/>
      </w:pPr>
      <w:r>
        <w:rPr>
          <w:i w:val="0"/>
        </w:rPr>
        <w:t>Microsoft distingue límites de asignación diarios y límites de protección del servicio. Los primeros dependen de la licencia; los segundos protegen Dataverse ante picos y consideran número de solicitudes, tiempo combinado de ejecución y concurrencia. Un exceso puede responder HTTP 429 y debe respetarse Retry-After. [S9][S10]</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shd w:fill="173F3D"/>
            <w:tcMar>
              <w:top w:w="100" w:type="dxa"/>
              <w:start w:w="110" w:type="dxa"/>
              <w:bottom w:w="100" w:type="dxa"/>
              <w:end w:w="110" w:type="dxa"/>
            </w:tcMar>
            <w:vAlign w:val="center"/>
          </w:tcPr>
          <w:p>
            <w:pPr>
              <w:spacing w:after="0"/>
              <w:jc w:val="center"/>
            </w:pPr>
            <w:r>
              <w:rPr>
                <w:b/>
                <w:color w:val="FFFFFF"/>
                <w:sz w:val="16"/>
              </w:rPr>
              <w:t>Escenario</w:t>
            </w:r>
          </w:p>
        </w:tc>
        <w:tc>
          <w:tcPr>
            <w:tcW w:type="dxa" w:w="1728"/>
            <w:shd w:fill="173F3D"/>
            <w:tcMar>
              <w:top w:w="100" w:type="dxa"/>
              <w:start w:w="110" w:type="dxa"/>
              <w:bottom w:w="100" w:type="dxa"/>
              <w:end w:w="110" w:type="dxa"/>
            </w:tcMar>
            <w:vAlign w:val="center"/>
          </w:tcPr>
          <w:p>
            <w:pPr>
              <w:spacing w:after="0"/>
              <w:jc w:val="center"/>
            </w:pPr>
            <w:r>
              <w:rPr>
                <w:b/>
                <w:color w:val="FFFFFF"/>
                <w:sz w:val="16"/>
              </w:rPr>
              <w:t>Por usuario/día</w:t>
            </w:r>
          </w:p>
        </w:tc>
        <w:tc>
          <w:tcPr>
            <w:tcW w:type="dxa" w:w="1800"/>
            <w:shd w:fill="173F3D"/>
            <w:tcMar>
              <w:top w:w="100" w:type="dxa"/>
              <w:start w:w="110" w:type="dxa"/>
              <w:bottom w:w="100" w:type="dxa"/>
              <w:end w:w="110" w:type="dxa"/>
            </w:tcMar>
            <w:vAlign w:val="center"/>
          </w:tcPr>
          <w:p>
            <w:pPr>
              <w:spacing w:after="0"/>
              <w:jc w:val="center"/>
            </w:pPr>
            <w:r>
              <w:rPr>
                <w:b/>
                <w:color w:val="FFFFFF"/>
                <w:sz w:val="16"/>
              </w:rPr>
              <w:t>50 usuarios/día</w:t>
            </w:r>
          </w:p>
        </w:tc>
        <w:tc>
          <w:tcPr>
            <w:tcW w:type="dxa" w:w="4608"/>
            <w:shd w:fill="173F3D"/>
            <w:tcMar>
              <w:top w:w="100" w:type="dxa"/>
              <w:start w:w="110" w:type="dxa"/>
              <w:bottom w:w="100" w:type="dxa"/>
              <w:end w:w="110" w:type="dxa"/>
            </w:tcMar>
            <w:vAlign w:val="center"/>
          </w:tcPr>
          <w:p>
            <w:pPr>
              <w:spacing w:after="0"/>
              <w:jc w:val="center"/>
            </w:pPr>
            <w:r>
              <w:rPr>
                <w:b/>
                <w:color w:val="FFFFFF"/>
                <w:sz w:val="16"/>
              </w:rPr>
              <w:t>Interpretación</w:t>
            </w:r>
          </w:p>
        </w:tc>
      </w:tr>
      <w:tr>
        <w:tc>
          <w:tcPr>
            <w:tcW w:type="dxa" w:w="1440"/>
            <w:tcMar>
              <w:top w:w="90" w:type="dxa"/>
              <w:start w:w="110" w:type="dxa"/>
              <w:bottom w:w="90" w:type="dxa"/>
              <w:end w:w="110" w:type="dxa"/>
            </w:tcMar>
            <w:vAlign w:val="center"/>
          </w:tcPr>
          <w:p>
            <w:pPr>
              <w:spacing w:after="0" w:line="247" w:lineRule="auto"/>
            </w:pPr>
            <w:r>
              <w:rPr>
                <w:sz w:val="16"/>
              </w:rPr>
              <w:t>Ligero</w:t>
            </w:r>
          </w:p>
        </w:tc>
        <w:tc>
          <w:tcPr>
            <w:tcW w:type="dxa" w:w="1728"/>
            <w:tcMar>
              <w:top w:w="90" w:type="dxa"/>
              <w:start w:w="110" w:type="dxa"/>
              <w:bottom w:w="90" w:type="dxa"/>
              <w:end w:w="110" w:type="dxa"/>
            </w:tcMar>
            <w:vAlign w:val="center"/>
          </w:tcPr>
          <w:p>
            <w:pPr>
              <w:spacing w:after="0" w:line="247" w:lineRule="auto"/>
            </w:pPr>
            <w:r>
              <w:rPr>
                <w:sz w:val="16"/>
              </w:rPr>
              <w:t>300–600</w:t>
            </w:r>
          </w:p>
        </w:tc>
        <w:tc>
          <w:tcPr>
            <w:tcW w:type="dxa" w:w="1800"/>
            <w:tcMar>
              <w:top w:w="90" w:type="dxa"/>
              <w:start w:w="110" w:type="dxa"/>
              <w:bottom w:w="90" w:type="dxa"/>
              <w:end w:w="110" w:type="dxa"/>
            </w:tcMar>
            <w:vAlign w:val="center"/>
          </w:tcPr>
          <w:p>
            <w:pPr>
              <w:spacing w:after="0" w:line="247" w:lineRule="auto"/>
            </w:pPr>
            <w:r>
              <w:rPr>
                <w:sz w:val="16"/>
              </w:rPr>
              <w:t>15.000–30.000</w:t>
            </w:r>
          </w:p>
        </w:tc>
        <w:tc>
          <w:tcPr>
            <w:tcW w:type="dxa" w:w="4608"/>
            <w:tcMar>
              <w:top w:w="90" w:type="dxa"/>
              <w:start w:w="110" w:type="dxa"/>
              <w:bottom w:w="90" w:type="dxa"/>
              <w:end w:w="110" w:type="dxa"/>
            </w:tcMar>
            <w:vAlign w:val="center"/>
          </w:tcPr>
          <w:p>
            <w:pPr>
              <w:spacing w:after="0" w:line="247" w:lineRule="auto"/>
            </w:pPr>
            <w:r>
              <w:rPr>
                <w:sz w:val="16"/>
              </w:rPr>
              <w:t>Consulta moderada, pocas modificaciones.</w:t>
            </w:r>
          </w:p>
        </w:tc>
      </w:tr>
      <w:tr>
        <w:tc>
          <w:tcPr>
            <w:tcW w:type="dxa" w:w="1440"/>
            <w:tcMar>
              <w:top w:w="90" w:type="dxa"/>
              <w:start w:w="110" w:type="dxa"/>
              <w:bottom w:w="90" w:type="dxa"/>
              <w:end w:w="110" w:type="dxa"/>
            </w:tcMar>
            <w:vAlign w:val="center"/>
            <w:shd w:fill="F5F8F7"/>
          </w:tcPr>
          <w:p>
            <w:pPr>
              <w:spacing w:after="0" w:line="247" w:lineRule="auto"/>
            </w:pPr>
            <w:r>
              <w:rPr>
                <w:sz w:val="16"/>
              </w:rPr>
              <w:t>Base</w:t>
            </w:r>
          </w:p>
        </w:tc>
        <w:tc>
          <w:tcPr>
            <w:tcW w:type="dxa" w:w="1728"/>
            <w:tcMar>
              <w:top w:w="90" w:type="dxa"/>
              <w:start w:w="110" w:type="dxa"/>
              <w:bottom w:w="90" w:type="dxa"/>
              <w:end w:w="110" w:type="dxa"/>
            </w:tcMar>
            <w:vAlign w:val="center"/>
            <w:shd w:fill="F5F8F7"/>
          </w:tcPr>
          <w:p>
            <w:pPr>
              <w:spacing w:after="0" w:line="247" w:lineRule="auto"/>
            </w:pPr>
            <w:r>
              <w:rPr>
                <w:sz w:val="16"/>
              </w:rPr>
              <w:t>800–1.500</w:t>
            </w:r>
          </w:p>
        </w:tc>
        <w:tc>
          <w:tcPr>
            <w:tcW w:type="dxa" w:w="1800"/>
            <w:tcMar>
              <w:top w:w="90" w:type="dxa"/>
              <w:start w:w="110" w:type="dxa"/>
              <w:bottom w:w="90" w:type="dxa"/>
              <w:end w:w="110" w:type="dxa"/>
            </w:tcMar>
            <w:vAlign w:val="center"/>
            <w:shd w:fill="F5F8F7"/>
          </w:tcPr>
          <w:p>
            <w:pPr>
              <w:spacing w:after="0" w:line="247" w:lineRule="auto"/>
            </w:pPr>
            <w:r>
              <w:rPr>
                <w:sz w:val="16"/>
              </w:rPr>
              <w:t>40.000–75.000</w:t>
            </w:r>
          </w:p>
        </w:tc>
        <w:tc>
          <w:tcPr>
            <w:tcW w:type="dxa" w:w="4608"/>
            <w:tcMar>
              <w:top w:w="90" w:type="dxa"/>
              <w:start w:w="110" w:type="dxa"/>
              <w:bottom w:w="90" w:type="dxa"/>
              <w:end w:w="110" w:type="dxa"/>
            </w:tcMar>
            <w:vAlign w:val="center"/>
            <w:shd w:fill="F5F8F7"/>
          </w:tcPr>
          <w:p>
            <w:pPr>
              <w:spacing w:after="0" w:line="247" w:lineRule="auto"/>
            </w:pPr>
            <w:r>
              <w:rPr>
                <w:sz w:val="16"/>
              </w:rPr>
              <w:t>Uso activo de terceros, inventario y documentos.</w:t>
            </w:r>
          </w:p>
        </w:tc>
      </w:tr>
      <w:tr>
        <w:tc>
          <w:tcPr>
            <w:tcW w:type="dxa" w:w="1440"/>
            <w:tcMar>
              <w:top w:w="90" w:type="dxa"/>
              <w:start w:w="110" w:type="dxa"/>
              <w:bottom w:w="90" w:type="dxa"/>
              <w:end w:w="110" w:type="dxa"/>
            </w:tcMar>
            <w:vAlign w:val="center"/>
          </w:tcPr>
          <w:p>
            <w:pPr>
              <w:spacing w:after="0" w:line="247" w:lineRule="auto"/>
            </w:pPr>
            <w:r>
              <w:rPr>
                <w:sz w:val="16"/>
              </w:rPr>
              <w:t>Intensivo</w:t>
            </w:r>
          </w:p>
        </w:tc>
        <w:tc>
          <w:tcPr>
            <w:tcW w:type="dxa" w:w="1728"/>
            <w:tcMar>
              <w:top w:w="90" w:type="dxa"/>
              <w:start w:w="110" w:type="dxa"/>
              <w:bottom w:w="90" w:type="dxa"/>
              <w:end w:w="110" w:type="dxa"/>
            </w:tcMar>
            <w:vAlign w:val="center"/>
          </w:tcPr>
          <w:p>
            <w:pPr>
              <w:spacing w:after="0" w:line="247" w:lineRule="auto"/>
            </w:pPr>
            <w:r>
              <w:rPr>
                <w:sz w:val="16"/>
              </w:rPr>
              <w:t>2.500–4.000</w:t>
            </w:r>
          </w:p>
        </w:tc>
        <w:tc>
          <w:tcPr>
            <w:tcW w:type="dxa" w:w="1800"/>
            <w:tcMar>
              <w:top w:w="90" w:type="dxa"/>
              <w:start w:w="110" w:type="dxa"/>
              <w:bottom w:w="90" w:type="dxa"/>
              <w:end w:w="110" w:type="dxa"/>
            </w:tcMar>
            <w:vAlign w:val="center"/>
          </w:tcPr>
          <w:p>
            <w:pPr>
              <w:spacing w:after="0" w:line="247" w:lineRule="auto"/>
            </w:pPr>
            <w:r>
              <w:rPr>
                <w:sz w:val="16"/>
              </w:rPr>
              <w:t>125.000–200.000</w:t>
            </w:r>
          </w:p>
        </w:tc>
        <w:tc>
          <w:tcPr>
            <w:tcW w:type="dxa" w:w="4608"/>
            <w:tcMar>
              <w:top w:w="90" w:type="dxa"/>
              <w:start w:w="110" w:type="dxa"/>
              <w:bottom w:w="90" w:type="dxa"/>
              <w:end w:w="110" w:type="dxa"/>
            </w:tcMar>
            <w:vAlign w:val="center"/>
          </w:tcPr>
          <w:p>
            <w:pPr>
              <w:spacing w:after="0" w:line="247" w:lineRule="auto"/>
            </w:pPr>
            <w:r>
              <w:rPr>
                <w:sz w:val="16"/>
              </w:rPr>
              <w:t>Filtros frecuentes, varias jornadas y automatizaciones.</w:t>
            </w:r>
          </w:p>
        </w:tc>
      </w:tr>
      <w:tr>
        <w:tc>
          <w:tcPr>
            <w:tcW w:type="dxa" w:w="1440"/>
            <w:tcMar>
              <w:top w:w="90" w:type="dxa"/>
              <w:start w:w="110" w:type="dxa"/>
              <w:bottom w:w="90" w:type="dxa"/>
              <w:end w:w="110" w:type="dxa"/>
            </w:tcMar>
            <w:vAlign w:val="center"/>
            <w:shd w:fill="F5F8F7"/>
          </w:tcPr>
          <w:p>
            <w:pPr>
              <w:spacing w:after="0" w:line="247" w:lineRule="auto"/>
            </w:pPr>
            <w:r>
              <w:rPr>
                <w:sz w:val="16"/>
              </w:rPr>
              <w:t>Deficiente</w:t>
            </w:r>
          </w:p>
        </w:tc>
        <w:tc>
          <w:tcPr>
            <w:tcW w:type="dxa" w:w="1728"/>
            <w:tcMar>
              <w:top w:w="90" w:type="dxa"/>
              <w:start w:w="110" w:type="dxa"/>
              <w:bottom w:w="90" w:type="dxa"/>
              <w:end w:w="110" w:type="dxa"/>
            </w:tcMar>
            <w:vAlign w:val="center"/>
            <w:shd w:fill="F5F8F7"/>
          </w:tcPr>
          <w:p>
            <w:pPr>
              <w:spacing w:after="0" w:line="247" w:lineRule="auto"/>
            </w:pPr>
            <w:r>
              <w:rPr>
                <w:sz w:val="16"/>
              </w:rPr>
              <w:t>&gt;6.000</w:t>
            </w:r>
          </w:p>
        </w:tc>
        <w:tc>
          <w:tcPr>
            <w:tcW w:type="dxa" w:w="1800"/>
            <w:tcMar>
              <w:top w:w="90" w:type="dxa"/>
              <w:start w:w="110" w:type="dxa"/>
              <w:bottom w:w="90" w:type="dxa"/>
              <w:end w:w="110" w:type="dxa"/>
            </w:tcMar>
            <w:vAlign w:val="center"/>
            <w:shd w:fill="F5F8F7"/>
          </w:tcPr>
          <w:p>
            <w:pPr>
              <w:spacing w:after="0" w:line="247" w:lineRule="auto"/>
            </w:pPr>
            <w:r>
              <w:rPr>
                <w:sz w:val="16"/>
              </w:rPr>
              <w:t>&gt;300.000</w:t>
            </w:r>
          </w:p>
        </w:tc>
        <w:tc>
          <w:tcPr>
            <w:tcW w:type="dxa" w:w="4608"/>
            <w:tcMar>
              <w:top w:w="90" w:type="dxa"/>
              <w:start w:w="110" w:type="dxa"/>
              <w:bottom w:w="90" w:type="dxa"/>
              <w:end w:w="110" w:type="dxa"/>
            </w:tcMar>
            <w:vAlign w:val="center"/>
            <w:shd w:fill="F5F8F7"/>
          </w:tcPr>
          <w:p>
            <w:pPr>
              <w:spacing w:after="0" w:line="247" w:lineRule="auto"/>
            </w:pPr>
            <w:r>
              <w:rPr>
                <w:sz w:val="16"/>
              </w:rPr>
              <w:t>Búsqueda por tecla, temporizadores, N+1, recargas y flujos excesivos.</w:t>
            </w:r>
          </w:p>
        </w:tc>
      </w:tr>
    </w:tbl>
    <w:p>
      <w:pPr>
        <w:spacing w:after="20"/>
      </w:pPr>
    </w:p>
    <w:p>
      <w:pPr>
        <w:spacing w:after="100"/>
      </w:pPr>
      <w:r>
        <w:rPr>
          <w:i w:val="0"/>
        </w:rPr>
        <w:t>Los totales agregados son una proyección de carga, no una bolsa que pueda reasignarse libremente. Cada identidad tiene sus derechos y protección. Microsoft publica 40.000 solicitudes/24 h para usuarios pagos de Power Platform en la categoría indicada y 6.000 para ciertas licencias Microsoft 365/per-app; se debe confirmar cuál aplica a Gaia. [S9]</w:t>
      </w:r>
    </w:p>
    <w:tbl>
      <w:tblPr>
        <w:tblW w:type="auto" w:w="0"/>
        <w:jc w:val="center"/>
        <w:tblLayout w:type="fixed"/>
        <w:tblLook w:firstColumn="1" w:firstRow="1" w:lastColumn="0" w:lastRow="0" w:noHBand="0" w:noVBand="1" w:val="04A0"/>
      </w:tblPr>
      <w:tblGrid>
        <w:gridCol w:w="9878"/>
      </w:tblGrid>
      <w:tr>
        <w:tc>
          <w:tcPr>
            <w:tcW w:type="dxa" w:w="9576"/>
            <w:shd w:fill="EAF3F1"/>
            <w:tcMar>
              <w:top w:w="130" w:type="dxa"/>
              <w:start w:w="160" w:type="dxa"/>
              <w:bottom w:w="130" w:type="dxa"/>
              <w:end w:w="160" w:type="dxa"/>
            </w:tcMar>
          </w:tcPr>
          <w:p>
            <w:pPr>
              <w:spacing w:after="60"/>
            </w:pPr>
            <w:r>
              <w:rPr>
                <w:b/>
                <w:color w:val="237A78"/>
                <w:sz w:val="18"/>
              </w:rPr>
              <w:t>LECTURA TÉCNICA</w:t>
            </w:r>
          </w:p>
          <w:p>
            <w:pPr>
              <w:spacing w:after="0" w:line="259" w:lineRule="auto"/>
            </w:pPr>
            <w:r>
              <w:t>Con 50 usuarios, cinco solicitudes al abrir una ficha no son un problema estructural. El riesgo aparece cuando una fórmula genera decenas o cientos de llamadas repetidas, cuando una automatización multiplica cada guardado o cuando todos los usuarios comparten una identidad técnica.</w:t>
            </w:r>
          </w:p>
        </w:tc>
      </w:tr>
    </w:tbl>
    <w:p>
      <w:pPr>
        <w:spacing w:after="2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173F3D"/>
            <w:tcMar>
              <w:top w:w="100" w:type="dxa"/>
              <w:start w:w="110" w:type="dxa"/>
              <w:bottom w:w="100" w:type="dxa"/>
              <w:end w:w="110" w:type="dxa"/>
            </w:tcMar>
            <w:vAlign w:val="center"/>
          </w:tcPr>
          <w:p>
            <w:pPr>
              <w:spacing w:after="0"/>
              <w:jc w:val="center"/>
            </w:pPr>
            <w:r>
              <w:rPr>
                <w:b/>
                <w:color w:val="FFFFFF"/>
                <w:sz w:val="16"/>
              </w:rPr>
              <w:t>Evento pico</w:t>
            </w:r>
          </w:p>
        </w:tc>
        <w:tc>
          <w:tcPr>
            <w:tcW w:type="dxa" w:w="3096"/>
            <w:shd w:fill="173F3D"/>
            <w:tcMar>
              <w:top w:w="100" w:type="dxa"/>
              <w:start w:w="110" w:type="dxa"/>
              <w:bottom w:w="100" w:type="dxa"/>
              <w:end w:w="110" w:type="dxa"/>
            </w:tcMar>
            <w:vAlign w:val="center"/>
          </w:tcPr>
          <w:p>
            <w:pPr>
              <w:spacing w:after="0"/>
              <w:jc w:val="center"/>
            </w:pPr>
            <w:r>
              <w:rPr>
                <w:b/>
                <w:color w:val="FFFFFF"/>
                <w:sz w:val="16"/>
              </w:rPr>
              <w:t>Cálculo</w:t>
            </w:r>
          </w:p>
        </w:tc>
        <w:tc>
          <w:tcPr>
            <w:tcW w:type="dxa" w:w="3600"/>
            <w:shd w:fill="173F3D"/>
            <w:tcMar>
              <w:top w:w="100" w:type="dxa"/>
              <w:start w:w="110" w:type="dxa"/>
              <w:bottom w:w="100" w:type="dxa"/>
              <w:end w:w="110" w:type="dxa"/>
            </w:tcMar>
            <w:vAlign w:val="center"/>
          </w:tcPr>
          <w:p>
            <w:pPr>
              <w:spacing w:after="0"/>
              <w:jc w:val="center"/>
            </w:pPr>
            <w:r>
              <w:rPr>
                <w:b/>
                <w:color w:val="FFFFFF"/>
                <w:sz w:val="16"/>
              </w:rPr>
              <w:t>Carga resultante</w:t>
            </w:r>
          </w:p>
        </w:tc>
      </w:tr>
      <w:tr>
        <w:tc>
          <w:tcPr>
            <w:tcW w:type="dxa" w:w="2880"/>
            <w:tcMar>
              <w:top w:w="90" w:type="dxa"/>
              <w:start w:w="110" w:type="dxa"/>
              <w:bottom w:w="90" w:type="dxa"/>
              <w:end w:w="110" w:type="dxa"/>
            </w:tcMar>
            <w:vAlign w:val="center"/>
          </w:tcPr>
          <w:p>
            <w:pPr>
              <w:spacing w:after="0" w:line="247" w:lineRule="auto"/>
            </w:pPr>
            <w:r>
              <w:rPr>
                <w:sz w:val="16"/>
              </w:rPr>
              <w:t>50 usuarios abren la app</w:t>
            </w:r>
          </w:p>
        </w:tc>
        <w:tc>
          <w:tcPr>
            <w:tcW w:type="dxa" w:w="3096"/>
            <w:tcMar>
              <w:top w:w="90" w:type="dxa"/>
              <w:start w:w="110" w:type="dxa"/>
              <w:bottom w:w="90" w:type="dxa"/>
              <w:end w:w="110" w:type="dxa"/>
            </w:tcMar>
            <w:vAlign w:val="center"/>
          </w:tcPr>
          <w:p>
            <w:pPr>
              <w:spacing w:after="0" w:line="247" w:lineRule="auto"/>
            </w:pPr>
            <w:r>
              <w:rPr>
                <w:sz w:val="16"/>
              </w:rPr>
              <w:t>50 × 8 llamadas iniciales</w:t>
            </w:r>
          </w:p>
        </w:tc>
        <w:tc>
          <w:tcPr>
            <w:tcW w:type="dxa" w:w="3600"/>
            <w:tcMar>
              <w:top w:w="90" w:type="dxa"/>
              <w:start w:w="110" w:type="dxa"/>
              <w:bottom w:w="90" w:type="dxa"/>
              <w:end w:w="110" w:type="dxa"/>
            </w:tcMar>
            <w:vAlign w:val="center"/>
          </w:tcPr>
          <w:p>
            <w:pPr>
              <w:spacing w:after="0" w:line="247" w:lineRule="auto"/>
            </w:pPr>
            <w:r>
              <w:rPr>
                <w:sz w:val="16"/>
              </w:rPr>
              <w:t>400 solicitudes distribuidas entre usuarios.</w:t>
            </w:r>
          </w:p>
        </w:tc>
      </w:tr>
      <w:tr>
        <w:tc>
          <w:tcPr>
            <w:tcW w:type="dxa" w:w="2880"/>
            <w:tcMar>
              <w:top w:w="90" w:type="dxa"/>
              <w:start w:w="110" w:type="dxa"/>
              <w:bottom w:w="90" w:type="dxa"/>
              <w:end w:w="110" w:type="dxa"/>
            </w:tcMar>
            <w:vAlign w:val="center"/>
            <w:shd w:fill="F5F8F7"/>
          </w:tcPr>
          <w:p>
            <w:pPr>
              <w:spacing w:after="0" w:line="247" w:lineRule="auto"/>
            </w:pPr>
            <w:r>
              <w:rPr>
                <w:sz w:val="16"/>
              </w:rPr>
              <w:t>50 abren un tercero</w:t>
            </w:r>
          </w:p>
        </w:tc>
        <w:tc>
          <w:tcPr>
            <w:tcW w:type="dxa" w:w="3096"/>
            <w:tcMar>
              <w:top w:w="90" w:type="dxa"/>
              <w:start w:w="110" w:type="dxa"/>
              <w:bottom w:w="90" w:type="dxa"/>
              <w:end w:w="110" w:type="dxa"/>
            </w:tcMar>
            <w:vAlign w:val="center"/>
            <w:shd w:fill="F5F8F7"/>
          </w:tcPr>
          <w:p>
            <w:pPr>
              <w:spacing w:after="0" w:line="247" w:lineRule="auto"/>
            </w:pPr>
            <w:r>
              <w:rPr>
                <w:sz w:val="16"/>
              </w:rPr>
              <w:t>50 × 5 relaciones</w:t>
            </w:r>
          </w:p>
        </w:tc>
        <w:tc>
          <w:tcPr>
            <w:tcW w:type="dxa" w:w="3600"/>
            <w:tcMar>
              <w:top w:w="90" w:type="dxa"/>
              <w:start w:w="110" w:type="dxa"/>
              <w:bottom w:w="90" w:type="dxa"/>
              <w:end w:w="110" w:type="dxa"/>
            </w:tcMar>
            <w:vAlign w:val="center"/>
            <w:shd w:fill="F5F8F7"/>
          </w:tcPr>
          <w:p>
            <w:pPr>
              <w:spacing w:after="0" w:line="247" w:lineRule="auto"/>
            </w:pPr>
            <w:r>
              <w:rPr>
                <w:sz w:val="16"/>
              </w:rPr>
              <w:t>250 solicitudes; reducibles con carga bajo demanda.</w:t>
            </w:r>
          </w:p>
        </w:tc>
      </w:tr>
      <w:tr>
        <w:tc>
          <w:tcPr>
            <w:tcW w:type="dxa" w:w="2880"/>
            <w:tcMar>
              <w:top w:w="90" w:type="dxa"/>
              <w:start w:w="110" w:type="dxa"/>
              <w:bottom w:w="90" w:type="dxa"/>
              <w:end w:w="110" w:type="dxa"/>
            </w:tcMar>
            <w:vAlign w:val="center"/>
          </w:tcPr>
          <w:p>
            <w:pPr>
              <w:spacing w:after="0" w:line="247" w:lineRule="auto"/>
            </w:pPr>
            <w:r>
              <w:rPr>
                <w:sz w:val="16"/>
              </w:rPr>
              <w:t>Búsqueda optimizada</w:t>
            </w:r>
          </w:p>
        </w:tc>
        <w:tc>
          <w:tcPr>
            <w:tcW w:type="dxa" w:w="3096"/>
            <w:tcMar>
              <w:top w:w="90" w:type="dxa"/>
              <w:start w:w="110" w:type="dxa"/>
              <w:bottom w:w="90" w:type="dxa"/>
              <w:end w:w="110" w:type="dxa"/>
            </w:tcMar>
            <w:vAlign w:val="center"/>
          </w:tcPr>
          <w:p>
            <w:pPr>
              <w:spacing w:after="0" w:line="247" w:lineRule="auto"/>
            </w:pPr>
            <w:r>
              <w:rPr>
                <w:sz w:val="16"/>
              </w:rPr>
              <w:t>50 × 1 consulta</w:t>
            </w:r>
          </w:p>
        </w:tc>
        <w:tc>
          <w:tcPr>
            <w:tcW w:type="dxa" w:w="3600"/>
            <w:tcMar>
              <w:top w:w="90" w:type="dxa"/>
              <w:start w:w="110" w:type="dxa"/>
              <w:bottom w:w="90" w:type="dxa"/>
              <w:end w:w="110" w:type="dxa"/>
            </w:tcMar>
            <w:vAlign w:val="center"/>
          </w:tcPr>
          <w:p>
            <w:pPr>
              <w:spacing w:after="0" w:line="247" w:lineRule="auto"/>
            </w:pPr>
            <w:r>
              <w:rPr>
                <w:sz w:val="16"/>
              </w:rPr>
              <w:t>50 solicitudes por oleada.</w:t>
            </w:r>
          </w:p>
        </w:tc>
      </w:tr>
      <w:tr>
        <w:tc>
          <w:tcPr>
            <w:tcW w:type="dxa" w:w="2880"/>
            <w:tcMar>
              <w:top w:w="90" w:type="dxa"/>
              <w:start w:w="110" w:type="dxa"/>
              <w:bottom w:w="90" w:type="dxa"/>
              <w:end w:w="110" w:type="dxa"/>
            </w:tcMar>
            <w:vAlign w:val="center"/>
            <w:shd w:fill="F5F8F7"/>
          </w:tcPr>
          <w:p>
            <w:pPr>
              <w:spacing w:after="0" w:line="247" w:lineRule="auto"/>
            </w:pPr>
            <w:r>
              <w:rPr>
                <w:sz w:val="16"/>
              </w:rPr>
              <w:t>Búsqueda por cada letra</w:t>
            </w:r>
          </w:p>
        </w:tc>
        <w:tc>
          <w:tcPr>
            <w:tcW w:type="dxa" w:w="3096"/>
            <w:tcMar>
              <w:top w:w="90" w:type="dxa"/>
              <w:start w:w="110" w:type="dxa"/>
              <w:bottom w:w="90" w:type="dxa"/>
              <w:end w:w="110" w:type="dxa"/>
            </w:tcMar>
            <w:vAlign w:val="center"/>
            <w:shd w:fill="F5F8F7"/>
          </w:tcPr>
          <w:p>
            <w:pPr>
              <w:spacing w:after="0" w:line="247" w:lineRule="auto"/>
            </w:pPr>
            <w:r>
              <w:rPr>
                <w:sz w:val="16"/>
              </w:rPr>
              <w:t>50 × 5 letras</w:t>
            </w:r>
          </w:p>
        </w:tc>
        <w:tc>
          <w:tcPr>
            <w:tcW w:type="dxa" w:w="3600"/>
            <w:tcMar>
              <w:top w:w="90" w:type="dxa"/>
              <w:start w:w="110" w:type="dxa"/>
              <w:bottom w:w="90" w:type="dxa"/>
              <w:end w:w="110" w:type="dxa"/>
            </w:tcMar>
            <w:vAlign w:val="center"/>
            <w:shd w:fill="F5F8F7"/>
          </w:tcPr>
          <w:p>
            <w:pPr>
              <w:spacing w:after="0" w:line="247" w:lineRule="auto"/>
            </w:pPr>
            <w:r>
              <w:rPr>
                <w:sz w:val="16"/>
              </w:rPr>
              <w:t>250 solicitudes por búsqueda; patrón a prohibir.</w:t>
            </w:r>
          </w:p>
        </w:tc>
      </w:tr>
    </w:tbl>
    <w:p>
      <w:pPr>
        <w:spacing w:after="20"/>
      </w:pPr>
    </w:p>
    <w:p>
      <w:pPr>
        <w:pStyle w:val="Heading1"/>
        <w:keepNext/>
      </w:pPr>
      <w:r>
        <w:t>6. Requisitos de rendimiento</w:t>
      </w:r>
    </w:p>
    <w:p>
      <w:pPr>
        <w:spacing w:after="100"/>
      </w:pPr>
      <w:r>
        <w:rPr>
          <w:i w:val="0"/>
        </w:rPr>
        <w:t>La expresión “muy rápida” debe convertirse en objetivos verificables. Los siguientes valores son criterios propuestos por el proyecto, no garantías contractuales de Microsoft.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40"/>
            <w:shd w:fill="173F3D"/>
            <w:tcMar>
              <w:top w:w="100" w:type="dxa"/>
              <w:start w:w="110" w:type="dxa"/>
              <w:bottom w:w="100" w:type="dxa"/>
              <w:end w:w="110" w:type="dxa"/>
            </w:tcMar>
            <w:vAlign w:val="center"/>
          </w:tcPr>
          <w:p>
            <w:pPr>
              <w:spacing w:after="0"/>
              <w:jc w:val="center"/>
            </w:pPr>
            <w:r>
              <w:rPr>
                <w:b/>
                <w:color w:val="FFFFFF"/>
                <w:sz w:val="16"/>
              </w:rPr>
              <w:t>Indicador</w:t>
            </w:r>
          </w:p>
        </w:tc>
        <w:tc>
          <w:tcPr>
            <w:tcW w:type="dxa" w:w="2520"/>
            <w:shd w:fill="173F3D"/>
            <w:tcMar>
              <w:top w:w="100" w:type="dxa"/>
              <w:start w:w="110" w:type="dxa"/>
              <w:bottom w:w="100" w:type="dxa"/>
              <w:end w:w="110" w:type="dxa"/>
            </w:tcMar>
            <w:vAlign w:val="center"/>
          </w:tcPr>
          <w:p>
            <w:pPr>
              <w:spacing w:after="0"/>
              <w:jc w:val="center"/>
            </w:pPr>
            <w:r>
              <w:rPr>
                <w:b/>
                <w:color w:val="FFFFFF"/>
                <w:sz w:val="16"/>
              </w:rPr>
              <w:t>Objetivo de aceptación</w:t>
            </w:r>
          </w:p>
        </w:tc>
        <w:tc>
          <w:tcPr>
            <w:tcW w:type="dxa" w:w="3816"/>
            <w:shd w:fill="173F3D"/>
            <w:tcMar>
              <w:top w:w="100" w:type="dxa"/>
              <w:start w:w="110" w:type="dxa"/>
              <w:bottom w:w="100" w:type="dxa"/>
              <w:end w:w="110" w:type="dxa"/>
            </w:tcMar>
            <w:vAlign w:val="center"/>
          </w:tcPr>
          <w:p>
            <w:pPr>
              <w:spacing w:after="0"/>
              <w:jc w:val="center"/>
            </w:pPr>
            <w:r>
              <w:rPr>
                <w:b/>
                <w:color w:val="FFFFFF"/>
                <w:sz w:val="16"/>
              </w:rPr>
              <w:t>Medición</w:t>
            </w:r>
          </w:p>
        </w:tc>
      </w:tr>
      <w:tr>
        <w:tc>
          <w:tcPr>
            <w:tcW w:type="dxa" w:w="3240"/>
            <w:tcMar>
              <w:top w:w="90" w:type="dxa"/>
              <w:start w:w="110" w:type="dxa"/>
              <w:bottom w:w="90" w:type="dxa"/>
              <w:end w:w="110" w:type="dxa"/>
            </w:tcMar>
            <w:vAlign w:val="center"/>
          </w:tcPr>
          <w:p>
            <w:pPr>
              <w:spacing w:after="0" w:line="247" w:lineRule="auto"/>
            </w:pPr>
            <w:r>
              <w:rPr>
                <w:sz w:val="16"/>
              </w:rPr>
              <w:t>Tiempo a interacción inicial</w:t>
            </w:r>
          </w:p>
        </w:tc>
        <w:tc>
          <w:tcPr>
            <w:tcW w:type="dxa" w:w="2520"/>
            <w:tcMar>
              <w:top w:w="90" w:type="dxa"/>
              <w:start w:w="110" w:type="dxa"/>
              <w:bottom w:w="90" w:type="dxa"/>
              <w:end w:w="110" w:type="dxa"/>
            </w:tcMar>
            <w:vAlign w:val="center"/>
          </w:tcPr>
          <w:p>
            <w:pPr>
              <w:spacing w:after="0" w:line="247" w:lineRule="auto"/>
            </w:pPr>
            <w:r>
              <w:rPr>
                <w:sz w:val="16"/>
              </w:rPr>
              <w:t>P75 ≤ 2,0 s</w:t>
            </w:r>
          </w:p>
        </w:tc>
        <w:tc>
          <w:tcPr>
            <w:tcW w:type="dxa" w:w="3816"/>
            <w:tcMar>
              <w:top w:w="90" w:type="dxa"/>
              <w:start w:w="110" w:type="dxa"/>
              <w:bottom w:w="90" w:type="dxa"/>
              <w:end w:w="110" w:type="dxa"/>
            </w:tcMar>
            <w:vAlign w:val="center"/>
          </w:tcPr>
          <w:p>
            <w:pPr>
              <w:spacing w:after="0" w:line="247" w:lineRule="auto"/>
            </w:pPr>
            <w:r>
              <w:rPr>
                <w:sz w:val="16"/>
              </w:rPr>
              <w:t>Power Apps Monitor/telemetría.</w:t>
            </w:r>
          </w:p>
        </w:tc>
      </w:tr>
      <w:tr>
        <w:tc>
          <w:tcPr>
            <w:tcW w:type="dxa" w:w="3240"/>
            <w:tcMar>
              <w:top w:w="90" w:type="dxa"/>
              <w:start w:w="110" w:type="dxa"/>
              <w:bottom w:w="90" w:type="dxa"/>
              <w:end w:w="110" w:type="dxa"/>
            </w:tcMar>
            <w:vAlign w:val="center"/>
            <w:shd w:fill="F5F8F7"/>
          </w:tcPr>
          <w:p>
            <w:pPr>
              <w:spacing w:after="0" w:line="247" w:lineRule="auto"/>
            </w:pPr>
            <w:r>
              <w:rPr>
                <w:sz w:val="16"/>
              </w:rPr>
              <w:t>Carga completa de primera pantalla</w:t>
            </w:r>
          </w:p>
        </w:tc>
        <w:tc>
          <w:tcPr>
            <w:tcW w:type="dxa" w:w="2520"/>
            <w:tcMar>
              <w:top w:w="90" w:type="dxa"/>
              <w:start w:w="110" w:type="dxa"/>
              <w:bottom w:w="90" w:type="dxa"/>
              <w:end w:w="110" w:type="dxa"/>
            </w:tcMar>
            <w:vAlign w:val="center"/>
            <w:shd w:fill="F5F8F7"/>
          </w:tcPr>
          <w:p>
            <w:pPr>
              <w:spacing w:after="0" w:line="247" w:lineRule="auto"/>
            </w:pPr>
            <w:r>
              <w:rPr>
                <w:sz w:val="16"/>
              </w:rPr>
              <w:t>P75 ≤ 3,0 s</w:t>
            </w:r>
          </w:p>
        </w:tc>
        <w:tc>
          <w:tcPr>
            <w:tcW w:type="dxa" w:w="3816"/>
            <w:tcMar>
              <w:top w:w="90" w:type="dxa"/>
              <w:start w:w="110" w:type="dxa"/>
              <w:bottom w:w="90" w:type="dxa"/>
              <w:end w:w="110" w:type="dxa"/>
            </w:tcMar>
            <w:vAlign w:val="center"/>
            <w:shd w:fill="F5F8F7"/>
          </w:tcPr>
          <w:p>
            <w:pPr>
              <w:spacing w:after="0" w:line="247" w:lineRule="auto"/>
            </w:pPr>
            <w:r>
              <w:rPr>
                <w:sz w:val="16"/>
              </w:rPr>
              <w:t>Time to Full Load y sesiones reales.</w:t>
            </w:r>
          </w:p>
        </w:tc>
      </w:tr>
      <w:tr>
        <w:tc>
          <w:tcPr>
            <w:tcW w:type="dxa" w:w="3240"/>
            <w:tcMar>
              <w:top w:w="90" w:type="dxa"/>
              <w:start w:w="110" w:type="dxa"/>
              <w:bottom w:w="90" w:type="dxa"/>
              <w:end w:w="110" w:type="dxa"/>
            </w:tcMar>
            <w:vAlign w:val="center"/>
          </w:tcPr>
          <w:p>
            <w:pPr>
              <w:spacing w:after="0" w:line="247" w:lineRule="auto"/>
            </w:pPr>
            <w:r>
              <w:rPr>
                <w:sz w:val="16"/>
              </w:rPr>
              <w:t>Búsqueda y filtros</w:t>
            </w:r>
          </w:p>
        </w:tc>
        <w:tc>
          <w:tcPr>
            <w:tcW w:type="dxa" w:w="2520"/>
            <w:tcMar>
              <w:top w:w="90" w:type="dxa"/>
              <w:start w:w="110" w:type="dxa"/>
              <w:bottom w:w="90" w:type="dxa"/>
              <w:end w:w="110" w:type="dxa"/>
            </w:tcMar>
            <w:vAlign w:val="center"/>
          </w:tcPr>
          <w:p>
            <w:pPr>
              <w:spacing w:after="0" w:line="247" w:lineRule="auto"/>
            </w:pPr>
            <w:r>
              <w:rPr>
                <w:sz w:val="16"/>
              </w:rPr>
              <w:t>P95 ≤ 2,0 s</w:t>
            </w:r>
          </w:p>
        </w:tc>
        <w:tc>
          <w:tcPr>
            <w:tcW w:type="dxa" w:w="3816"/>
            <w:tcMar>
              <w:top w:w="90" w:type="dxa"/>
              <w:start w:w="110" w:type="dxa"/>
              <w:bottom w:w="90" w:type="dxa"/>
              <w:end w:w="110" w:type="dxa"/>
            </w:tcMar>
            <w:vAlign w:val="center"/>
          </w:tcPr>
          <w:p>
            <w:pPr>
              <w:spacing w:after="0" w:line="247" w:lineRule="auto"/>
            </w:pPr>
            <w:r>
              <w:rPr>
                <w:sz w:val="16"/>
              </w:rPr>
              <w:t>Desde acción del usuario hasta resultados.</w:t>
            </w:r>
          </w:p>
        </w:tc>
      </w:tr>
      <w:tr>
        <w:tc>
          <w:tcPr>
            <w:tcW w:type="dxa" w:w="3240"/>
            <w:tcMar>
              <w:top w:w="90" w:type="dxa"/>
              <w:start w:w="110" w:type="dxa"/>
              <w:bottom w:w="90" w:type="dxa"/>
              <w:end w:w="110" w:type="dxa"/>
            </w:tcMar>
            <w:vAlign w:val="center"/>
            <w:shd w:fill="F5F8F7"/>
          </w:tcPr>
          <w:p>
            <w:pPr>
              <w:spacing w:after="0" w:line="247" w:lineRule="auto"/>
            </w:pPr>
            <w:r>
              <w:rPr>
                <w:sz w:val="16"/>
              </w:rPr>
              <w:t>Abrir ficha de tercero/inventario</w:t>
            </w:r>
          </w:p>
        </w:tc>
        <w:tc>
          <w:tcPr>
            <w:tcW w:type="dxa" w:w="2520"/>
            <w:tcMar>
              <w:top w:w="90" w:type="dxa"/>
              <w:start w:w="110" w:type="dxa"/>
              <w:bottom w:w="90" w:type="dxa"/>
              <w:end w:w="110" w:type="dxa"/>
            </w:tcMar>
            <w:vAlign w:val="center"/>
            <w:shd w:fill="F5F8F7"/>
          </w:tcPr>
          <w:p>
            <w:pPr>
              <w:spacing w:after="0" w:line="247" w:lineRule="auto"/>
            </w:pPr>
            <w:r>
              <w:rPr>
                <w:sz w:val="16"/>
              </w:rPr>
              <w:t>P95 ≤ 2,5 s</w:t>
            </w:r>
          </w:p>
        </w:tc>
        <w:tc>
          <w:tcPr>
            <w:tcW w:type="dxa" w:w="3816"/>
            <w:tcMar>
              <w:top w:w="90" w:type="dxa"/>
              <w:start w:w="110" w:type="dxa"/>
              <w:bottom w:w="90" w:type="dxa"/>
              <w:end w:w="110" w:type="dxa"/>
            </w:tcMar>
            <w:vAlign w:val="center"/>
            <w:shd w:fill="F5F8F7"/>
          </w:tcPr>
          <w:p>
            <w:pPr>
              <w:spacing w:after="0" w:line="247" w:lineRule="auto"/>
            </w:pPr>
            <w:r>
              <w:rPr>
                <w:sz w:val="16"/>
              </w:rPr>
              <w:t>Incluye datos esenciales, no todas las pestañas.</w:t>
            </w:r>
          </w:p>
        </w:tc>
      </w:tr>
      <w:tr>
        <w:tc>
          <w:tcPr>
            <w:tcW w:type="dxa" w:w="3240"/>
            <w:tcMar>
              <w:top w:w="90" w:type="dxa"/>
              <w:start w:w="110" w:type="dxa"/>
              <w:bottom w:w="90" w:type="dxa"/>
              <w:end w:w="110" w:type="dxa"/>
            </w:tcMar>
            <w:vAlign w:val="center"/>
          </w:tcPr>
          <w:p>
            <w:pPr>
              <w:spacing w:after="0" w:line="247" w:lineRule="auto"/>
            </w:pPr>
            <w:r>
              <w:rPr>
                <w:sz w:val="16"/>
              </w:rPr>
              <w:t>Guardar operación simple</w:t>
            </w:r>
          </w:p>
        </w:tc>
        <w:tc>
          <w:tcPr>
            <w:tcW w:type="dxa" w:w="2520"/>
            <w:tcMar>
              <w:top w:w="90" w:type="dxa"/>
              <w:start w:w="110" w:type="dxa"/>
              <w:bottom w:w="90" w:type="dxa"/>
              <w:end w:w="110" w:type="dxa"/>
            </w:tcMar>
            <w:vAlign w:val="center"/>
          </w:tcPr>
          <w:p>
            <w:pPr>
              <w:spacing w:after="0" w:line="247" w:lineRule="auto"/>
            </w:pPr>
            <w:r>
              <w:rPr>
                <w:sz w:val="16"/>
              </w:rPr>
              <w:t>P95 ≤ 3,0 s</w:t>
            </w:r>
          </w:p>
        </w:tc>
        <w:tc>
          <w:tcPr>
            <w:tcW w:type="dxa" w:w="3816"/>
            <w:tcMar>
              <w:top w:w="90" w:type="dxa"/>
              <w:start w:w="110" w:type="dxa"/>
              <w:bottom w:w="90" w:type="dxa"/>
              <w:end w:w="110" w:type="dxa"/>
            </w:tcMar>
            <w:vAlign w:val="center"/>
          </w:tcPr>
          <w:p>
            <w:pPr>
              <w:spacing w:after="0" w:line="247" w:lineRule="auto"/>
            </w:pPr>
            <w:r>
              <w:rPr>
                <w:sz w:val="16"/>
              </w:rPr>
              <w:t>Sin contar procesos asíncronos no bloqueantes.</w:t>
            </w:r>
          </w:p>
        </w:tc>
      </w:tr>
      <w:tr>
        <w:tc>
          <w:tcPr>
            <w:tcW w:type="dxa" w:w="3240"/>
            <w:tcMar>
              <w:top w:w="90" w:type="dxa"/>
              <w:start w:w="110" w:type="dxa"/>
              <w:bottom w:w="90" w:type="dxa"/>
              <w:end w:w="110" w:type="dxa"/>
            </w:tcMar>
            <w:vAlign w:val="center"/>
            <w:shd w:fill="F5F8F7"/>
          </w:tcPr>
          <w:p>
            <w:pPr>
              <w:spacing w:after="0" w:line="247" w:lineRule="auto"/>
            </w:pPr>
            <w:r>
              <w:rPr>
                <w:sz w:val="16"/>
              </w:rPr>
              <w:t>Éxito de solicitudes</w:t>
            </w:r>
          </w:p>
        </w:tc>
        <w:tc>
          <w:tcPr>
            <w:tcW w:type="dxa" w:w="2520"/>
            <w:tcMar>
              <w:top w:w="90" w:type="dxa"/>
              <w:start w:w="110" w:type="dxa"/>
              <w:bottom w:w="90" w:type="dxa"/>
              <w:end w:w="110" w:type="dxa"/>
            </w:tcMar>
            <w:vAlign w:val="center"/>
            <w:shd w:fill="F5F8F7"/>
          </w:tcPr>
          <w:p>
            <w:pPr>
              <w:spacing w:after="0" w:line="247" w:lineRule="auto"/>
            </w:pPr>
            <w:r>
              <w:rPr>
                <w:sz w:val="16"/>
              </w:rPr>
              <w:t>≥ 99,5 %</w:t>
            </w:r>
          </w:p>
        </w:tc>
        <w:tc>
          <w:tcPr>
            <w:tcW w:type="dxa" w:w="3816"/>
            <w:tcMar>
              <w:top w:w="90" w:type="dxa"/>
              <w:start w:w="110" w:type="dxa"/>
              <w:bottom w:w="90" w:type="dxa"/>
              <w:end w:w="110" w:type="dxa"/>
            </w:tcMar>
            <w:vAlign w:val="center"/>
            <w:shd w:fill="F5F8F7"/>
          </w:tcPr>
          <w:p>
            <w:pPr>
              <w:spacing w:after="0" w:line="247" w:lineRule="auto"/>
            </w:pPr>
            <w:r>
              <w:rPr>
                <w:sz w:val="16"/>
              </w:rPr>
              <w:t>Errores funcionales, conexión y 429.</w:t>
            </w:r>
          </w:p>
        </w:tc>
      </w:tr>
      <w:tr>
        <w:tc>
          <w:tcPr>
            <w:tcW w:type="dxa" w:w="3240"/>
            <w:tcMar>
              <w:top w:w="90" w:type="dxa"/>
              <w:start w:w="110" w:type="dxa"/>
              <w:bottom w:w="90" w:type="dxa"/>
              <w:end w:w="110" w:type="dxa"/>
            </w:tcMar>
            <w:vAlign w:val="center"/>
          </w:tcPr>
          <w:p>
            <w:pPr>
              <w:spacing w:after="0" w:line="247" w:lineRule="auto"/>
            </w:pPr>
            <w:r>
              <w:rPr>
                <w:sz w:val="16"/>
              </w:rPr>
              <w:t>Resultados completos</w:t>
            </w:r>
          </w:p>
        </w:tc>
        <w:tc>
          <w:tcPr>
            <w:tcW w:type="dxa" w:w="2520"/>
            <w:tcMar>
              <w:top w:w="90" w:type="dxa"/>
              <w:start w:w="110" w:type="dxa"/>
              <w:bottom w:w="90" w:type="dxa"/>
              <w:end w:w="110" w:type="dxa"/>
            </w:tcMar>
            <w:vAlign w:val="center"/>
          </w:tcPr>
          <w:p>
            <w:pPr>
              <w:spacing w:after="0" w:line="247" w:lineRule="auto"/>
            </w:pPr>
            <w:r>
              <w:rPr>
                <w:sz w:val="16"/>
              </w:rPr>
              <w:t>100 %</w:t>
            </w:r>
          </w:p>
        </w:tc>
        <w:tc>
          <w:tcPr>
            <w:tcW w:type="dxa" w:w="3816"/>
            <w:tcMar>
              <w:top w:w="90" w:type="dxa"/>
              <w:start w:w="110" w:type="dxa"/>
              <w:bottom w:w="90" w:type="dxa"/>
              <w:end w:w="110" w:type="dxa"/>
            </w:tcMar>
            <w:vAlign w:val="center"/>
          </w:tcPr>
          <w:p>
            <w:pPr>
              <w:spacing w:after="0" w:line="247" w:lineRule="auto"/>
            </w:pPr>
            <w:r>
              <w:rPr>
                <w:sz w:val="16"/>
              </w:rPr>
              <w:t>Pruebas de delegación con datos por encima de 2.000 filas.</w:t>
            </w:r>
          </w:p>
        </w:tc>
      </w:tr>
    </w:tbl>
    <w:p>
      <w:pPr>
        <w:spacing w:after="20"/>
      </w:pPr>
    </w:p>
    <w:p>
      <w:pPr>
        <w:spacing w:after="100"/>
      </w:pPr>
      <w:r>
        <w:rPr>
          <w:i w:val="0"/>
        </w:rPr>
        <w:t>Microsoft Monitor permite observar éxito de apertura, sesiones, tiempo a interacción, tiempo de carga completa, éxito y latencia de solicitudes. La aplicación no debe aprobarse con pruebas manuales aisladas; debe medirse con usuarios, sedes y condiciones de red representativas. [S11]</w:t>
      </w:r>
    </w:p>
    <w:p>
      <w:pPr>
        <w:pStyle w:val="Heading2"/>
        <w:keepNext/>
      </w:pPr>
      <w:r>
        <w:t>6.1 Patrones obligatorios de optimización</w:t>
      </w:r>
    </w:p>
    <w:p>
      <w:pPr>
        <w:pStyle w:val="ListBullet"/>
        <w:spacing w:after="60"/>
      </w:pPr>
      <w:r>
        <w:t>Minimizar App.OnStart y trasladar carga no esencial a pantallas o acciones bajo demanda.</w:t>
      </w:r>
    </w:p>
    <w:p>
      <w:pPr>
        <w:pStyle w:val="ListBullet"/>
        <w:spacing w:after="60"/>
      </w:pPr>
      <w:r>
        <w:t>Usar Select explícito de columnas y filtros delegables; no recuperar registros ni campos innecesarios.</w:t>
      </w:r>
    </w:p>
    <w:p>
      <w:pPr>
        <w:pStyle w:val="ListBullet"/>
        <w:spacing w:after="60"/>
      </w:pPr>
      <w:r>
        <w:t>Evitar LookUp/Filter por cada fila de una galería y cualquier patrón Select N+1.</w:t>
      </w:r>
    </w:p>
    <w:p>
      <w:pPr>
        <w:pStyle w:val="ListBullet"/>
        <w:spacing w:after="60"/>
      </w:pPr>
      <w:r>
        <w:t>Usar Concurrent solo para operaciones independientes y después de medir el efecto.</w:t>
      </w:r>
    </w:p>
    <w:p>
      <w:pPr>
        <w:pStyle w:val="ListBullet"/>
        <w:spacing w:after="60"/>
      </w:pPr>
      <w:r>
        <w:t>Mantener en caché de sesión únicamente catálogos pequeños y no sensibles.</w:t>
      </w:r>
    </w:p>
    <w:p>
      <w:pPr>
        <w:pStyle w:val="ListBullet"/>
        <w:spacing w:after="60"/>
      </w:pPr>
      <w:r>
        <w:t>Paginar listas; no usar ClearCollect como mecanismo para copiar tablas completas.</w:t>
      </w:r>
    </w:p>
    <w:p>
      <w:pPr>
        <w:pStyle w:val="ListBullet"/>
        <w:spacing w:after="60"/>
      </w:pPr>
      <w:r>
        <w:t>Comprimir imágenes, generar miniaturas y cargar medios bajo demanda.</w:t>
      </w:r>
    </w:p>
    <w:p>
      <w:pPr>
        <w:pStyle w:val="ListBullet"/>
        <w:spacing w:after="60"/>
      </w:pPr>
      <w:r>
        <w:t>Mover lógica transaccional compleja a Dataverse, Power Fx functions o Custom APIs cuando varias llamadas deban ejecutarse como una operación coherente. [S12]</w:t>
      </w:r>
    </w:p>
    <w:p>
      <w:pPr>
        <w:pStyle w:val="Heading1"/>
        <w:keepNext/>
      </w:pPr>
      <w:r>
        <w:t>7. Proyección de datos y almacenamiento</w:t>
      </w:r>
    </w:p>
    <w:p>
      <w:pPr>
        <w:spacing w:after="100"/>
      </w:pPr>
      <w:r>
        <w:rPr>
          <w:i w:val="0"/>
        </w:rPr>
        <w:t>Dataverse contabiliza por separado Database, File y Log. La capacidad efectiva está agrupada a nivel tenant y depende de licencias y complementos. No debe proyectarse únicamente por número de personas: inventarios, historial, auditoría, archivos y automatizaciones determinan el crecimiento. [S13]</w:t>
      </w:r>
    </w:p>
    <w:p>
      <w:pPr>
        <w:pStyle w:val="Heading2"/>
        <w:keepNext/>
      </w:pPr>
      <w:r>
        <w:t>7.1 Datos estructurados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shd w:fill="173F3D"/>
            <w:tcMar>
              <w:top w:w="100" w:type="dxa"/>
              <w:start w:w="110" w:type="dxa"/>
              <w:bottom w:w="100" w:type="dxa"/>
              <w:end w:w="110" w:type="dxa"/>
            </w:tcMar>
            <w:vAlign w:val="center"/>
          </w:tcPr>
          <w:p>
            <w:pPr>
              <w:spacing w:after="0"/>
              <w:jc w:val="center"/>
            </w:pPr>
            <w:r>
              <w:rPr>
                <w:b/>
                <w:color w:val="FFFFFF"/>
                <w:sz w:val="16"/>
              </w:rPr>
              <w:t>Dominio</w:t>
            </w:r>
          </w:p>
        </w:tc>
        <w:tc>
          <w:tcPr>
            <w:tcW w:type="dxa" w:w="3096"/>
            <w:shd w:fill="173F3D"/>
            <w:tcMar>
              <w:top w:w="100" w:type="dxa"/>
              <w:start w:w="110" w:type="dxa"/>
              <w:bottom w:w="100" w:type="dxa"/>
              <w:end w:w="110" w:type="dxa"/>
            </w:tcMar>
            <w:vAlign w:val="center"/>
          </w:tcPr>
          <w:p>
            <w:pPr>
              <w:spacing w:after="0"/>
              <w:jc w:val="center"/>
            </w:pPr>
            <w:r>
              <w:rPr>
                <w:b/>
                <w:color w:val="FFFFFF"/>
                <w:sz w:val="16"/>
              </w:rPr>
              <w:t>Volumen inicial de diseño</w:t>
            </w:r>
          </w:p>
        </w:tc>
        <w:tc>
          <w:tcPr>
            <w:tcW w:type="dxa" w:w="3960"/>
            <w:shd w:fill="173F3D"/>
            <w:tcMar>
              <w:top w:w="100" w:type="dxa"/>
              <w:start w:w="110" w:type="dxa"/>
              <w:bottom w:w="100" w:type="dxa"/>
              <w:end w:w="110" w:type="dxa"/>
            </w:tcMar>
            <w:vAlign w:val="center"/>
          </w:tcPr>
          <w:p>
            <w:pPr>
              <w:spacing w:after="0"/>
              <w:jc w:val="center"/>
            </w:pPr>
            <w:r>
              <w:rPr>
                <w:b/>
                <w:color w:val="FFFFFF"/>
                <w:sz w:val="16"/>
              </w:rPr>
              <w:t>Crecimiento anual de referencia</w:t>
            </w:r>
          </w:p>
        </w:tc>
      </w:tr>
      <w:tr>
        <w:tc>
          <w:tcPr>
            <w:tcW w:type="dxa" w:w="2520"/>
            <w:tcMar>
              <w:top w:w="90" w:type="dxa"/>
              <w:start w:w="110" w:type="dxa"/>
              <w:bottom w:w="90" w:type="dxa"/>
              <w:end w:w="110" w:type="dxa"/>
            </w:tcMar>
            <w:vAlign w:val="center"/>
          </w:tcPr>
          <w:p>
            <w:pPr>
              <w:spacing w:after="0" w:line="247" w:lineRule="auto"/>
            </w:pPr>
            <w:r>
              <w:rPr>
                <w:sz w:val="16"/>
              </w:rPr>
              <w:t>Estructura organizacional</w:t>
            </w:r>
          </w:p>
        </w:tc>
        <w:tc>
          <w:tcPr>
            <w:tcW w:type="dxa" w:w="3096"/>
            <w:tcMar>
              <w:top w:w="90" w:type="dxa"/>
              <w:start w:w="110" w:type="dxa"/>
              <w:bottom w:w="90" w:type="dxa"/>
              <w:end w:w="110" w:type="dxa"/>
            </w:tcMar>
            <w:vAlign w:val="center"/>
          </w:tcPr>
          <w:p>
            <w:pPr>
              <w:spacing w:after="0" w:line="247" w:lineRule="auto"/>
            </w:pPr>
            <w:r>
              <w:rPr>
                <w:sz w:val="16"/>
              </w:rPr>
              <w:t>50–150 unidades</w:t>
            </w:r>
          </w:p>
        </w:tc>
        <w:tc>
          <w:tcPr>
            <w:tcW w:type="dxa" w:w="3960"/>
            <w:tcMar>
              <w:top w:w="90" w:type="dxa"/>
              <w:start w:w="110" w:type="dxa"/>
              <w:bottom w:w="90" w:type="dxa"/>
              <w:end w:w="110" w:type="dxa"/>
            </w:tcMar>
            <w:vAlign w:val="center"/>
          </w:tcPr>
          <w:p>
            <w:pPr>
              <w:spacing w:after="0" w:line="247" w:lineRule="auto"/>
            </w:pPr>
            <w:r>
              <w:rPr>
                <w:sz w:val="16"/>
              </w:rPr>
              <w:t>Bajo; se conserva historial.</w:t>
            </w:r>
          </w:p>
        </w:tc>
      </w:tr>
      <w:tr>
        <w:tc>
          <w:tcPr>
            <w:tcW w:type="dxa" w:w="2520"/>
            <w:tcMar>
              <w:top w:w="90" w:type="dxa"/>
              <w:start w:w="110" w:type="dxa"/>
              <w:bottom w:w="90" w:type="dxa"/>
              <w:end w:w="110" w:type="dxa"/>
            </w:tcMar>
            <w:vAlign w:val="center"/>
            <w:shd w:fill="F5F8F7"/>
          </w:tcPr>
          <w:p>
            <w:pPr>
              <w:spacing w:after="0" w:line="247" w:lineRule="auto"/>
            </w:pPr>
            <w:r>
              <w:rPr>
                <w:sz w:val="16"/>
              </w:rPr>
              <w:t>Terceros</w:t>
            </w:r>
          </w:p>
        </w:tc>
        <w:tc>
          <w:tcPr>
            <w:tcW w:type="dxa" w:w="3096"/>
            <w:tcMar>
              <w:top w:w="90" w:type="dxa"/>
              <w:start w:w="110" w:type="dxa"/>
              <w:bottom w:w="90" w:type="dxa"/>
              <w:end w:w="110" w:type="dxa"/>
            </w:tcMar>
            <w:vAlign w:val="center"/>
            <w:shd w:fill="F5F8F7"/>
          </w:tcPr>
          <w:p>
            <w:pPr>
              <w:spacing w:after="0" w:line="247" w:lineRule="auto"/>
            </w:pPr>
            <w:r>
              <w:rPr>
                <w:sz w:val="16"/>
              </w:rPr>
              <w:t>1.000–5.000 personas</w:t>
            </w:r>
          </w:p>
        </w:tc>
        <w:tc>
          <w:tcPr>
            <w:tcW w:type="dxa" w:w="3960"/>
            <w:tcMar>
              <w:top w:w="90" w:type="dxa"/>
              <w:start w:w="110" w:type="dxa"/>
              <w:bottom w:w="90" w:type="dxa"/>
              <w:end w:w="110" w:type="dxa"/>
            </w:tcMar>
            <w:vAlign w:val="center"/>
            <w:shd w:fill="F5F8F7"/>
          </w:tcPr>
          <w:p>
            <w:pPr>
              <w:spacing w:after="0" w:line="247" w:lineRule="auto"/>
            </w:pPr>
            <w:r>
              <w:rPr>
                <w:sz w:val="16"/>
              </w:rPr>
              <w:t>10–25 %, según alcance externo.</w:t>
            </w:r>
          </w:p>
        </w:tc>
      </w:tr>
      <w:tr>
        <w:tc>
          <w:tcPr>
            <w:tcW w:type="dxa" w:w="2520"/>
            <w:tcMar>
              <w:top w:w="90" w:type="dxa"/>
              <w:start w:w="110" w:type="dxa"/>
              <w:bottom w:w="90" w:type="dxa"/>
              <w:end w:w="110" w:type="dxa"/>
            </w:tcMar>
            <w:vAlign w:val="center"/>
          </w:tcPr>
          <w:p>
            <w:pPr>
              <w:spacing w:after="0" w:line="247" w:lineRule="auto"/>
            </w:pPr>
            <w:r>
              <w:rPr>
                <w:sz w:val="16"/>
              </w:rPr>
              <w:t>Relaciones de terceros</w:t>
            </w:r>
          </w:p>
        </w:tc>
        <w:tc>
          <w:tcPr>
            <w:tcW w:type="dxa" w:w="3096"/>
            <w:tcMar>
              <w:top w:w="90" w:type="dxa"/>
              <w:start w:w="110" w:type="dxa"/>
              <w:bottom w:w="90" w:type="dxa"/>
              <w:end w:w="110" w:type="dxa"/>
            </w:tcMar>
            <w:vAlign w:val="center"/>
          </w:tcPr>
          <w:p>
            <w:pPr>
              <w:spacing w:after="0" w:line="247" w:lineRule="auto"/>
            </w:pPr>
            <w:r>
              <w:rPr>
                <w:sz w:val="16"/>
              </w:rPr>
              <w:t>5–20 filas por tercero</w:t>
            </w:r>
          </w:p>
        </w:tc>
        <w:tc>
          <w:tcPr>
            <w:tcW w:type="dxa" w:w="3960"/>
            <w:tcMar>
              <w:top w:w="90" w:type="dxa"/>
              <w:start w:w="110" w:type="dxa"/>
              <w:bottom w:w="90" w:type="dxa"/>
              <w:end w:w="110" w:type="dxa"/>
            </w:tcMar>
            <w:vAlign w:val="center"/>
          </w:tcPr>
          <w:p>
            <w:pPr>
              <w:spacing w:after="0" w:line="247" w:lineRule="auto"/>
            </w:pPr>
            <w:r>
              <w:rPr>
                <w:sz w:val="16"/>
              </w:rPr>
              <w:t>Proporcional a personas e historia.</w:t>
            </w:r>
          </w:p>
        </w:tc>
      </w:tr>
      <w:tr>
        <w:tc>
          <w:tcPr>
            <w:tcW w:type="dxa" w:w="2520"/>
            <w:tcMar>
              <w:top w:w="90" w:type="dxa"/>
              <w:start w:w="110" w:type="dxa"/>
              <w:bottom w:w="90" w:type="dxa"/>
              <w:end w:w="110" w:type="dxa"/>
            </w:tcMar>
            <w:vAlign w:val="center"/>
            <w:shd w:fill="F5F8F7"/>
          </w:tcPr>
          <w:p>
            <w:pPr>
              <w:spacing w:after="0" w:line="247" w:lineRule="auto"/>
            </w:pPr>
            <w:r>
              <w:rPr>
                <w:sz w:val="16"/>
              </w:rPr>
              <w:t>Inventario</w:t>
            </w:r>
          </w:p>
        </w:tc>
        <w:tc>
          <w:tcPr>
            <w:tcW w:type="dxa" w:w="3096"/>
            <w:tcMar>
              <w:top w:w="90" w:type="dxa"/>
              <w:start w:w="110" w:type="dxa"/>
              <w:bottom w:w="90" w:type="dxa"/>
              <w:end w:w="110" w:type="dxa"/>
            </w:tcMar>
            <w:vAlign w:val="center"/>
            <w:shd w:fill="F5F8F7"/>
          </w:tcPr>
          <w:p>
            <w:pPr>
              <w:spacing w:after="0" w:line="247" w:lineRule="auto"/>
            </w:pPr>
            <w:r>
              <w:rPr>
                <w:sz w:val="16"/>
              </w:rPr>
              <w:t>2.000–10.000 activos/elementos</w:t>
            </w:r>
          </w:p>
        </w:tc>
        <w:tc>
          <w:tcPr>
            <w:tcW w:type="dxa" w:w="3960"/>
            <w:tcMar>
              <w:top w:w="90" w:type="dxa"/>
              <w:start w:w="110" w:type="dxa"/>
              <w:bottom w:w="90" w:type="dxa"/>
              <w:end w:w="110" w:type="dxa"/>
            </w:tcMar>
            <w:vAlign w:val="center"/>
            <w:shd w:fill="F5F8F7"/>
          </w:tcPr>
          <w:p>
            <w:pPr>
              <w:spacing w:after="0" w:line="247" w:lineRule="auto"/>
            </w:pPr>
            <w:r>
              <w:rPr>
                <w:sz w:val="16"/>
              </w:rPr>
              <w:t>10–20 % más movimientos.</w:t>
            </w:r>
          </w:p>
        </w:tc>
      </w:tr>
      <w:tr>
        <w:tc>
          <w:tcPr>
            <w:tcW w:type="dxa" w:w="2520"/>
            <w:tcMar>
              <w:top w:w="90" w:type="dxa"/>
              <w:start w:w="110" w:type="dxa"/>
              <w:bottom w:w="90" w:type="dxa"/>
              <w:end w:w="110" w:type="dxa"/>
            </w:tcMar>
            <w:vAlign w:val="center"/>
          </w:tcPr>
          <w:p>
            <w:pPr>
              <w:spacing w:after="0" w:line="247" w:lineRule="auto"/>
            </w:pPr>
            <w:r>
              <w:rPr>
                <w:sz w:val="16"/>
              </w:rPr>
              <w:t>Movimientos y trazabilidad</w:t>
            </w:r>
          </w:p>
        </w:tc>
        <w:tc>
          <w:tcPr>
            <w:tcW w:type="dxa" w:w="3096"/>
            <w:tcMar>
              <w:top w:w="90" w:type="dxa"/>
              <w:start w:w="110" w:type="dxa"/>
              <w:bottom w:w="90" w:type="dxa"/>
              <w:end w:w="110" w:type="dxa"/>
            </w:tcMar>
            <w:vAlign w:val="center"/>
          </w:tcPr>
          <w:p>
            <w:pPr>
              <w:spacing w:after="0" w:line="247" w:lineRule="auto"/>
            </w:pPr>
            <w:r>
              <w:rPr>
                <w:sz w:val="16"/>
              </w:rPr>
              <w:t>10.000–50.000 filas/año</w:t>
            </w:r>
          </w:p>
        </w:tc>
        <w:tc>
          <w:tcPr>
            <w:tcW w:type="dxa" w:w="3960"/>
            <w:tcMar>
              <w:top w:w="90" w:type="dxa"/>
              <w:start w:w="110" w:type="dxa"/>
              <w:bottom w:w="90" w:type="dxa"/>
              <w:end w:w="110" w:type="dxa"/>
            </w:tcMar>
            <w:vAlign w:val="center"/>
          </w:tcPr>
          <w:p>
            <w:pPr>
              <w:spacing w:after="0" w:line="247" w:lineRule="auto"/>
            </w:pPr>
            <w:r>
              <w:rPr>
                <w:sz w:val="16"/>
              </w:rPr>
              <w:t>Acumulativo; principal fuente transaccional.</w:t>
            </w:r>
          </w:p>
        </w:tc>
      </w:tr>
      <w:tr>
        <w:tc>
          <w:tcPr>
            <w:tcW w:type="dxa" w:w="2520"/>
            <w:tcMar>
              <w:top w:w="90" w:type="dxa"/>
              <w:start w:w="110" w:type="dxa"/>
              <w:bottom w:w="90" w:type="dxa"/>
              <w:end w:w="110" w:type="dxa"/>
            </w:tcMar>
            <w:vAlign w:val="center"/>
            <w:shd w:fill="F5F8F7"/>
          </w:tcPr>
          <w:p>
            <w:pPr>
              <w:spacing w:after="0" w:line="247" w:lineRule="auto"/>
            </w:pPr>
            <w:r>
              <w:rPr>
                <w:sz w:val="16"/>
              </w:rPr>
              <w:t>Auditoría</w:t>
            </w:r>
          </w:p>
        </w:tc>
        <w:tc>
          <w:tcPr>
            <w:tcW w:type="dxa" w:w="3096"/>
            <w:tcMar>
              <w:top w:w="90" w:type="dxa"/>
              <w:start w:w="110" w:type="dxa"/>
              <w:bottom w:w="90" w:type="dxa"/>
              <w:end w:w="110" w:type="dxa"/>
            </w:tcMar>
            <w:vAlign w:val="center"/>
            <w:shd w:fill="F5F8F7"/>
          </w:tcPr>
          <w:p>
            <w:pPr>
              <w:spacing w:after="0" w:line="247" w:lineRule="auto"/>
            </w:pPr>
            <w:r>
              <w:rPr>
                <w:sz w:val="16"/>
              </w:rPr>
              <w:t>Dependiente de tablas/columnas auditadas</w:t>
            </w:r>
          </w:p>
        </w:tc>
        <w:tc>
          <w:tcPr>
            <w:tcW w:type="dxa" w:w="3960"/>
            <w:tcMar>
              <w:top w:w="90" w:type="dxa"/>
              <w:start w:w="110" w:type="dxa"/>
              <w:bottom w:w="90" w:type="dxa"/>
              <w:end w:w="110" w:type="dxa"/>
            </w:tcMar>
            <w:vAlign w:val="center"/>
            <w:shd w:fill="F5F8F7"/>
          </w:tcPr>
          <w:p>
            <w:pPr>
              <w:spacing w:after="0" w:line="247" w:lineRule="auto"/>
            </w:pPr>
            <w:r>
              <w:rPr>
                <w:sz w:val="16"/>
              </w:rPr>
              <w:t>Puede superar el dato funcional si se audita indiscriminadamente.</w:t>
            </w:r>
          </w:p>
        </w:tc>
      </w:tr>
    </w:tbl>
    <w:p>
      <w:pPr>
        <w:spacing w:after="20"/>
      </w:pP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656"/>
            <w:shd w:fill="173F3D"/>
            <w:tcMar>
              <w:top w:w="100" w:type="dxa"/>
              <w:start w:w="110" w:type="dxa"/>
              <w:bottom w:w="100" w:type="dxa"/>
              <w:end w:w="110" w:type="dxa"/>
            </w:tcMar>
            <w:vAlign w:val="center"/>
          </w:tcPr>
          <w:p>
            <w:pPr>
              <w:spacing w:after="0"/>
              <w:jc w:val="center"/>
            </w:pPr>
            <w:r>
              <w:rPr>
                <w:b/>
                <w:color w:val="FFFFFF"/>
                <w:sz w:val="16"/>
              </w:rPr>
              <w:t>Escenario</w:t>
            </w:r>
          </w:p>
        </w:tc>
        <w:tc>
          <w:tcPr>
            <w:tcW w:type="dxa" w:w="1584"/>
            <w:shd w:fill="173F3D"/>
            <w:tcMar>
              <w:top w:w="100" w:type="dxa"/>
              <w:start w:w="110" w:type="dxa"/>
              <w:bottom w:w="100" w:type="dxa"/>
              <w:end w:w="110" w:type="dxa"/>
            </w:tcMar>
            <w:vAlign w:val="center"/>
          </w:tcPr>
          <w:p>
            <w:pPr>
              <w:spacing w:after="0"/>
              <w:jc w:val="center"/>
            </w:pPr>
            <w:r>
              <w:rPr>
                <w:b/>
                <w:color w:val="FFFFFF"/>
                <w:sz w:val="16"/>
              </w:rPr>
              <w:t>Año 1 Database</w:t>
            </w:r>
          </w:p>
        </w:tc>
        <w:tc>
          <w:tcPr>
            <w:tcW w:type="dxa" w:w="1440"/>
            <w:shd w:fill="173F3D"/>
            <w:tcMar>
              <w:top w:w="100" w:type="dxa"/>
              <w:start w:w="110" w:type="dxa"/>
              <w:bottom w:w="100" w:type="dxa"/>
              <w:end w:w="110" w:type="dxa"/>
            </w:tcMar>
            <w:vAlign w:val="center"/>
          </w:tcPr>
          <w:p>
            <w:pPr>
              <w:spacing w:after="0"/>
              <w:jc w:val="center"/>
            </w:pPr>
            <w:r>
              <w:rPr>
                <w:b/>
                <w:color w:val="FFFFFF"/>
                <w:sz w:val="16"/>
              </w:rPr>
              <w:t>Año 3</w:t>
            </w:r>
          </w:p>
        </w:tc>
        <w:tc>
          <w:tcPr>
            <w:tcW w:type="dxa" w:w="1440"/>
            <w:shd w:fill="173F3D"/>
            <w:tcMar>
              <w:top w:w="100" w:type="dxa"/>
              <w:start w:w="110" w:type="dxa"/>
              <w:bottom w:w="100" w:type="dxa"/>
              <w:end w:w="110" w:type="dxa"/>
            </w:tcMar>
            <w:vAlign w:val="center"/>
          </w:tcPr>
          <w:p>
            <w:pPr>
              <w:spacing w:after="0"/>
              <w:jc w:val="center"/>
            </w:pPr>
            <w:r>
              <w:rPr>
                <w:b/>
                <w:color w:val="FFFFFF"/>
                <w:sz w:val="16"/>
              </w:rPr>
              <w:t>Año 5</w:t>
            </w:r>
          </w:p>
        </w:tc>
        <w:tc>
          <w:tcPr>
            <w:tcW w:type="dxa" w:w="3456"/>
            <w:shd w:fill="173F3D"/>
            <w:tcMar>
              <w:top w:w="100" w:type="dxa"/>
              <w:start w:w="110" w:type="dxa"/>
              <w:bottom w:w="100" w:type="dxa"/>
              <w:end w:w="110" w:type="dxa"/>
            </w:tcMar>
            <w:vAlign w:val="center"/>
          </w:tcPr>
          <w:p>
            <w:pPr>
              <w:spacing w:after="0"/>
              <w:jc w:val="center"/>
            </w:pPr>
            <w:r>
              <w:rPr>
                <w:b/>
                <w:color w:val="FFFFFF"/>
                <w:sz w:val="16"/>
              </w:rPr>
              <w:t>Observación</w:t>
            </w:r>
          </w:p>
        </w:tc>
      </w:tr>
      <w:tr>
        <w:tc>
          <w:tcPr>
            <w:tcW w:type="dxa" w:w="1656"/>
            <w:tcMar>
              <w:top w:w="90" w:type="dxa"/>
              <w:start w:w="110" w:type="dxa"/>
              <w:bottom w:w="90" w:type="dxa"/>
              <w:end w:w="110" w:type="dxa"/>
            </w:tcMar>
            <w:vAlign w:val="center"/>
          </w:tcPr>
          <w:p>
            <w:pPr>
              <w:spacing w:after="0" w:line="247" w:lineRule="auto"/>
            </w:pPr>
            <w:r>
              <w:rPr>
                <w:sz w:val="16"/>
              </w:rPr>
              <w:t>Conservador</w:t>
            </w:r>
          </w:p>
        </w:tc>
        <w:tc>
          <w:tcPr>
            <w:tcW w:type="dxa" w:w="1584"/>
            <w:tcMar>
              <w:top w:w="90" w:type="dxa"/>
              <w:start w:w="110" w:type="dxa"/>
              <w:bottom w:w="90" w:type="dxa"/>
              <w:end w:w="110" w:type="dxa"/>
            </w:tcMar>
            <w:vAlign w:val="center"/>
          </w:tcPr>
          <w:p>
            <w:pPr>
              <w:spacing w:after="0" w:line="247" w:lineRule="auto"/>
            </w:pPr>
            <w:r>
              <w:rPr>
                <w:sz w:val="16"/>
              </w:rPr>
              <w:t>2–4 GB</w:t>
            </w:r>
          </w:p>
        </w:tc>
        <w:tc>
          <w:tcPr>
            <w:tcW w:type="dxa" w:w="1440"/>
            <w:tcMar>
              <w:top w:w="90" w:type="dxa"/>
              <w:start w:w="110" w:type="dxa"/>
              <w:bottom w:w="90" w:type="dxa"/>
              <w:end w:w="110" w:type="dxa"/>
            </w:tcMar>
            <w:vAlign w:val="center"/>
          </w:tcPr>
          <w:p>
            <w:pPr>
              <w:spacing w:after="0" w:line="247" w:lineRule="auto"/>
            </w:pPr>
            <w:r>
              <w:rPr>
                <w:sz w:val="16"/>
              </w:rPr>
              <w:t>4–7 GB</w:t>
            </w:r>
          </w:p>
        </w:tc>
        <w:tc>
          <w:tcPr>
            <w:tcW w:type="dxa" w:w="1440"/>
            <w:tcMar>
              <w:top w:w="90" w:type="dxa"/>
              <w:start w:w="110" w:type="dxa"/>
              <w:bottom w:w="90" w:type="dxa"/>
              <w:end w:w="110" w:type="dxa"/>
            </w:tcMar>
            <w:vAlign w:val="center"/>
          </w:tcPr>
          <w:p>
            <w:pPr>
              <w:spacing w:after="0" w:line="247" w:lineRule="auto"/>
            </w:pPr>
            <w:r>
              <w:rPr>
                <w:sz w:val="16"/>
              </w:rPr>
              <w:t>6–10 GB</w:t>
            </w:r>
          </w:p>
        </w:tc>
        <w:tc>
          <w:tcPr>
            <w:tcW w:type="dxa" w:w="3456"/>
            <w:tcMar>
              <w:top w:w="90" w:type="dxa"/>
              <w:start w:w="110" w:type="dxa"/>
              <w:bottom w:w="90" w:type="dxa"/>
              <w:end w:w="110" w:type="dxa"/>
            </w:tcMar>
            <w:vAlign w:val="center"/>
          </w:tcPr>
          <w:p>
            <w:pPr>
              <w:spacing w:after="0" w:line="247" w:lineRule="auto"/>
            </w:pPr>
            <w:r>
              <w:rPr>
                <w:sz w:val="16"/>
              </w:rPr>
              <w:t>Pocos movimientos y auditoría selectiva.</w:t>
            </w:r>
          </w:p>
        </w:tc>
      </w:tr>
      <w:tr>
        <w:tc>
          <w:tcPr>
            <w:tcW w:type="dxa" w:w="1656"/>
            <w:tcMar>
              <w:top w:w="90" w:type="dxa"/>
              <w:start w:w="110" w:type="dxa"/>
              <w:bottom w:w="90" w:type="dxa"/>
              <w:end w:w="110" w:type="dxa"/>
            </w:tcMar>
            <w:vAlign w:val="center"/>
            <w:shd w:fill="F5F8F7"/>
          </w:tcPr>
          <w:p>
            <w:pPr>
              <w:spacing w:after="0" w:line="247" w:lineRule="auto"/>
            </w:pPr>
            <w:r>
              <w:rPr>
                <w:sz w:val="16"/>
              </w:rPr>
              <w:t>Base</w:t>
            </w:r>
          </w:p>
        </w:tc>
        <w:tc>
          <w:tcPr>
            <w:tcW w:type="dxa" w:w="1584"/>
            <w:tcMar>
              <w:top w:w="90" w:type="dxa"/>
              <w:start w:w="110" w:type="dxa"/>
              <w:bottom w:w="90" w:type="dxa"/>
              <w:end w:w="110" w:type="dxa"/>
            </w:tcMar>
            <w:vAlign w:val="center"/>
            <w:shd w:fill="F5F8F7"/>
          </w:tcPr>
          <w:p>
            <w:pPr>
              <w:spacing w:after="0" w:line="247" w:lineRule="auto"/>
            </w:pPr>
            <w:r>
              <w:rPr>
                <w:sz w:val="16"/>
              </w:rPr>
              <w:t>4–8 GB</w:t>
            </w:r>
          </w:p>
        </w:tc>
        <w:tc>
          <w:tcPr>
            <w:tcW w:type="dxa" w:w="1440"/>
            <w:tcMar>
              <w:top w:w="90" w:type="dxa"/>
              <w:start w:w="110" w:type="dxa"/>
              <w:bottom w:w="90" w:type="dxa"/>
              <w:end w:w="110" w:type="dxa"/>
            </w:tcMar>
            <w:vAlign w:val="center"/>
            <w:shd w:fill="F5F8F7"/>
          </w:tcPr>
          <w:p>
            <w:pPr>
              <w:spacing w:after="0" w:line="247" w:lineRule="auto"/>
            </w:pPr>
            <w:r>
              <w:rPr>
                <w:sz w:val="16"/>
              </w:rPr>
              <w:t>8–15 GB</w:t>
            </w:r>
          </w:p>
        </w:tc>
        <w:tc>
          <w:tcPr>
            <w:tcW w:type="dxa" w:w="1440"/>
            <w:tcMar>
              <w:top w:w="90" w:type="dxa"/>
              <w:start w:w="110" w:type="dxa"/>
              <w:bottom w:w="90" w:type="dxa"/>
              <w:end w:w="110" w:type="dxa"/>
            </w:tcMar>
            <w:vAlign w:val="center"/>
            <w:shd w:fill="F5F8F7"/>
          </w:tcPr>
          <w:p>
            <w:pPr>
              <w:spacing w:after="0" w:line="247" w:lineRule="auto"/>
            </w:pPr>
            <w:r>
              <w:rPr>
                <w:sz w:val="16"/>
              </w:rPr>
              <w:t>12–25 GB</w:t>
            </w:r>
          </w:p>
        </w:tc>
        <w:tc>
          <w:tcPr>
            <w:tcW w:type="dxa" w:w="3456"/>
            <w:tcMar>
              <w:top w:w="90" w:type="dxa"/>
              <w:start w:w="110" w:type="dxa"/>
              <w:bottom w:w="90" w:type="dxa"/>
              <w:end w:w="110" w:type="dxa"/>
            </w:tcMar>
            <w:vAlign w:val="center"/>
            <w:shd w:fill="F5F8F7"/>
          </w:tcPr>
          <w:p>
            <w:pPr>
              <w:spacing w:after="0" w:line="247" w:lineRule="auto"/>
            </w:pPr>
            <w:r>
              <w:rPr>
                <w:sz w:val="16"/>
              </w:rPr>
              <w:t>Inventario, terceros, historia y procesos activos.</w:t>
            </w:r>
          </w:p>
        </w:tc>
      </w:tr>
      <w:tr>
        <w:tc>
          <w:tcPr>
            <w:tcW w:type="dxa" w:w="1656"/>
            <w:tcMar>
              <w:top w:w="90" w:type="dxa"/>
              <w:start w:w="110" w:type="dxa"/>
              <w:bottom w:w="90" w:type="dxa"/>
              <w:end w:w="110" w:type="dxa"/>
            </w:tcMar>
            <w:vAlign w:val="center"/>
          </w:tcPr>
          <w:p>
            <w:pPr>
              <w:spacing w:after="0" w:line="247" w:lineRule="auto"/>
            </w:pPr>
            <w:r>
              <w:rPr>
                <w:sz w:val="16"/>
              </w:rPr>
              <w:t>Alto</w:t>
            </w:r>
          </w:p>
        </w:tc>
        <w:tc>
          <w:tcPr>
            <w:tcW w:type="dxa" w:w="1584"/>
            <w:tcMar>
              <w:top w:w="90" w:type="dxa"/>
              <w:start w:w="110" w:type="dxa"/>
              <w:bottom w:w="90" w:type="dxa"/>
              <w:end w:w="110" w:type="dxa"/>
            </w:tcMar>
            <w:vAlign w:val="center"/>
          </w:tcPr>
          <w:p>
            <w:pPr>
              <w:spacing w:after="0" w:line="247" w:lineRule="auto"/>
            </w:pPr>
            <w:r>
              <w:rPr>
                <w:sz w:val="16"/>
              </w:rPr>
              <w:t>8–15 GB</w:t>
            </w:r>
          </w:p>
        </w:tc>
        <w:tc>
          <w:tcPr>
            <w:tcW w:type="dxa" w:w="1440"/>
            <w:tcMar>
              <w:top w:w="90" w:type="dxa"/>
              <w:start w:w="110" w:type="dxa"/>
              <w:bottom w:w="90" w:type="dxa"/>
              <w:end w:w="110" w:type="dxa"/>
            </w:tcMar>
            <w:vAlign w:val="center"/>
          </w:tcPr>
          <w:p>
            <w:pPr>
              <w:spacing w:after="0" w:line="247" w:lineRule="auto"/>
            </w:pPr>
            <w:r>
              <w:rPr>
                <w:sz w:val="16"/>
              </w:rPr>
              <w:t>20–40 GB</w:t>
            </w:r>
          </w:p>
        </w:tc>
        <w:tc>
          <w:tcPr>
            <w:tcW w:type="dxa" w:w="1440"/>
            <w:tcMar>
              <w:top w:w="90" w:type="dxa"/>
              <w:start w:w="110" w:type="dxa"/>
              <w:bottom w:w="90" w:type="dxa"/>
              <w:end w:w="110" w:type="dxa"/>
            </w:tcMar>
            <w:vAlign w:val="center"/>
          </w:tcPr>
          <w:p>
            <w:pPr>
              <w:spacing w:after="0" w:line="247" w:lineRule="auto"/>
            </w:pPr>
            <w:r>
              <w:rPr>
                <w:sz w:val="16"/>
              </w:rPr>
              <w:t>40–80 GB</w:t>
            </w:r>
          </w:p>
        </w:tc>
        <w:tc>
          <w:tcPr>
            <w:tcW w:type="dxa" w:w="3456"/>
            <w:tcMar>
              <w:top w:w="90" w:type="dxa"/>
              <w:start w:w="110" w:type="dxa"/>
              <w:bottom w:w="90" w:type="dxa"/>
              <w:end w:w="110" w:type="dxa"/>
            </w:tcMar>
            <w:vAlign w:val="center"/>
          </w:tcPr>
          <w:p>
            <w:pPr>
              <w:spacing w:after="0" w:line="247" w:lineRule="auto"/>
            </w:pPr>
            <w:r>
              <w:rPr>
                <w:sz w:val="16"/>
              </w:rPr>
              <w:t>Gran trazabilidad, integraciones y auditoría extensa.</w:t>
            </w:r>
          </w:p>
        </w:tc>
      </w:tr>
    </w:tbl>
    <w:p>
      <w:pPr>
        <w:spacing w:after="20"/>
      </w:pPr>
    </w:p>
    <w:p>
      <w:pPr>
        <w:pStyle w:val="Fuente"/>
      </w:pPr>
      <w:r>
        <w:t>Estimaciones de arquitectura, no cuotas de Microsoft. Deben recalibrarse con una carga piloto y el reporte real de Capacity del tenant.</w:t>
      </w:r>
    </w:p>
    <w:p>
      <w:pPr>
        <w:pStyle w:val="Heading2"/>
        <w:keepNext/>
      </w:pPr>
      <w:r>
        <w:t>7.2 Documentos, PDF e imágenes</w:t>
      </w:r>
    </w:p>
    <w:p>
      <w:pPr>
        <w:spacing w:after="100"/>
      </w:pPr>
      <w:r>
        <w:rPr>
          <w:i w:val="0"/>
        </w:rPr>
        <w:t>Guardar archivos directamente en Dataverse es técnicamente posible: las columnas de imagen admiten hasta 30 MB y las columnas de archivo pueden admitir tamaños mayores, aunque los controles cliente de Power Apps tienen límites prácticos inferiores. La capacidad y experiencia de descarga siguen siendo factores críticos. [S14]</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3456"/>
            <w:shd w:fill="173F3D"/>
            <w:tcMar>
              <w:top w:w="100" w:type="dxa"/>
              <w:start w:w="110" w:type="dxa"/>
              <w:bottom w:w="100" w:type="dxa"/>
              <w:end w:w="110" w:type="dxa"/>
            </w:tcMar>
            <w:vAlign w:val="center"/>
          </w:tcPr>
          <w:p>
            <w:pPr>
              <w:spacing w:after="0"/>
              <w:jc w:val="center"/>
            </w:pPr>
            <w:r>
              <w:rPr>
                <w:b/>
                <w:color w:val="FFFFFF"/>
                <w:sz w:val="17"/>
              </w:rPr>
              <w:t>Escenario documental</w:t>
            </w:r>
          </w:p>
        </w:tc>
        <w:tc>
          <w:tcPr>
            <w:tcW w:type="dxa" w:w="1944"/>
            <w:shd w:fill="173F3D"/>
            <w:tcMar>
              <w:top w:w="100" w:type="dxa"/>
              <w:start w:w="110" w:type="dxa"/>
              <w:bottom w:w="100" w:type="dxa"/>
              <w:end w:w="110" w:type="dxa"/>
            </w:tcMar>
            <w:vAlign w:val="center"/>
          </w:tcPr>
          <w:p>
            <w:pPr>
              <w:spacing w:after="0"/>
              <w:jc w:val="center"/>
            </w:pPr>
            <w:r>
              <w:rPr>
                <w:b/>
                <w:color w:val="FFFFFF"/>
                <w:sz w:val="17"/>
              </w:rPr>
              <w:t>Nuevo por año</w:t>
            </w:r>
          </w:p>
        </w:tc>
        <w:tc>
          <w:tcPr>
            <w:tcW w:type="dxa" w:w="2088"/>
            <w:shd w:fill="173F3D"/>
            <w:tcMar>
              <w:top w:w="100" w:type="dxa"/>
              <w:start w:w="110" w:type="dxa"/>
              <w:bottom w:w="100" w:type="dxa"/>
              <w:end w:w="110" w:type="dxa"/>
            </w:tcMar>
            <w:vAlign w:val="center"/>
          </w:tcPr>
          <w:p>
            <w:pPr>
              <w:spacing w:after="0"/>
              <w:jc w:val="center"/>
            </w:pPr>
            <w:r>
              <w:rPr>
                <w:b/>
                <w:color w:val="FFFFFF"/>
                <w:sz w:val="17"/>
              </w:rPr>
              <w:t>Año 3 acumulado</w:t>
            </w:r>
          </w:p>
        </w:tc>
        <w:tc>
          <w:tcPr>
            <w:tcW w:type="dxa" w:w="2088"/>
            <w:shd w:fill="173F3D"/>
            <w:tcMar>
              <w:top w:w="100" w:type="dxa"/>
              <w:start w:w="110" w:type="dxa"/>
              <w:bottom w:w="100" w:type="dxa"/>
              <w:end w:w="110" w:type="dxa"/>
            </w:tcMar>
            <w:vAlign w:val="center"/>
          </w:tcPr>
          <w:p>
            <w:pPr>
              <w:spacing w:after="0"/>
              <w:jc w:val="center"/>
            </w:pPr>
            <w:r>
              <w:rPr>
                <w:b/>
                <w:color w:val="FFFFFF"/>
                <w:sz w:val="17"/>
              </w:rPr>
              <w:t>Año 5 acumulado</w:t>
            </w:r>
          </w:p>
        </w:tc>
      </w:tr>
      <w:tr>
        <w:tc>
          <w:tcPr>
            <w:tcW w:type="dxa" w:w="3456"/>
            <w:tcMar>
              <w:top w:w="90" w:type="dxa"/>
              <w:start w:w="110" w:type="dxa"/>
              <w:bottom w:w="90" w:type="dxa"/>
              <w:end w:w="110" w:type="dxa"/>
            </w:tcMar>
            <w:vAlign w:val="center"/>
          </w:tcPr>
          <w:p>
            <w:pPr>
              <w:spacing w:after="0" w:line="247" w:lineRule="auto"/>
            </w:pPr>
            <w:r>
              <w:rPr>
                <w:sz w:val="17"/>
              </w:rPr>
              <w:t>Conservador</w:t>
            </w:r>
          </w:p>
        </w:tc>
        <w:tc>
          <w:tcPr>
            <w:tcW w:type="dxa" w:w="1944"/>
            <w:tcMar>
              <w:top w:w="90" w:type="dxa"/>
              <w:start w:w="110" w:type="dxa"/>
              <w:bottom w:w="90" w:type="dxa"/>
              <w:end w:w="110" w:type="dxa"/>
            </w:tcMar>
            <w:vAlign w:val="center"/>
          </w:tcPr>
          <w:p>
            <w:pPr>
              <w:spacing w:after="0" w:line="247" w:lineRule="auto"/>
            </w:pPr>
            <w:r>
              <w:rPr>
                <w:sz w:val="17"/>
              </w:rPr>
              <w:t>5 GB</w:t>
            </w:r>
          </w:p>
        </w:tc>
        <w:tc>
          <w:tcPr>
            <w:tcW w:type="dxa" w:w="2088"/>
            <w:tcMar>
              <w:top w:w="90" w:type="dxa"/>
              <w:start w:w="110" w:type="dxa"/>
              <w:bottom w:w="90" w:type="dxa"/>
              <w:end w:w="110" w:type="dxa"/>
            </w:tcMar>
            <w:vAlign w:val="center"/>
          </w:tcPr>
          <w:p>
            <w:pPr>
              <w:spacing w:after="0" w:line="247" w:lineRule="auto"/>
            </w:pPr>
            <w:r>
              <w:rPr>
                <w:sz w:val="17"/>
              </w:rPr>
              <w:t>15 GB</w:t>
            </w:r>
          </w:p>
        </w:tc>
        <w:tc>
          <w:tcPr>
            <w:tcW w:type="dxa" w:w="2088"/>
            <w:tcMar>
              <w:top w:w="90" w:type="dxa"/>
              <w:start w:w="110" w:type="dxa"/>
              <w:bottom w:w="90" w:type="dxa"/>
              <w:end w:w="110" w:type="dxa"/>
            </w:tcMar>
            <w:vAlign w:val="center"/>
          </w:tcPr>
          <w:p>
            <w:pPr>
              <w:spacing w:after="0" w:line="247" w:lineRule="auto"/>
            </w:pPr>
            <w:r>
              <w:rPr>
                <w:sz w:val="17"/>
              </w:rPr>
              <w:t>25 GB</w:t>
            </w:r>
          </w:p>
        </w:tc>
      </w:tr>
      <w:tr>
        <w:tc>
          <w:tcPr>
            <w:tcW w:type="dxa" w:w="3456"/>
            <w:tcMar>
              <w:top w:w="90" w:type="dxa"/>
              <w:start w:w="110" w:type="dxa"/>
              <w:bottom w:w="90" w:type="dxa"/>
              <w:end w:w="110" w:type="dxa"/>
            </w:tcMar>
            <w:vAlign w:val="center"/>
            <w:shd w:fill="F5F8F7"/>
          </w:tcPr>
          <w:p>
            <w:pPr>
              <w:spacing w:after="0" w:line="247" w:lineRule="auto"/>
            </w:pPr>
            <w:r>
              <w:rPr>
                <w:sz w:val="17"/>
              </w:rPr>
              <w:t>Base</w:t>
            </w:r>
          </w:p>
        </w:tc>
        <w:tc>
          <w:tcPr>
            <w:tcW w:type="dxa" w:w="1944"/>
            <w:tcMar>
              <w:top w:w="90" w:type="dxa"/>
              <w:start w:w="110" w:type="dxa"/>
              <w:bottom w:w="90" w:type="dxa"/>
              <w:end w:w="110" w:type="dxa"/>
            </w:tcMar>
            <w:vAlign w:val="center"/>
            <w:shd w:fill="F5F8F7"/>
          </w:tcPr>
          <w:p>
            <w:pPr>
              <w:spacing w:after="0" w:line="247" w:lineRule="auto"/>
            </w:pPr>
            <w:r>
              <w:rPr>
                <w:sz w:val="17"/>
              </w:rPr>
              <w:t>20 GB</w:t>
            </w:r>
          </w:p>
        </w:tc>
        <w:tc>
          <w:tcPr>
            <w:tcW w:type="dxa" w:w="2088"/>
            <w:tcMar>
              <w:top w:w="90" w:type="dxa"/>
              <w:start w:w="110" w:type="dxa"/>
              <w:bottom w:w="90" w:type="dxa"/>
              <w:end w:w="110" w:type="dxa"/>
            </w:tcMar>
            <w:vAlign w:val="center"/>
            <w:shd w:fill="F5F8F7"/>
          </w:tcPr>
          <w:p>
            <w:pPr>
              <w:spacing w:after="0" w:line="247" w:lineRule="auto"/>
            </w:pPr>
            <w:r>
              <w:rPr>
                <w:sz w:val="17"/>
              </w:rPr>
              <w:t>60 GB</w:t>
            </w:r>
          </w:p>
        </w:tc>
        <w:tc>
          <w:tcPr>
            <w:tcW w:type="dxa" w:w="2088"/>
            <w:tcMar>
              <w:top w:w="90" w:type="dxa"/>
              <w:start w:w="110" w:type="dxa"/>
              <w:bottom w:w="90" w:type="dxa"/>
              <w:end w:w="110" w:type="dxa"/>
            </w:tcMar>
            <w:vAlign w:val="center"/>
            <w:shd w:fill="F5F8F7"/>
          </w:tcPr>
          <w:p>
            <w:pPr>
              <w:spacing w:after="0" w:line="247" w:lineRule="auto"/>
            </w:pPr>
            <w:r>
              <w:rPr>
                <w:sz w:val="17"/>
              </w:rPr>
              <w:t>100 GB</w:t>
            </w:r>
          </w:p>
        </w:tc>
      </w:tr>
      <w:tr>
        <w:tc>
          <w:tcPr>
            <w:tcW w:type="dxa" w:w="3456"/>
            <w:tcMar>
              <w:top w:w="90" w:type="dxa"/>
              <w:start w:w="110" w:type="dxa"/>
              <w:bottom w:w="90" w:type="dxa"/>
              <w:end w:w="110" w:type="dxa"/>
            </w:tcMar>
            <w:vAlign w:val="center"/>
          </w:tcPr>
          <w:p>
            <w:pPr>
              <w:spacing w:after="0" w:line="247" w:lineRule="auto"/>
            </w:pPr>
            <w:r>
              <w:rPr>
                <w:sz w:val="17"/>
              </w:rPr>
              <w:t>Alto</w:t>
            </w:r>
          </w:p>
        </w:tc>
        <w:tc>
          <w:tcPr>
            <w:tcW w:type="dxa" w:w="1944"/>
            <w:tcMar>
              <w:top w:w="90" w:type="dxa"/>
              <w:start w:w="110" w:type="dxa"/>
              <w:bottom w:w="90" w:type="dxa"/>
              <w:end w:w="110" w:type="dxa"/>
            </w:tcMar>
            <w:vAlign w:val="center"/>
          </w:tcPr>
          <w:p>
            <w:pPr>
              <w:spacing w:after="0" w:line="247" w:lineRule="auto"/>
            </w:pPr>
            <w:r>
              <w:rPr>
                <w:sz w:val="17"/>
              </w:rPr>
              <w:t>60 GB</w:t>
            </w:r>
          </w:p>
        </w:tc>
        <w:tc>
          <w:tcPr>
            <w:tcW w:type="dxa" w:w="2088"/>
            <w:tcMar>
              <w:top w:w="90" w:type="dxa"/>
              <w:start w:w="110" w:type="dxa"/>
              <w:bottom w:w="90" w:type="dxa"/>
              <w:end w:w="110" w:type="dxa"/>
            </w:tcMar>
            <w:vAlign w:val="center"/>
          </w:tcPr>
          <w:p>
            <w:pPr>
              <w:spacing w:after="0" w:line="247" w:lineRule="auto"/>
            </w:pPr>
            <w:r>
              <w:rPr>
                <w:sz w:val="17"/>
              </w:rPr>
              <w:t>180 GB</w:t>
            </w:r>
          </w:p>
        </w:tc>
        <w:tc>
          <w:tcPr>
            <w:tcW w:type="dxa" w:w="2088"/>
            <w:tcMar>
              <w:top w:w="90" w:type="dxa"/>
              <w:start w:w="110" w:type="dxa"/>
              <w:bottom w:w="90" w:type="dxa"/>
              <w:end w:w="110" w:type="dxa"/>
            </w:tcMar>
            <w:vAlign w:val="center"/>
          </w:tcPr>
          <w:p>
            <w:pPr>
              <w:spacing w:after="0" w:line="247" w:lineRule="auto"/>
            </w:pPr>
            <w:r>
              <w:rPr>
                <w:sz w:val="17"/>
              </w:rPr>
              <w:t>300 GB</w:t>
            </w:r>
          </w:p>
        </w:tc>
      </w:tr>
    </w:tbl>
    <w:p>
      <w:pPr>
        <w:spacing w:after="20"/>
      </w:pPr>
    </w:p>
    <w:p>
      <w:pPr>
        <w:spacing w:after="100"/>
      </w:pPr>
      <w:r>
        <w:rPr>
          <w:i w:val="0"/>
        </w:rPr>
        <w:t>El escenario base es plausible si se almacenan hojas de vida, contratos, soportes de inventario, fotografías, actas, facturas y documentos generados. Por esa razón, el diseño recomendado es:</w:t>
      </w:r>
    </w:p>
    <w:p>
      <w:pPr>
        <w:pStyle w:val="ListBullet"/>
        <w:spacing w:after="60"/>
      </w:pPr>
      <w:r>
        <w:t>Dataverse: identificador, tipo documental, estado, propietario, vigencia, clasificación, relación con tercero/activo y URL lógica.</w:t>
      </w:r>
    </w:p>
    <w:p>
      <w:pPr>
        <w:pStyle w:val="ListBullet"/>
        <w:spacing w:after="60"/>
      </w:pPr>
      <w:r>
        <w:t>SharePoint: archivo físico, versionado, biblioteca, retención, permisos documentales y búsqueda.</w:t>
      </w:r>
    </w:p>
    <w:p>
      <w:pPr>
        <w:pStyle w:val="ListBullet"/>
        <w:spacing w:after="60"/>
      </w:pPr>
      <w:r>
        <w:t>Power Apps: experiencia integrada para cargar, consultar y relacionar documentos.</w:t>
      </w:r>
    </w:p>
    <w:p>
      <w:pPr>
        <w:pStyle w:val="ListBullet"/>
        <w:spacing w:after="60"/>
      </w:pPr>
      <w:r>
        <w:t>Política de tamaño: comprimir imágenes, limitar resolución, evitar duplicados y definir formatos permitidos.</w:t>
      </w:r>
    </w:p>
    <w:p>
      <w:pPr>
        <w:spacing w:after="100"/>
      </w:pPr>
      <w:r>
        <w:rPr>
          <w:i w:val="0"/>
        </w:rPr>
        <w:t>Microsoft soporta almacenar documentos en SharePoint y administrarlos desde la aplicación. En la experiencia documentada, determinadas cargas desde la app se limitan a 50 MB; los requisitos concretos deben probarse con el control elegido. [S6]</w:t>
      </w:r>
    </w:p>
    <w:p>
      <w:pPr>
        <w:pStyle w:val="Heading2"/>
        <w:keepNext/>
      </w:pPr>
      <w:r>
        <w:t>7.3 Capacidad incluida y posible costo</w:t>
      </w:r>
    </w:p>
    <w:p>
      <w:pPr>
        <w:spacing w:after="100"/>
      </w:pPr>
      <w:r>
        <w:rPr>
          <w:i w:val="0"/>
        </w:rPr>
        <w:t>El precio público consultado para Power Apps Premium es USD 20 por usuario/mes con pago anual; incluye actualmente 250 MB de Database y 2 GB de File por usuario. Microsoft publica el complemento Database a USD 40 por GB/mes. Los valores son de lista, pueden cambiar por región, impuestos, contrato y beneficios para organizaciones sin ánimo de lucro. [S15]</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152"/>
            <w:shd w:fill="173F3D"/>
            <w:tcMar>
              <w:top w:w="100" w:type="dxa"/>
              <w:start w:w="110" w:type="dxa"/>
              <w:bottom w:w="100" w:type="dxa"/>
              <w:end w:w="110" w:type="dxa"/>
            </w:tcMar>
            <w:vAlign w:val="center"/>
          </w:tcPr>
          <w:p>
            <w:pPr>
              <w:spacing w:after="0"/>
              <w:jc w:val="center"/>
            </w:pPr>
            <w:r>
              <w:rPr>
                <w:b/>
                <w:color w:val="FFFFFF"/>
                <w:sz w:val="16"/>
              </w:rPr>
              <w:t>Usuarios</w:t>
            </w:r>
          </w:p>
        </w:tc>
        <w:tc>
          <w:tcPr>
            <w:tcW w:type="dxa" w:w="2376"/>
            <w:shd w:fill="173F3D"/>
            <w:tcMar>
              <w:top w:w="100" w:type="dxa"/>
              <w:start w:w="110" w:type="dxa"/>
              <w:bottom w:w="100" w:type="dxa"/>
              <w:end w:w="110" w:type="dxa"/>
            </w:tcMar>
            <w:vAlign w:val="center"/>
          </w:tcPr>
          <w:p>
            <w:pPr>
              <w:spacing w:after="0"/>
              <w:jc w:val="center"/>
            </w:pPr>
            <w:r>
              <w:rPr>
                <w:b/>
                <w:color w:val="FFFFFF"/>
                <w:sz w:val="16"/>
              </w:rPr>
              <w:t>Licencia mensual de lista</w:t>
            </w:r>
          </w:p>
        </w:tc>
        <w:tc>
          <w:tcPr>
            <w:tcW w:type="dxa" w:w="1728"/>
            <w:shd w:fill="173F3D"/>
            <w:tcMar>
              <w:top w:w="100" w:type="dxa"/>
              <w:start w:w="110" w:type="dxa"/>
              <w:bottom w:w="100" w:type="dxa"/>
              <w:end w:w="110" w:type="dxa"/>
            </w:tcMar>
            <w:vAlign w:val="center"/>
          </w:tcPr>
          <w:p>
            <w:pPr>
              <w:spacing w:after="0"/>
              <w:jc w:val="center"/>
            </w:pPr>
            <w:r>
              <w:rPr>
                <w:b/>
                <w:color w:val="FFFFFF"/>
                <w:sz w:val="16"/>
              </w:rPr>
              <w:t>Anual</w:t>
            </w:r>
          </w:p>
        </w:tc>
        <w:tc>
          <w:tcPr>
            <w:tcW w:type="dxa" w:w="2016"/>
            <w:shd w:fill="173F3D"/>
            <w:tcMar>
              <w:top w:w="100" w:type="dxa"/>
              <w:start w:w="110" w:type="dxa"/>
              <w:bottom w:w="100" w:type="dxa"/>
              <w:end w:w="110" w:type="dxa"/>
            </w:tcMar>
            <w:vAlign w:val="center"/>
          </w:tcPr>
          <w:p>
            <w:pPr>
              <w:spacing w:after="0"/>
              <w:jc w:val="center"/>
            </w:pPr>
            <w:r>
              <w:rPr>
                <w:b/>
                <w:color w:val="FFFFFF"/>
                <w:sz w:val="16"/>
              </w:rPr>
              <w:t>Database incluida*</w:t>
            </w:r>
          </w:p>
        </w:tc>
        <w:tc>
          <w:tcPr>
            <w:tcW w:type="dxa" w:w="2016"/>
            <w:shd w:fill="173F3D"/>
            <w:tcMar>
              <w:top w:w="100" w:type="dxa"/>
              <w:start w:w="110" w:type="dxa"/>
              <w:bottom w:w="100" w:type="dxa"/>
              <w:end w:w="110" w:type="dxa"/>
            </w:tcMar>
            <w:vAlign w:val="center"/>
          </w:tcPr>
          <w:p>
            <w:pPr>
              <w:spacing w:after="0"/>
              <w:jc w:val="center"/>
            </w:pPr>
            <w:r>
              <w:rPr>
                <w:b/>
                <w:color w:val="FFFFFF"/>
                <w:sz w:val="16"/>
              </w:rPr>
              <w:t>File incluida*</w:t>
            </w:r>
          </w:p>
        </w:tc>
      </w:tr>
      <w:tr>
        <w:tc>
          <w:tcPr>
            <w:tcW w:type="dxa" w:w="1152"/>
            <w:tcMar>
              <w:top w:w="90" w:type="dxa"/>
              <w:start w:w="110" w:type="dxa"/>
              <w:bottom w:w="90" w:type="dxa"/>
              <w:end w:w="110" w:type="dxa"/>
            </w:tcMar>
            <w:vAlign w:val="center"/>
          </w:tcPr>
          <w:p>
            <w:pPr>
              <w:spacing w:after="0" w:line="247" w:lineRule="auto"/>
            </w:pPr>
            <w:r>
              <w:rPr>
                <w:sz w:val="16"/>
              </w:rPr>
              <w:t>30</w:t>
            </w:r>
          </w:p>
        </w:tc>
        <w:tc>
          <w:tcPr>
            <w:tcW w:type="dxa" w:w="2376"/>
            <w:tcMar>
              <w:top w:w="90" w:type="dxa"/>
              <w:start w:w="110" w:type="dxa"/>
              <w:bottom w:w="90" w:type="dxa"/>
              <w:end w:w="110" w:type="dxa"/>
            </w:tcMar>
            <w:vAlign w:val="center"/>
          </w:tcPr>
          <w:p>
            <w:pPr>
              <w:spacing w:after="0" w:line="247" w:lineRule="auto"/>
            </w:pPr>
            <w:r>
              <w:rPr>
                <w:sz w:val="16"/>
              </w:rPr>
              <w:t>USD 600</w:t>
            </w:r>
          </w:p>
        </w:tc>
        <w:tc>
          <w:tcPr>
            <w:tcW w:type="dxa" w:w="1728"/>
            <w:tcMar>
              <w:top w:w="90" w:type="dxa"/>
              <w:start w:w="110" w:type="dxa"/>
              <w:bottom w:w="90" w:type="dxa"/>
              <w:end w:w="110" w:type="dxa"/>
            </w:tcMar>
            <w:vAlign w:val="center"/>
          </w:tcPr>
          <w:p>
            <w:pPr>
              <w:spacing w:after="0" w:line="247" w:lineRule="auto"/>
            </w:pPr>
            <w:r>
              <w:rPr>
                <w:sz w:val="16"/>
              </w:rPr>
              <w:t>USD 7.200</w:t>
            </w:r>
          </w:p>
        </w:tc>
        <w:tc>
          <w:tcPr>
            <w:tcW w:type="dxa" w:w="2016"/>
            <w:tcMar>
              <w:top w:w="90" w:type="dxa"/>
              <w:start w:w="110" w:type="dxa"/>
              <w:bottom w:w="90" w:type="dxa"/>
              <w:end w:w="110" w:type="dxa"/>
            </w:tcMar>
            <w:vAlign w:val="center"/>
          </w:tcPr>
          <w:p>
            <w:pPr>
              <w:spacing w:after="0" w:line="247" w:lineRule="auto"/>
            </w:pPr>
            <w:r>
              <w:rPr>
                <w:sz w:val="16"/>
              </w:rPr>
              <w:t>7,5 GB</w:t>
            </w:r>
          </w:p>
        </w:tc>
        <w:tc>
          <w:tcPr>
            <w:tcW w:type="dxa" w:w="2016"/>
            <w:tcMar>
              <w:top w:w="90" w:type="dxa"/>
              <w:start w:w="110" w:type="dxa"/>
              <w:bottom w:w="90" w:type="dxa"/>
              <w:end w:w="110" w:type="dxa"/>
            </w:tcMar>
            <w:vAlign w:val="center"/>
          </w:tcPr>
          <w:p>
            <w:pPr>
              <w:spacing w:after="0" w:line="247" w:lineRule="auto"/>
            </w:pPr>
            <w:r>
              <w:rPr>
                <w:sz w:val="16"/>
              </w:rPr>
              <w:t>60 GB</w:t>
            </w:r>
          </w:p>
        </w:tc>
      </w:tr>
      <w:tr>
        <w:tc>
          <w:tcPr>
            <w:tcW w:type="dxa" w:w="1152"/>
            <w:tcMar>
              <w:top w:w="90" w:type="dxa"/>
              <w:start w:w="110" w:type="dxa"/>
              <w:bottom w:w="90" w:type="dxa"/>
              <w:end w:w="110" w:type="dxa"/>
            </w:tcMar>
            <w:vAlign w:val="center"/>
            <w:shd w:fill="F5F8F7"/>
          </w:tcPr>
          <w:p>
            <w:pPr>
              <w:spacing w:after="0" w:line="247" w:lineRule="auto"/>
            </w:pPr>
            <w:r>
              <w:rPr>
                <w:sz w:val="16"/>
              </w:rPr>
              <w:t>40</w:t>
            </w:r>
          </w:p>
        </w:tc>
        <w:tc>
          <w:tcPr>
            <w:tcW w:type="dxa" w:w="2376"/>
            <w:tcMar>
              <w:top w:w="90" w:type="dxa"/>
              <w:start w:w="110" w:type="dxa"/>
              <w:bottom w:w="90" w:type="dxa"/>
              <w:end w:w="110" w:type="dxa"/>
            </w:tcMar>
            <w:vAlign w:val="center"/>
            <w:shd w:fill="F5F8F7"/>
          </w:tcPr>
          <w:p>
            <w:pPr>
              <w:spacing w:after="0" w:line="247" w:lineRule="auto"/>
            </w:pPr>
            <w:r>
              <w:rPr>
                <w:sz w:val="16"/>
              </w:rPr>
              <w:t>USD 800</w:t>
            </w:r>
          </w:p>
        </w:tc>
        <w:tc>
          <w:tcPr>
            <w:tcW w:type="dxa" w:w="1728"/>
            <w:tcMar>
              <w:top w:w="90" w:type="dxa"/>
              <w:start w:w="110" w:type="dxa"/>
              <w:bottom w:w="90" w:type="dxa"/>
              <w:end w:w="110" w:type="dxa"/>
            </w:tcMar>
            <w:vAlign w:val="center"/>
            <w:shd w:fill="F5F8F7"/>
          </w:tcPr>
          <w:p>
            <w:pPr>
              <w:spacing w:after="0" w:line="247" w:lineRule="auto"/>
            </w:pPr>
            <w:r>
              <w:rPr>
                <w:sz w:val="16"/>
              </w:rPr>
              <w:t>USD 9.600</w:t>
            </w:r>
          </w:p>
        </w:tc>
        <w:tc>
          <w:tcPr>
            <w:tcW w:type="dxa" w:w="2016"/>
            <w:tcMar>
              <w:top w:w="90" w:type="dxa"/>
              <w:start w:w="110" w:type="dxa"/>
              <w:bottom w:w="90" w:type="dxa"/>
              <w:end w:w="110" w:type="dxa"/>
            </w:tcMar>
            <w:vAlign w:val="center"/>
            <w:shd w:fill="F5F8F7"/>
          </w:tcPr>
          <w:p>
            <w:pPr>
              <w:spacing w:after="0" w:line="247" w:lineRule="auto"/>
            </w:pPr>
            <w:r>
              <w:rPr>
                <w:sz w:val="16"/>
              </w:rPr>
              <w:t>10 GB</w:t>
            </w:r>
          </w:p>
        </w:tc>
        <w:tc>
          <w:tcPr>
            <w:tcW w:type="dxa" w:w="2016"/>
            <w:tcMar>
              <w:top w:w="90" w:type="dxa"/>
              <w:start w:w="110" w:type="dxa"/>
              <w:bottom w:w="90" w:type="dxa"/>
              <w:end w:w="110" w:type="dxa"/>
            </w:tcMar>
            <w:vAlign w:val="center"/>
            <w:shd w:fill="F5F8F7"/>
          </w:tcPr>
          <w:p>
            <w:pPr>
              <w:spacing w:after="0" w:line="247" w:lineRule="auto"/>
            </w:pPr>
            <w:r>
              <w:rPr>
                <w:sz w:val="16"/>
              </w:rPr>
              <w:t>80 GB</w:t>
            </w:r>
          </w:p>
        </w:tc>
      </w:tr>
      <w:tr>
        <w:tc>
          <w:tcPr>
            <w:tcW w:type="dxa" w:w="1152"/>
            <w:tcMar>
              <w:top w:w="90" w:type="dxa"/>
              <w:start w:w="110" w:type="dxa"/>
              <w:bottom w:w="90" w:type="dxa"/>
              <w:end w:w="110" w:type="dxa"/>
            </w:tcMar>
            <w:vAlign w:val="center"/>
          </w:tcPr>
          <w:p>
            <w:pPr>
              <w:spacing w:after="0" w:line="247" w:lineRule="auto"/>
            </w:pPr>
            <w:r>
              <w:rPr>
                <w:sz w:val="16"/>
              </w:rPr>
              <w:t>50</w:t>
            </w:r>
          </w:p>
        </w:tc>
        <w:tc>
          <w:tcPr>
            <w:tcW w:type="dxa" w:w="2376"/>
            <w:tcMar>
              <w:top w:w="90" w:type="dxa"/>
              <w:start w:w="110" w:type="dxa"/>
              <w:bottom w:w="90" w:type="dxa"/>
              <w:end w:w="110" w:type="dxa"/>
            </w:tcMar>
            <w:vAlign w:val="center"/>
          </w:tcPr>
          <w:p>
            <w:pPr>
              <w:spacing w:after="0" w:line="247" w:lineRule="auto"/>
            </w:pPr>
            <w:r>
              <w:rPr>
                <w:sz w:val="16"/>
              </w:rPr>
              <w:t>USD 1.000</w:t>
            </w:r>
          </w:p>
        </w:tc>
        <w:tc>
          <w:tcPr>
            <w:tcW w:type="dxa" w:w="1728"/>
            <w:tcMar>
              <w:top w:w="90" w:type="dxa"/>
              <w:start w:w="110" w:type="dxa"/>
              <w:bottom w:w="90" w:type="dxa"/>
              <w:end w:w="110" w:type="dxa"/>
            </w:tcMar>
            <w:vAlign w:val="center"/>
          </w:tcPr>
          <w:p>
            <w:pPr>
              <w:spacing w:after="0" w:line="247" w:lineRule="auto"/>
            </w:pPr>
            <w:r>
              <w:rPr>
                <w:sz w:val="16"/>
              </w:rPr>
              <w:t>USD 12.000</w:t>
            </w:r>
          </w:p>
        </w:tc>
        <w:tc>
          <w:tcPr>
            <w:tcW w:type="dxa" w:w="2016"/>
            <w:tcMar>
              <w:top w:w="90" w:type="dxa"/>
              <w:start w:w="110" w:type="dxa"/>
              <w:bottom w:w="90" w:type="dxa"/>
              <w:end w:w="110" w:type="dxa"/>
            </w:tcMar>
            <w:vAlign w:val="center"/>
          </w:tcPr>
          <w:p>
            <w:pPr>
              <w:spacing w:after="0" w:line="247" w:lineRule="auto"/>
            </w:pPr>
            <w:r>
              <w:rPr>
                <w:sz w:val="16"/>
              </w:rPr>
              <w:t>12,5 GB</w:t>
            </w:r>
          </w:p>
        </w:tc>
        <w:tc>
          <w:tcPr>
            <w:tcW w:type="dxa" w:w="2016"/>
            <w:tcMar>
              <w:top w:w="90" w:type="dxa"/>
              <w:start w:w="110" w:type="dxa"/>
              <w:bottom w:w="90" w:type="dxa"/>
              <w:end w:w="110" w:type="dxa"/>
            </w:tcMar>
            <w:vAlign w:val="center"/>
          </w:tcPr>
          <w:p>
            <w:pPr>
              <w:spacing w:after="0" w:line="247" w:lineRule="auto"/>
            </w:pPr>
            <w:r>
              <w:rPr>
                <w:sz w:val="16"/>
              </w:rPr>
              <w:t>100 GB</w:t>
            </w:r>
          </w:p>
        </w:tc>
      </w:tr>
    </w:tbl>
    <w:p>
      <w:pPr>
        <w:spacing w:after="20"/>
      </w:pPr>
    </w:p>
    <w:p>
      <w:pPr>
        <w:pStyle w:val="Fuente"/>
      </w:pPr>
      <w:r>
        <w:t>*Cálculo con los derechos publicados por usuario. No incluye capacidad base, otros productos, descuentos, impuestos ni capacidad ya consumida por otros entornos. Debe verificarse en el tenant.</w:t>
      </w:r>
    </w:p>
    <w:tbl>
      <w:tblPr>
        <w:tblW w:type="auto" w:w="0"/>
        <w:jc w:val="center"/>
        <w:tblLayout w:type="fixed"/>
        <w:tblLook w:firstColumn="1" w:firstRow="1" w:lastColumn="0" w:lastRow="0" w:noHBand="0" w:noVBand="1" w:val="04A0"/>
      </w:tblPr>
      <w:tblGrid>
        <w:gridCol w:w="9878"/>
      </w:tblGrid>
      <w:tr>
        <w:tc>
          <w:tcPr>
            <w:tcW w:type="dxa" w:w="9576"/>
            <w:shd w:fill="FBF5E8"/>
            <w:tcMar>
              <w:top w:w="130" w:type="dxa"/>
              <w:start w:w="160" w:type="dxa"/>
              <w:bottom w:w="130" w:type="dxa"/>
              <w:end w:w="160" w:type="dxa"/>
            </w:tcMar>
          </w:tcPr>
          <w:p>
            <w:pPr>
              <w:spacing w:after="60"/>
            </w:pPr>
            <w:r>
              <w:rPr>
                <w:b/>
                <w:color w:val="A77A20"/>
                <w:sz w:val="18"/>
              </w:rPr>
              <w:t>IMPLICACIÓN</w:t>
            </w:r>
          </w:p>
          <w:p>
            <w:pPr>
              <w:spacing w:after="0" w:line="259" w:lineRule="auto"/>
            </w:pPr>
            <w:r>
              <w:t>Con 50 licencias, una proyección base de Database podría superar la capacidad incremental hacia el año 3–5. Guardar 100 GB de archivos en Dataverse podría consumir la capacidad File calculada; usar SharePoint protege ese margen y evita que imágenes y PDF compitan con datos transaccionales.</w:t>
            </w:r>
          </w:p>
        </w:tc>
      </w:tr>
    </w:tbl>
    <w:p>
      <w:pPr>
        <w:spacing w:after="20"/>
      </w:pPr>
    </w:p>
    <w:p>
      <w:pPr>
        <w:pStyle w:val="Heading1"/>
        <w:keepNext/>
      </w:pPr>
      <w:r>
        <w:t>8. Inventarios y trazabilidad</w:t>
      </w:r>
    </w:p>
    <w:p>
      <w:pPr>
        <w:spacing w:after="100"/>
      </w:pPr>
      <w:r>
        <w:rPr>
          <w:i w:val="0"/>
        </w:rPr>
        <w:t>Inventarios encaja bien en Dataverse por su estructura relacional, seguridad y auditoría. El diseño debe separar activo, categoría, ubicación, custodio, estado, movimiento, mantenimiento, baja, documento y evidencia fotográfica. No se debe sobrescribir únicamente el estado actual; los movimientos relevantes necesitan historial.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73F3D"/>
            <w:tcMar>
              <w:top w:w="100" w:type="dxa"/>
              <w:start w:w="110" w:type="dxa"/>
              <w:bottom w:w="100" w:type="dxa"/>
              <w:end w:w="110" w:type="dxa"/>
            </w:tcMar>
            <w:vAlign w:val="center"/>
          </w:tcPr>
          <w:p>
            <w:pPr>
              <w:spacing w:after="0"/>
              <w:jc w:val="center"/>
            </w:pPr>
            <w:r>
              <w:rPr>
                <w:b/>
                <w:color w:val="FFFFFF"/>
                <w:sz w:val="17"/>
              </w:rPr>
              <w:t>Decisión</w:t>
            </w:r>
          </w:p>
        </w:tc>
        <w:tc>
          <w:tcPr>
            <w:tcW w:type="dxa" w:w="7488"/>
            <w:shd w:fill="173F3D"/>
            <w:tcMar>
              <w:top w:w="100" w:type="dxa"/>
              <w:start w:w="110" w:type="dxa"/>
              <w:bottom w:w="100" w:type="dxa"/>
              <w:end w:w="110" w:type="dxa"/>
            </w:tcMar>
            <w:vAlign w:val="center"/>
          </w:tcPr>
          <w:p>
            <w:pPr>
              <w:spacing w:after="0"/>
              <w:jc w:val="center"/>
            </w:pPr>
            <w:r>
              <w:rPr>
                <w:b/>
                <w:color w:val="FFFFFF"/>
                <w:sz w:val="17"/>
              </w:rPr>
              <w:t>Recomendación</w:t>
            </w:r>
          </w:p>
        </w:tc>
      </w:tr>
      <w:tr>
        <w:tc>
          <w:tcPr>
            <w:tcW w:type="dxa" w:w="2088"/>
            <w:tcMar>
              <w:top w:w="90" w:type="dxa"/>
              <w:start w:w="110" w:type="dxa"/>
              <w:bottom w:w="90" w:type="dxa"/>
              <w:end w:w="110" w:type="dxa"/>
            </w:tcMar>
            <w:vAlign w:val="center"/>
          </w:tcPr>
          <w:p>
            <w:pPr>
              <w:spacing w:after="0" w:line="247" w:lineRule="auto"/>
            </w:pPr>
            <w:r>
              <w:rPr>
                <w:sz w:val="17"/>
              </w:rPr>
              <w:t>Identificación</w:t>
            </w:r>
          </w:p>
        </w:tc>
        <w:tc>
          <w:tcPr>
            <w:tcW w:type="dxa" w:w="7488"/>
            <w:tcMar>
              <w:top w:w="90" w:type="dxa"/>
              <w:start w:w="110" w:type="dxa"/>
              <w:bottom w:w="90" w:type="dxa"/>
              <w:end w:w="110" w:type="dxa"/>
            </w:tcMar>
            <w:vAlign w:val="center"/>
          </w:tcPr>
          <w:p>
            <w:pPr>
              <w:spacing w:after="0" w:line="247" w:lineRule="auto"/>
            </w:pPr>
            <w:r>
              <w:rPr>
                <w:sz w:val="17"/>
              </w:rPr>
              <w:t>GUID interno como clave primaria y código/placa como clave de negocio única.</w:t>
            </w:r>
          </w:p>
        </w:tc>
      </w:tr>
      <w:tr>
        <w:tc>
          <w:tcPr>
            <w:tcW w:type="dxa" w:w="2088"/>
            <w:tcMar>
              <w:top w:w="90" w:type="dxa"/>
              <w:start w:w="110" w:type="dxa"/>
              <w:bottom w:w="90" w:type="dxa"/>
              <w:end w:w="110" w:type="dxa"/>
            </w:tcMar>
            <w:vAlign w:val="center"/>
            <w:shd w:fill="F5F8F7"/>
          </w:tcPr>
          <w:p>
            <w:pPr>
              <w:spacing w:after="0" w:line="247" w:lineRule="auto"/>
            </w:pPr>
            <w:r>
              <w:rPr>
                <w:sz w:val="17"/>
              </w:rPr>
              <w:t>Consultas</w:t>
            </w:r>
          </w:p>
        </w:tc>
        <w:tc>
          <w:tcPr>
            <w:tcW w:type="dxa" w:w="7488"/>
            <w:tcMar>
              <w:top w:w="90" w:type="dxa"/>
              <w:start w:w="110" w:type="dxa"/>
              <w:bottom w:w="90" w:type="dxa"/>
              <w:end w:w="110" w:type="dxa"/>
            </w:tcMar>
            <w:vAlign w:val="center"/>
            <w:shd w:fill="F5F8F7"/>
          </w:tcPr>
          <w:p>
            <w:pPr>
              <w:spacing w:after="0" w:line="247" w:lineRule="auto"/>
            </w:pPr>
            <w:r>
              <w:rPr>
                <w:sz w:val="17"/>
              </w:rPr>
              <w:t>Vistas por custodio, sede, categoría, estado y vencimiento; todas delegables.</w:t>
            </w:r>
          </w:p>
        </w:tc>
      </w:tr>
      <w:tr>
        <w:tc>
          <w:tcPr>
            <w:tcW w:type="dxa" w:w="2088"/>
            <w:tcMar>
              <w:top w:w="90" w:type="dxa"/>
              <w:start w:w="110" w:type="dxa"/>
              <w:bottom w:w="90" w:type="dxa"/>
              <w:end w:w="110" w:type="dxa"/>
            </w:tcMar>
            <w:vAlign w:val="center"/>
          </w:tcPr>
          <w:p>
            <w:pPr>
              <w:spacing w:after="0" w:line="247" w:lineRule="auto"/>
            </w:pPr>
            <w:r>
              <w:rPr>
                <w:sz w:val="17"/>
              </w:rPr>
              <w:t>Fotografías</w:t>
            </w:r>
          </w:p>
        </w:tc>
        <w:tc>
          <w:tcPr>
            <w:tcW w:type="dxa" w:w="7488"/>
            <w:tcMar>
              <w:top w:w="90" w:type="dxa"/>
              <w:start w:w="110" w:type="dxa"/>
              <w:bottom w:w="90" w:type="dxa"/>
              <w:end w:w="110" w:type="dxa"/>
            </w:tcMar>
            <w:vAlign w:val="center"/>
          </w:tcPr>
          <w:p>
            <w:pPr>
              <w:spacing w:after="0" w:line="247" w:lineRule="auto"/>
            </w:pPr>
            <w:r>
              <w:rPr>
                <w:sz w:val="17"/>
              </w:rPr>
              <w:t>Miniatura para visualización; original en SharePoint con relación desde Dataverse.</w:t>
            </w:r>
          </w:p>
        </w:tc>
      </w:tr>
      <w:tr>
        <w:tc>
          <w:tcPr>
            <w:tcW w:type="dxa" w:w="2088"/>
            <w:tcMar>
              <w:top w:w="90" w:type="dxa"/>
              <w:start w:w="110" w:type="dxa"/>
              <w:bottom w:w="90" w:type="dxa"/>
              <w:end w:w="110" w:type="dxa"/>
            </w:tcMar>
            <w:vAlign w:val="center"/>
            <w:shd w:fill="F5F8F7"/>
          </w:tcPr>
          <w:p>
            <w:pPr>
              <w:spacing w:after="0" w:line="247" w:lineRule="auto"/>
            </w:pPr>
            <w:r>
              <w:rPr>
                <w:sz w:val="17"/>
              </w:rPr>
              <w:t>Movimientos</w:t>
            </w:r>
          </w:p>
        </w:tc>
        <w:tc>
          <w:tcPr>
            <w:tcW w:type="dxa" w:w="7488"/>
            <w:tcMar>
              <w:top w:w="90" w:type="dxa"/>
              <w:start w:w="110" w:type="dxa"/>
              <w:bottom w:w="90" w:type="dxa"/>
              <w:end w:w="110" w:type="dxa"/>
            </w:tcMar>
            <w:vAlign w:val="center"/>
            <w:shd w:fill="F5F8F7"/>
          </w:tcPr>
          <w:p>
            <w:pPr>
              <w:spacing w:after="0" w:line="247" w:lineRule="auto"/>
            </w:pPr>
            <w:r>
              <w:rPr>
                <w:sz w:val="17"/>
              </w:rPr>
              <w:t>Tabla independiente, inmutable para eventos aprobados y con sello de fecha/usuario.</w:t>
            </w:r>
          </w:p>
        </w:tc>
      </w:tr>
      <w:tr>
        <w:tc>
          <w:tcPr>
            <w:tcW w:type="dxa" w:w="2088"/>
            <w:tcMar>
              <w:top w:w="90" w:type="dxa"/>
              <w:start w:w="110" w:type="dxa"/>
              <w:bottom w:w="90" w:type="dxa"/>
              <w:end w:w="110" w:type="dxa"/>
            </w:tcMar>
            <w:vAlign w:val="center"/>
          </w:tcPr>
          <w:p>
            <w:pPr>
              <w:spacing w:after="0" w:line="247" w:lineRule="auto"/>
            </w:pPr>
            <w:r>
              <w:rPr>
                <w:sz w:val="17"/>
              </w:rPr>
              <w:t>Importación</w:t>
            </w:r>
          </w:p>
        </w:tc>
        <w:tc>
          <w:tcPr>
            <w:tcW w:type="dxa" w:w="7488"/>
            <w:tcMar>
              <w:top w:w="90" w:type="dxa"/>
              <w:start w:w="110" w:type="dxa"/>
              <w:bottom w:w="90" w:type="dxa"/>
              <w:end w:w="110" w:type="dxa"/>
            </w:tcMar>
            <w:vAlign w:val="center"/>
          </w:tcPr>
          <w:p>
            <w:pPr>
              <w:spacing w:after="0" w:line="247" w:lineRule="auto"/>
            </w:pPr>
            <w:r>
              <w:rPr>
                <w:sz w:val="17"/>
              </w:rPr>
              <w:t>Carga por lotes controlada, validación previa y reporte de errores; no ForAll masivo desde Canvas.</w:t>
            </w:r>
          </w:p>
        </w:tc>
      </w:tr>
      <w:tr>
        <w:tc>
          <w:tcPr>
            <w:tcW w:type="dxa" w:w="2088"/>
            <w:tcMar>
              <w:top w:w="90" w:type="dxa"/>
              <w:start w:w="110" w:type="dxa"/>
              <w:bottom w:w="90" w:type="dxa"/>
              <w:end w:w="110" w:type="dxa"/>
            </w:tcMar>
            <w:vAlign w:val="center"/>
            <w:shd w:fill="F5F8F7"/>
          </w:tcPr>
          <w:p>
            <w:pPr>
              <w:spacing w:after="0" w:line="247" w:lineRule="auto"/>
            </w:pPr>
            <w:r>
              <w:rPr>
                <w:sz w:val="17"/>
              </w:rPr>
              <w:t>Auditoría</w:t>
            </w:r>
          </w:p>
        </w:tc>
        <w:tc>
          <w:tcPr>
            <w:tcW w:type="dxa" w:w="7488"/>
            <w:tcMar>
              <w:top w:w="90" w:type="dxa"/>
              <w:start w:w="110" w:type="dxa"/>
              <w:bottom w:w="90" w:type="dxa"/>
              <w:end w:w="110" w:type="dxa"/>
            </w:tcMar>
            <w:vAlign w:val="center"/>
            <w:shd w:fill="F5F8F7"/>
          </w:tcPr>
          <w:p>
            <w:pPr>
              <w:spacing w:after="0" w:line="247" w:lineRule="auto"/>
            </w:pPr>
            <w:r>
              <w:rPr>
                <w:sz w:val="17"/>
              </w:rPr>
              <w:t>Auditar cambios críticos, no cada columna descriptiva sin justificación.</w:t>
            </w:r>
          </w:p>
        </w:tc>
      </w:tr>
    </w:tbl>
    <w:p>
      <w:pPr>
        <w:spacing w:after="20"/>
      </w:pPr>
    </w:p>
    <w:p>
      <w:pPr>
        <w:pStyle w:val="Heading1"/>
        <w:keepNext/>
      </w:pPr>
      <w:r>
        <w:t>9. Generación de documentos y reportes</w:t>
      </w:r>
    </w:p>
    <w:p>
      <w:pPr>
        <w:spacing w:after="100"/>
      </w:pPr>
      <w:r>
        <w:rPr>
          <w:i w:val="0"/>
        </w:rPr>
        <w:t>Los reportes operativos y documentos formales deben clasificarse. Un listado rápido puede exportarse; un documento con formato corporativo puede generarse mediante plantilla Word y Power Automate; un reporte analítico corresponde a Power BI; un documento legal requiere versionado y aprobación.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73F3D"/>
            <w:tcMar>
              <w:top w:w="100" w:type="dxa"/>
              <w:start w:w="110" w:type="dxa"/>
              <w:bottom w:w="100" w:type="dxa"/>
              <w:end w:w="110" w:type="dxa"/>
            </w:tcMar>
            <w:vAlign w:val="center"/>
          </w:tcPr>
          <w:p>
            <w:pPr>
              <w:spacing w:after="0"/>
              <w:jc w:val="center"/>
            </w:pPr>
            <w:r>
              <w:rPr>
                <w:b/>
                <w:color w:val="FFFFFF"/>
                <w:sz w:val="16"/>
              </w:rPr>
              <w:t>Producto</w:t>
            </w:r>
          </w:p>
        </w:tc>
        <w:tc>
          <w:tcPr>
            <w:tcW w:type="dxa" w:w="3600"/>
            <w:shd w:fill="173F3D"/>
            <w:tcMar>
              <w:top w:w="100" w:type="dxa"/>
              <w:start w:w="110" w:type="dxa"/>
              <w:bottom w:w="100" w:type="dxa"/>
              <w:end w:w="110" w:type="dxa"/>
            </w:tcMar>
            <w:vAlign w:val="center"/>
          </w:tcPr>
          <w:p>
            <w:pPr>
              <w:spacing w:after="0"/>
              <w:jc w:val="center"/>
            </w:pPr>
            <w:r>
              <w:rPr>
                <w:b/>
                <w:color w:val="FFFFFF"/>
                <w:sz w:val="16"/>
              </w:rPr>
              <w:t>Mecanismo</w:t>
            </w:r>
          </w:p>
        </w:tc>
        <w:tc>
          <w:tcPr>
            <w:tcW w:type="dxa" w:w="3744"/>
            <w:shd w:fill="173F3D"/>
            <w:tcMar>
              <w:top w:w="100" w:type="dxa"/>
              <w:start w:w="110" w:type="dxa"/>
              <w:bottom w:w="100" w:type="dxa"/>
              <w:end w:w="110" w:type="dxa"/>
            </w:tcMar>
            <w:vAlign w:val="center"/>
          </w:tcPr>
          <w:p>
            <w:pPr>
              <w:spacing w:after="0"/>
              <w:jc w:val="center"/>
            </w:pPr>
            <w:r>
              <w:rPr>
                <w:b/>
                <w:color w:val="FFFFFF"/>
                <w:sz w:val="16"/>
              </w:rPr>
              <w:t>Riesgo/costo a validar</w:t>
            </w:r>
          </w:p>
        </w:tc>
      </w:tr>
      <w:tr>
        <w:tc>
          <w:tcPr>
            <w:tcW w:type="dxa" w:w="2232"/>
            <w:tcMar>
              <w:top w:w="90" w:type="dxa"/>
              <w:start w:w="110" w:type="dxa"/>
              <w:bottom w:w="90" w:type="dxa"/>
              <w:end w:w="110" w:type="dxa"/>
            </w:tcMar>
            <w:vAlign w:val="center"/>
          </w:tcPr>
          <w:p>
            <w:pPr>
              <w:spacing w:after="0" w:line="247" w:lineRule="auto"/>
            </w:pPr>
            <w:r>
              <w:rPr>
                <w:sz w:val="16"/>
              </w:rPr>
              <w:t>Certificado o ficha PDF</w:t>
            </w:r>
          </w:p>
        </w:tc>
        <w:tc>
          <w:tcPr>
            <w:tcW w:type="dxa" w:w="3600"/>
            <w:tcMar>
              <w:top w:w="90" w:type="dxa"/>
              <w:start w:w="110" w:type="dxa"/>
              <w:bottom w:w="90" w:type="dxa"/>
              <w:end w:w="110" w:type="dxa"/>
            </w:tcMar>
            <w:vAlign w:val="center"/>
          </w:tcPr>
          <w:p>
            <w:pPr>
              <w:spacing w:after="0" w:line="247" w:lineRule="auto"/>
            </w:pPr>
            <w:r>
              <w:rPr>
                <w:sz w:val="16"/>
              </w:rPr>
              <w:t>Plantilla Word + Power Automate + conversión PDF</w:t>
            </w:r>
          </w:p>
        </w:tc>
        <w:tc>
          <w:tcPr>
            <w:tcW w:type="dxa" w:w="3744"/>
            <w:tcMar>
              <w:top w:w="90" w:type="dxa"/>
              <w:start w:w="110" w:type="dxa"/>
              <w:bottom w:w="90" w:type="dxa"/>
              <w:end w:w="110" w:type="dxa"/>
            </w:tcMar>
            <w:vAlign w:val="center"/>
          </w:tcPr>
          <w:p>
            <w:pPr>
              <w:spacing w:after="0" w:line="247" w:lineRule="auto"/>
            </w:pPr>
            <w:r>
              <w:rPr>
                <w:sz w:val="16"/>
              </w:rPr>
              <w:t>Licencia del flujo/conectores, volumen de ejecuciones y propiedad de conexiones.</w:t>
            </w:r>
          </w:p>
        </w:tc>
      </w:tr>
      <w:tr>
        <w:tc>
          <w:tcPr>
            <w:tcW w:type="dxa" w:w="2232"/>
            <w:tcMar>
              <w:top w:w="90" w:type="dxa"/>
              <w:start w:w="110" w:type="dxa"/>
              <w:bottom w:w="90" w:type="dxa"/>
              <w:end w:w="110" w:type="dxa"/>
            </w:tcMar>
            <w:vAlign w:val="center"/>
            <w:shd w:fill="F5F8F7"/>
          </w:tcPr>
          <w:p>
            <w:pPr>
              <w:spacing w:after="0" w:line="247" w:lineRule="auto"/>
            </w:pPr>
            <w:r>
              <w:rPr>
                <w:sz w:val="16"/>
              </w:rPr>
              <w:t>Listado Excel</w:t>
            </w:r>
          </w:p>
        </w:tc>
        <w:tc>
          <w:tcPr>
            <w:tcW w:type="dxa" w:w="3600"/>
            <w:tcMar>
              <w:top w:w="90" w:type="dxa"/>
              <w:start w:w="110" w:type="dxa"/>
              <w:bottom w:w="90" w:type="dxa"/>
              <w:end w:w="110" w:type="dxa"/>
            </w:tcMar>
            <w:vAlign w:val="center"/>
            <w:shd w:fill="F5F8F7"/>
          </w:tcPr>
          <w:p>
            <w:pPr>
              <w:spacing w:after="0" w:line="247" w:lineRule="auto"/>
            </w:pPr>
            <w:r>
              <w:rPr>
                <w:sz w:val="16"/>
              </w:rPr>
              <w:t>Exportación de vista o flujo controlado</w:t>
            </w:r>
          </w:p>
        </w:tc>
        <w:tc>
          <w:tcPr>
            <w:tcW w:type="dxa" w:w="3744"/>
            <w:tcMar>
              <w:top w:w="90" w:type="dxa"/>
              <w:start w:w="110" w:type="dxa"/>
              <w:bottom w:w="90" w:type="dxa"/>
              <w:end w:w="110" w:type="dxa"/>
            </w:tcMar>
            <w:vAlign w:val="center"/>
            <w:shd w:fill="F5F8F7"/>
          </w:tcPr>
          <w:p>
            <w:pPr>
              <w:spacing w:after="0" w:line="247" w:lineRule="auto"/>
            </w:pPr>
            <w:r>
              <w:rPr>
                <w:sz w:val="16"/>
              </w:rPr>
              <w:t>Exposición de datos y permisos de exportación.</w:t>
            </w:r>
          </w:p>
        </w:tc>
      </w:tr>
      <w:tr>
        <w:tc>
          <w:tcPr>
            <w:tcW w:type="dxa" w:w="2232"/>
            <w:tcMar>
              <w:top w:w="90" w:type="dxa"/>
              <w:start w:w="110" w:type="dxa"/>
              <w:bottom w:w="90" w:type="dxa"/>
              <w:end w:w="110" w:type="dxa"/>
            </w:tcMar>
            <w:vAlign w:val="center"/>
          </w:tcPr>
          <w:p>
            <w:pPr>
              <w:spacing w:after="0" w:line="247" w:lineRule="auto"/>
            </w:pPr>
            <w:r>
              <w:rPr>
                <w:sz w:val="16"/>
              </w:rPr>
              <w:t>Reporte operativo</w:t>
            </w:r>
          </w:p>
        </w:tc>
        <w:tc>
          <w:tcPr>
            <w:tcW w:type="dxa" w:w="3600"/>
            <w:tcMar>
              <w:top w:w="90" w:type="dxa"/>
              <w:start w:w="110" w:type="dxa"/>
              <w:bottom w:w="90" w:type="dxa"/>
              <w:end w:w="110" w:type="dxa"/>
            </w:tcMar>
            <w:vAlign w:val="center"/>
          </w:tcPr>
          <w:p>
            <w:pPr>
              <w:spacing w:after="0" w:line="247" w:lineRule="auto"/>
            </w:pPr>
            <w:r>
              <w:rPr>
                <w:sz w:val="16"/>
              </w:rPr>
              <w:t>Vista/model-driven, Power BI o reporte paginado</w:t>
            </w:r>
          </w:p>
        </w:tc>
        <w:tc>
          <w:tcPr>
            <w:tcW w:type="dxa" w:w="3744"/>
            <w:tcMar>
              <w:top w:w="90" w:type="dxa"/>
              <w:start w:w="110" w:type="dxa"/>
              <w:bottom w:w="90" w:type="dxa"/>
              <w:end w:w="110" w:type="dxa"/>
            </w:tcMar>
            <w:vAlign w:val="center"/>
          </w:tcPr>
          <w:p>
            <w:pPr>
              <w:spacing w:after="0" w:line="247" w:lineRule="auto"/>
            </w:pPr>
            <w:r>
              <w:rPr>
                <w:sz w:val="16"/>
              </w:rPr>
              <w:t>Latencia, licencias Power BI y filtros de seguridad.</w:t>
            </w:r>
          </w:p>
        </w:tc>
      </w:tr>
      <w:tr>
        <w:tc>
          <w:tcPr>
            <w:tcW w:type="dxa" w:w="2232"/>
            <w:tcMar>
              <w:top w:w="90" w:type="dxa"/>
              <w:start w:w="110" w:type="dxa"/>
              <w:bottom w:w="90" w:type="dxa"/>
              <w:end w:w="110" w:type="dxa"/>
            </w:tcMar>
            <w:vAlign w:val="center"/>
            <w:shd w:fill="F5F8F7"/>
          </w:tcPr>
          <w:p>
            <w:pPr>
              <w:spacing w:after="0" w:line="247" w:lineRule="auto"/>
            </w:pPr>
            <w:r>
              <w:rPr>
                <w:sz w:val="16"/>
              </w:rPr>
              <w:t>Documento de inventario</w:t>
            </w:r>
          </w:p>
        </w:tc>
        <w:tc>
          <w:tcPr>
            <w:tcW w:type="dxa" w:w="3600"/>
            <w:tcMar>
              <w:top w:w="90" w:type="dxa"/>
              <w:start w:w="110" w:type="dxa"/>
              <w:bottom w:w="90" w:type="dxa"/>
              <w:end w:w="110" w:type="dxa"/>
            </w:tcMar>
            <w:vAlign w:val="center"/>
            <w:shd w:fill="F5F8F7"/>
          </w:tcPr>
          <w:p>
            <w:pPr>
              <w:spacing w:after="0" w:line="247" w:lineRule="auto"/>
            </w:pPr>
            <w:r>
              <w:rPr>
                <w:sz w:val="16"/>
              </w:rPr>
              <w:t>Plantilla con datos y vínculos a evidencias</w:t>
            </w:r>
          </w:p>
        </w:tc>
        <w:tc>
          <w:tcPr>
            <w:tcW w:type="dxa" w:w="3744"/>
            <w:tcMar>
              <w:top w:w="90" w:type="dxa"/>
              <w:start w:w="110" w:type="dxa"/>
              <w:bottom w:w="90" w:type="dxa"/>
              <w:end w:w="110" w:type="dxa"/>
            </w:tcMar>
            <w:vAlign w:val="center"/>
            <w:shd w:fill="F5F8F7"/>
          </w:tcPr>
          <w:p>
            <w:pPr>
              <w:spacing w:after="0" w:line="247" w:lineRule="auto"/>
            </w:pPr>
            <w:r>
              <w:rPr>
                <w:sz w:val="16"/>
              </w:rPr>
              <w:t>Tamaño de imágenes y almacenamiento del resultado.</w:t>
            </w:r>
          </w:p>
        </w:tc>
      </w:tr>
      <w:tr>
        <w:tc>
          <w:tcPr>
            <w:tcW w:type="dxa" w:w="2232"/>
            <w:tcMar>
              <w:top w:w="90" w:type="dxa"/>
              <w:start w:w="110" w:type="dxa"/>
              <w:bottom w:w="90" w:type="dxa"/>
              <w:end w:w="110" w:type="dxa"/>
            </w:tcMar>
            <w:vAlign w:val="center"/>
          </w:tcPr>
          <w:p>
            <w:pPr>
              <w:spacing w:after="0" w:line="247" w:lineRule="auto"/>
            </w:pPr>
            <w:r>
              <w:rPr>
                <w:sz w:val="16"/>
              </w:rPr>
              <w:t>Archivo oficial</w:t>
            </w:r>
          </w:p>
        </w:tc>
        <w:tc>
          <w:tcPr>
            <w:tcW w:type="dxa" w:w="3600"/>
            <w:tcMar>
              <w:top w:w="90" w:type="dxa"/>
              <w:start w:w="110" w:type="dxa"/>
              <w:bottom w:w="90" w:type="dxa"/>
              <w:end w:w="110" w:type="dxa"/>
            </w:tcMar>
            <w:vAlign w:val="center"/>
          </w:tcPr>
          <w:p>
            <w:pPr>
              <w:spacing w:after="0" w:line="247" w:lineRule="auto"/>
            </w:pPr>
            <w:r>
              <w:rPr>
                <w:sz w:val="16"/>
              </w:rPr>
              <w:t>SharePoint con metadatos, versión y retención</w:t>
            </w:r>
          </w:p>
        </w:tc>
        <w:tc>
          <w:tcPr>
            <w:tcW w:type="dxa" w:w="3744"/>
            <w:tcMar>
              <w:top w:w="90" w:type="dxa"/>
              <w:start w:w="110" w:type="dxa"/>
              <w:bottom w:w="90" w:type="dxa"/>
              <w:end w:w="110" w:type="dxa"/>
            </w:tcMar>
            <w:vAlign w:val="center"/>
          </w:tcPr>
          <w:p>
            <w:pPr>
              <w:spacing w:after="0" w:line="247" w:lineRule="auto"/>
            </w:pPr>
            <w:r>
              <w:rPr>
                <w:sz w:val="16"/>
              </w:rPr>
              <w:t>Diseño de bibliotecas, clasificación y permisos.</w:t>
            </w:r>
          </w:p>
        </w:tc>
      </w:tr>
    </w:tbl>
    <w:p>
      <w:pPr>
        <w:spacing w:after="20"/>
      </w:pPr>
    </w:p>
    <w:p>
      <w:pPr>
        <w:pStyle w:val="Heading1"/>
        <w:keepNext/>
      </w:pPr>
      <w:r>
        <w:t>10. Power BI sobre Dataverse</w:t>
      </w:r>
    </w:p>
    <w:p>
      <w:pPr>
        <w:spacing w:after="100"/>
      </w:pPr>
      <w:r>
        <w:rPr>
          <w:i w:val="0"/>
        </w:rPr>
        <w:t>El conector Dataverse para Power Query soporta Import y DirectQuery. Microsoft indica que está orientado a análisis, no a extracción masiva, y ofrece como referencia aproximadamente 500 filas por segundo para muchas tablas predeterminadas. Para grandes volúmenes recomienda alternativas como Azure Synapse Link/Data Lake. [S16]</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F3D"/>
            <w:tcMar>
              <w:top w:w="100" w:type="dxa"/>
              <w:start w:w="110" w:type="dxa"/>
              <w:bottom w:w="100" w:type="dxa"/>
              <w:end w:w="110" w:type="dxa"/>
            </w:tcMar>
            <w:vAlign w:val="center"/>
          </w:tcPr>
          <w:p>
            <w:pPr>
              <w:spacing w:after="0"/>
              <w:jc w:val="center"/>
            </w:pPr>
            <w:r>
              <w:rPr>
                <w:b/>
                <w:color w:val="FFFFFF"/>
                <w:sz w:val="16"/>
              </w:rPr>
              <w:t>Modo</w:t>
            </w:r>
          </w:p>
        </w:tc>
        <w:tc>
          <w:tcPr>
            <w:tcW w:type="dxa" w:w="3888"/>
            <w:shd w:fill="173F3D"/>
            <w:tcMar>
              <w:top w:w="100" w:type="dxa"/>
              <w:start w:w="110" w:type="dxa"/>
              <w:bottom w:w="100" w:type="dxa"/>
              <w:end w:w="110" w:type="dxa"/>
            </w:tcMar>
            <w:vAlign w:val="center"/>
          </w:tcPr>
          <w:p>
            <w:pPr>
              <w:spacing w:after="0"/>
              <w:jc w:val="center"/>
            </w:pPr>
            <w:r>
              <w:rPr>
                <w:b/>
                <w:color w:val="FFFFFF"/>
                <w:sz w:val="16"/>
              </w:rPr>
              <w:t>Ventaja</w:t>
            </w:r>
          </w:p>
        </w:tc>
        <w:tc>
          <w:tcPr>
            <w:tcW w:type="dxa" w:w="4032"/>
            <w:shd w:fill="173F3D"/>
            <w:tcMar>
              <w:top w:w="100" w:type="dxa"/>
              <w:start w:w="110" w:type="dxa"/>
              <w:bottom w:w="100" w:type="dxa"/>
              <w:end w:w="110" w:type="dxa"/>
            </w:tcMar>
            <w:vAlign w:val="center"/>
          </w:tcPr>
          <w:p>
            <w:pPr>
              <w:spacing w:after="0"/>
              <w:jc w:val="center"/>
            </w:pPr>
            <w:r>
              <w:rPr>
                <w:b/>
                <w:color w:val="FFFFFF"/>
                <w:sz w:val="16"/>
              </w:rPr>
              <w:t>Impacto</w:t>
            </w:r>
          </w:p>
        </w:tc>
      </w:tr>
      <w:tr>
        <w:tc>
          <w:tcPr>
            <w:tcW w:type="dxa" w:w="1656"/>
            <w:tcMar>
              <w:top w:w="90" w:type="dxa"/>
              <w:start w:w="110" w:type="dxa"/>
              <w:bottom w:w="90" w:type="dxa"/>
              <w:end w:w="110" w:type="dxa"/>
            </w:tcMar>
            <w:vAlign w:val="center"/>
          </w:tcPr>
          <w:p>
            <w:pPr>
              <w:spacing w:after="0" w:line="247" w:lineRule="auto"/>
            </w:pPr>
            <w:r>
              <w:rPr>
                <w:sz w:val="16"/>
              </w:rPr>
              <w:t>Import</w:t>
            </w:r>
          </w:p>
        </w:tc>
        <w:tc>
          <w:tcPr>
            <w:tcW w:type="dxa" w:w="3888"/>
            <w:tcMar>
              <w:top w:w="90" w:type="dxa"/>
              <w:start w:w="110" w:type="dxa"/>
              <w:bottom w:w="90" w:type="dxa"/>
              <w:end w:w="110" w:type="dxa"/>
            </w:tcMar>
            <w:vAlign w:val="center"/>
          </w:tcPr>
          <w:p>
            <w:pPr>
              <w:spacing w:after="0" w:line="247" w:lineRule="auto"/>
            </w:pPr>
            <w:r>
              <w:rPr>
                <w:sz w:val="16"/>
              </w:rPr>
              <w:t>Interacción rápida porque el modelo consulta memoria de Power BI.</w:t>
            </w:r>
          </w:p>
        </w:tc>
        <w:tc>
          <w:tcPr>
            <w:tcW w:type="dxa" w:w="4032"/>
            <w:tcMar>
              <w:top w:w="90" w:type="dxa"/>
              <w:start w:w="110" w:type="dxa"/>
              <w:bottom w:w="90" w:type="dxa"/>
              <w:end w:w="110" w:type="dxa"/>
            </w:tcMar>
            <w:vAlign w:val="center"/>
          </w:tcPr>
          <w:p>
            <w:pPr>
              <w:spacing w:after="0" w:line="247" w:lineRule="auto"/>
            </w:pPr>
            <w:r>
              <w:rPr>
                <w:sz w:val="16"/>
              </w:rPr>
              <w:t>Los datos tienen la antigüedad del último refresco; debe planificarse actualización incremental.</w:t>
            </w:r>
          </w:p>
        </w:tc>
      </w:tr>
      <w:tr>
        <w:tc>
          <w:tcPr>
            <w:tcW w:type="dxa" w:w="1656"/>
            <w:tcMar>
              <w:top w:w="90" w:type="dxa"/>
              <w:start w:w="110" w:type="dxa"/>
              <w:bottom w:w="90" w:type="dxa"/>
              <w:end w:w="110" w:type="dxa"/>
            </w:tcMar>
            <w:vAlign w:val="center"/>
            <w:shd w:fill="F5F8F7"/>
          </w:tcPr>
          <w:p>
            <w:pPr>
              <w:spacing w:after="0" w:line="247" w:lineRule="auto"/>
            </w:pPr>
            <w:r>
              <w:rPr>
                <w:sz w:val="16"/>
              </w:rPr>
              <w:t>DirectQuery</w:t>
            </w:r>
          </w:p>
        </w:tc>
        <w:tc>
          <w:tcPr>
            <w:tcW w:type="dxa" w:w="3888"/>
            <w:tcMar>
              <w:top w:w="90" w:type="dxa"/>
              <w:start w:w="110" w:type="dxa"/>
              <w:bottom w:w="90" w:type="dxa"/>
              <w:end w:w="110" w:type="dxa"/>
            </w:tcMar>
            <w:vAlign w:val="center"/>
            <w:shd w:fill="F5F8F7"/>
          </w:tcPr>
          <w:p>
            <w:pPr>
              <w:spacing w:after="0" w:line="247" w:lineRule="auto"/>
            </w:pPr>
            <w:r>
              <w:rPr>
                <w:sz w:val="16"/>
              </w:rPr>
              <w:t>Consulta datos actuales sin importar todo el modelo.</w:t>
            </w:r>
          </w:p>
        </w:tc>
        <w:tc>
          <w:tcPr>
            <w:tcW w:type="dxa" w:w="4032"/>
            <w:tcMar>
              <w:top w:w="90" w:type="dxa"/>
              <w:start w:w="110" w:type="dxa"/>
              <w:bottom w:w="90" w:type="dxa"/>
              <w:end w:w="110" w:type="dxa"/>
            </w:tcMar>
            <w:vAlign w:val="center"/>
            <w:shd w:fill="F5F8F7"/>
          </w:tcPr>
          <w:p>
            <w:pPr>
              <w:spacing w:after="0" w:line="247" w:lineRule="auto"/>
            </w:pPr>
            <w:r>
              <w:rPr>
                <w:sz w:val="16"/>
              </w:rPr>
              <w:t>Cada visual puede consultar Dataverse; más visuales, filtros y usuarios aumentan latencia y carga.</w:t>
            </w:r>
          </w:p>
        </w:tc>
      </w:tr>
      <w:tr>
        <w:tc>
          <w:tcPr>
            <w:tcW w:type="dxa" w:w="1656"/>
            <w:tcMar>
              <w:top w:w="90" w:type="dxa"/>
              <w:start w:w="110" w:type="dxa"/>
              <w:bottom w:w="90" w:type="dxa"/>
              <w:end w:w="110" w:type="dxa"/>
            </w:tcMar>
            <w:vAlign w:val="center"/>
          </w:tcPr>
          <w:p>
            <w:pPr>
              <w:spacing w:after="0" w:line="247" w:lineRule="auto"/>
            </w:pPr>
            <w:r>
              <w:rPr>
                <w:sz w:val="16"/>
              </w:rPr>
              <w:t>Synapse Link/Lake</w:t>
            </w:r>
          </w:p>
        </w:tc>
        <w:tc>
          <w:tcPr>
            <w:tcW w:type="dxa" w:w="3888"/>
            <w:tcMar>
              <w:top w:w="90" w:type="dxa"/>
              <w:start w:w="110" w:type="dxa"/>
              <w:bottom w:w="90" w:type="dxa"/>
              <w:end w:w="110" w:type="dxa"/>
            </w:tcMar>
            <w:vAlign w:val="center"/>
          </w:tcPr>
          <w:p>
            <w:pPr>
              <w:spacing w:after="0" w:line="247" w:lineRule="auto"/>
            </w:pPr>
            <w:r>
              <w:rPr>
                <w:sz w:val="16"/>
              </w:rPr>
              <w:t>Escala analítica y desacopla consultas pesadas.</w:t>
            </w:r>
          </w:p>
        </w:tc>
        <w:tc>
          <w:tcPr>
            <w:tcW w:type="dxa" w:w="4032"/>
            <w:tcMar>
              <w:top w:w="90" w:type="dxa"/>
              <w:start w:w="110" w:type="dxa"/>
              <w:bottom w:w="90" w:type="dxa"/>
              <w:end w:w="110" w:type="dxa"/>
            </w:tcMar>
            <w:vAlign w:val="center"/>
          </w:tcPr>
          <w:p>
            <w:pPr>
              <w:spacing w:after="0" w:line="247" w:lineRule="auto"/>
            </w:pPr>
            <w:r>
              <w:rPr>
                <w:sz w:val="16"/>
              </w:rPr>
              <w:t>Introduce Azure/Fabric, gobierno y costos adicionales.</w:t>
            </w:r>
          </w:p>
        </w:tc>
      </w:tr>
    </w:tbl>
    <w:p>
      <w:pPr>
        <w:spacing w:after="20"/>
      </w:pPr>
    </w:p>
    <w:p>
      <w:pPr>
        <w:spacing w:after="100"/>
      </w:pPr>
      <w:r>
        <w:rPr>
          <w:i w:val="0"/>
        </w:rPr>
        <w:t>Para tableros gerenciales se recomienda Import con actualización controlada, salvo necesidad comprobada de tiempo real. DirectQuery debe reservarse para escenarios donde la frescura compense el costo de latencia y carga. Power BI recomienda reducir visuales, aplicar filtros tempranos y usar agregaciones; cada interacción puede generar consultas adicionales. [S17]</w:t>
      </w:r>
    </w:p>
    <w:tbl>
      <w:tblPr>
        <w:tblW w:type="auto" w:w="0"/>
        <w:jc w:val="center"/>
        <w:tblLayout w:type="fixed"/>
        <w:tblLook w:firstColumn="1" w:firstRow="1" w:lastColumn="0" w:lastRow="0" w:noHBand="0" w:noVBand="1" w:val="04A0"/>
      </w:tblPr>
      <w:tblGrid>
        <w:gridCol w:w="9878"/>
      </w:tblGrid>
      <w:tr>
        <w:tc>
          <w:tcPr>
            <w:tcW w:type="dxa" w:w="9576"/>
            <w:shd w:fill="F8ECEF"/>
            <w:tcMar>
              <w:top w:w="130" w:type="dxa"/>
              <w:start w:w="160" w:type="dxa"/>
              <w:bottom w:w="130" w:type="dxa"/>
              <w:end w:w="160" w:type="dxa"/>
            </w:tcMar>
          </w:tcPr>
          <w:p>
            <w:pPr>
              <w:spacing w:after="60"/>
            </w:pPr>
            <w:r>
              <w:rPr>
                <w:b/>
                <w:color w:val="A0384D"/>
                <w:sz w:val="18"/>
              </w:rPr>
              <w:t>LICENCIAMIENTO POWER BI</w:t>
            </w:r>
          </w:p>
          <w:p>
            <w:pPr>
              <w:spacing w:after="0" w:line="259" w:lineRule="auto"/>
            </w:pPr>
            <w:r>
              <w:t>Compartir o incrustar un reporte no habilita al usuario. Cada lector necesita Power BI Pro/PPU, o el contenido debe estar en una capacidad Fabric/Premium apta. Fabric Gratis no es equivalente a esa capacidad. [S7]</w:t>
            </w:r>
          </w:p>
        </w:tc>
      </w:tr>
    </w:tbl>
    <w:p>
      <w:pPr>
        <w:spacing w:after="20"/>
      </w:pPr>
    </w:p>
    <w:p>
      <w:pPr>
        <w:pStyle w:val="Heading1"/>
        <w:keepNext/>
      </w:pPr>
      <w:r>
        <w:t>11. Seguridad, gobierno y cumplimiento</w:t>
      </w:r>
    </w:p>
    <w:p>
      <w:pPr>
        <w:pStyle w:val="ListBullet"/>
        <w:spacing w:after="60"/>
      </w:pPr>
      <w:r>
        <w:t>Aplicar grupos de seguridad de Entra ID para controlar membresía del entorno.</w:t>
      </w:r>
    </w:p>
    <w:p>
      <w:pPr>
        <w:pStyle w:val="ListBullet"/>
        <w:spacing w:after="60"/>
      </w:pPr>
      <w:r>
        <w:t>Diseñar roles Dataverse por función; usar mínimo privilegio y seguridad de columnas para datos sensibles.</w:t>
      </w:r>
    </w:p>
    <w:p>
      <w:pPr>
        <w:pStyle w:val="ListBullet"/>
        <w:spacing w:after="60"/>
      </w:pPr>
      <w:r>
        <w:t>Separar datos de talento humano, financieros y administrativos según necesidad de conocimiento.</w:t>
      </w:r>
    </w:p>
    <w:p>
      <w:pPr>
        <w:pStyle w:val="ListBullet"/>
        <w:spacing w:after="60"/>
      </w:pPr>
      <w:r>
        <w:t>Activar MFA y acceso condicionado; restringir dispositivos no administrados cuando corresponda.</w:t>
      </w:r>
    </w:p>
    <w:p>
      <w:pPr>
        <w:pStyle w:val="ListBullet"/>
        <w:spacing w:after="60"/>
      </w:pPr>
      <w:r>
        <w:t>Definir políticas DLP para impedir que conectores personales extraigan información corporativa. [S18]</w:t>
      </w:r>
    </w:p>
    <w:p>
      <w:pPr>
        <w:pStyle w:val="ListBullet"/>
        <w:spacing w:after="60"/>
      </w:pPr>
      <w:r>
        <w:t>Controlar exportación a Excel, uso de conectores, compartición de aplicaciones y propietarios de flujos.</w:t>
      </w:r>
    </w:p>
    <w:p>
      <w:pPr>
        <w:pStyle w:val="ListBullet"/>
        <w:spacing w:after="60"/>
      </w:pPr>
      <w:r>
        <w:t>Configurar auditoría y una política de retención; el valor predeterminado de auditoría puede conservarse indefinidamente y aumentar Log Capacity. [S19]</w:t>
      </w:r>
    </w:p>
    <w:p>
      <w:pPr>
        <w:pStyle w:val="ListBullet"/>
        <w:spacing w:after="60"/>
      </w:pPr>
      <w:r>
        <w:t>Clasificar documentos y definir retención, privacidad, eliminación y respuesta a incidentes.</w:t>
      </w:r>
    </w:p>
    <w:p>
      <w:pPr>
        <w:spacing w:after="100"/>
      </w:pPr>
      <w:r>
        <w:rPr>
          <w:i w:val="0"/>
        </w:rPr>
        <w:t>Los respaldos automáticos de entornos con base de datos tienen actualmente siete días de retención predeterminada; en producción Managed Environment puede ampliarse hasta 28 días. Los entornos Trial no tienen soporte de backup/restore equivalente. Esto refuerza que la producción no debe operar sobre trial. [S20]</w:t>
      </w:r>
    </w:p>
    <w:p>
      <w:pPr>
        <w:pStyle w:val="Heading1"/>
        <w:keepNext/>
      </w:pPr>
      <w:r>
        <w:t>12. Dependencia tecnológica</w:t>
      </w:r>
    </w:p>
    <w:p>
      <w:pPr>
        <w:spacing w:after="100"/>
      </w:pPr>
      <w:r>
        <w:rPr>
          <w:i w:val="0"/>
        </w:rPr>
        <w:t>Adoptar Power Apps + Dataverse concentra identidad, datos, lógica, automatización, documentos y analítica dentro del ecosistema Microsoft. Esta integración acelera ciertos procesos, pero crea dependencia técnica, contractual y operativa.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73F3D"/>
            <w:tcMar>
              <w:top w:w="100" w:type="dxa"/>
              <w:start w:w="110" w:type="dxa"/>
              <w:bottom w:w="100" w:type="dxa"/>
              <w:end w:w="110" w:type="dxa"/>
            </w:tcMar>
            <w:vAlign w:val="center"/>
          </w:tcPr>
          <w:p>
            <w:pPr>
              <w:spacing w:after="0"/>
              <w:jc w:val="center"/>
            </w:pPr>
            <w:r>
              <w:rPr>
                <w:b/>
                <w:color w:val="FFFFFF"/>
                <w:sz w:val="16"/>
              </w:rPr>
              <w:t>Dimensión</w:t>
            </w:r>
          </w:p>
        </w:tc>
        <w:tc>
          <w:tcPr>
            <w:tcW w:type="dxa" w:w="3384"/>
            <w:shd w:fill="173F3D"/>
            <w:tcMar>
              <w:top w:w="100" w:type="dxa"/>
              <w:start w:w="110" w:type="dxa"/>
              <w:bottom w:w="100" w:type="dxa"/>
              <w:end w:w="110" w:type="dxa"/>
            </w:tcMar>
            <w:vAlign w:val="center"/>
          </w:tcPr>
          <w:p>
            <w:pPr>
              <w:spacing w:after="0"/>
              <w:jc w:val="center"/>
            </w:pPr>
            <w:r>
              <w:rPr>
                <w:b/>
                <w:color w:val="FFFFFF"/>
                <w:sz w:val="16"/>
              </w:rPr>
              <w:t>Dependencia</w:t>
            </w:r>
          </w:p>
        </w:tc>
        <w:tc>
          <w:tcPr>
            <w:tcW w:type="dxa" w:w="4464"/>
            <w:shd w:fill="173F3D"/>
            <w:tcMar>
              <w:top w:w="100" w:type="dxa"/>
              <w:start w:w="110" w:type="dxa"/>
              <w:bottom w:w="100" w:type="dxa"/>
              <w:end w:w="110" w:type="dxa"/>
            </w:tcMar>
            <w:vAlign w:val="center"/>
          </w:tcPr>
          <w:p>
            <w:pPr>
              <w:spacing w:after="0"/>
              <w:jc w:val="center"/>
            </w:pPr>
            <w:r>
              <w:rPr>
                <w:b/>
                <w:color w:val="FFFFFF"/>
                <w:sz w:val="16"/>
              </w:rPr>
              <w:t>Impacto potencial</w:t>
            </w:r>
          </w:p>
        </w:tc>
      </w:tr>
      <w:tr>
        <w:tc>
          <w:tcPr>
            <w:tcW w:type="dxa" w:w="1728"/>
            <w:tcMar>
              <w:top w:w="90" w:type="dxa"/>
              <w:start w:w="110" w:type="dxa"/>
              <w:bottom w:w="90" w:type="dxa"/>
              <w:end w:w="110" w:type="dxa"/>
            </w:tcMar>
            <w:vAlign w:val="center"/>
          </w:tcPr>
          <w:p>
            <w:pPr>
              <w:spacing w:after="0" w:line="247" w:lineRule="auto"/>
            </w:pPr>
            <w:r>
              <w:rPr>
                <w:sz w:val="16"/>
              </w:rPr>
              <w:t>Datos</w:t>
            </w:r>
          </w:p>
        </w:tc>
        <w:tc>
          <w:tcPr>
            <w:tcW w:type="dxa" w:w="3384"/>
            <w:tcMar>
              <w:top w:w="90" w:type="dxa"/>
              <w:start w:w="110" w:type="dxa"/>
              <w:bottom w:w="90" w:type="dxa"/>
              <w:end w:w="110" w:type="dxa"/>
            </w:tcMar>
            <w:vAlign w:val="center"/>
          </w:tcPr>
          <w:p>
            <w:pPr>
              <w:spacing w:after="0" w:line="247" w:lineRule="auto"/>
            </w:pPr>
            <w:r>
              <w:rPr>
                <w:sz w:val="16"/>
              </w:rPr>
              <w:t>Esquema, tipos, relaciones y seguridad Dataverse</w:t>
            </w:r>
          </w:p>
        </w:tc>
        <w:tc>
          <w:tcPr>
            <w:tcW w:type="dxa" w:w="4464"/>
            <w:tcMar>
              <w:top w:w="90" w:type="dxa"/>
              <w:start w:w="110" w:type="dxa"/>
              <w:bottom w:w="90" w:type="dxa"/>
              <w:end w:w="110" w:type="dxa"/>
            </w:tcMar>
            <w:vAlign w:val="center"/>
          </w:tcPr>
          <w:p>
            <w:pPr>
              <w:spacing w:after="0" w:line="247" w:lineRule="auto"/>
            </w:pPr>
            <w:r>
              <w:rPr>
                <w:sz w:val="16"/>
              </w:rPr>
              <w:t>Migración futura requiere mapear metadatos, propietarios, auditoría y relaciones.</w:t>
            </w:r>
          </w:p>
        </w:tc>
      </w:tr>
      <w:tr>
        <w:tc>
          <w:tcPr>
            <w:tcW w:type="dxa" w:w="1728"/>
            <w:tcMar>
              <w:top w:w="90" w:type="dxa"/>
              <w:start w:w="110" w:type="dxa"/>
              <w:bottom w:w="90" w:type="dxa"/>
              <w:end w:w="110" w:type="dxa"/>
            </w:tcMar>
            <w:vAlign w:val="center"/>
            <w:shd w:fill="F5F8F7"/>
          </w:tcPr>
          <w:p>
            <w:pPr>
              <w:spacing w:after="0" w:line="247" w:lineRule="auto"/>
            </w:pPr>
            <w:r>
              <w:rPr>
                <w:sz w:val="16"/>
              </w:rPr>
              <w:t>Interfaz</w:t>
            </w:r>
          </w:p>
        </w:tc>
        <w:tc>
          <w:tcPr>
            <w:tcW w:type="dxa" w:w="3384"/>
            <w:tcMar>
              <w:top w:w="90" w:type="dxa"/>
              <w:start w:w="110" w:type="dxa"/>
              <w:bottom w:w="90" w:type="dxa"/>
              <w:end w:w="110" w:type="dxa"/>
            </w:tcMar>
            <w:vAlign w:val="center"/>
            <w:shd w:fill="F5F8F7"/>
          </w:tcPr>
          <w:p>
            <w:pPr>
              <w:spacing w:after="0" w:line="247" w:lineRule="auto"/>
            </w:pPr>
            <w:r>
              <w:rPr>
                <w:sz w:val="16"/>
              </w:rPr>
              <w:t>Power Fx, controles Canvas y formularios model-driven</w:t>
            </w:r>
          </w:p>
        </w:tc>
        <w:tc>
          <w:tcPr>
            <w:tcW w:type="dxa" w:w="4464"/>
            <w:tcMar>
              <w:top w:w="90" w:type="dxa"/>
              <w:start w:w="110" w:type="dxa"/>
              <w:bottom w:w="90" w:type="dxa"/>
              <w:end w:w="110" w:type="dxa"/>
            </w:tcMar>
            <w:vAlign w:val="center"/>
            <w:shd w:fill="F5F8F7"/>
          </w:tcPr>
          <w:p>
            <w:pPr>
              <w:spacing w:after="0" w:line="247" w:lineRule="auto"/>
            </w:pPr>
            <w:r>
              <w:rPr>
                <w:sz w:val="16"/>
              </w:rPr>
              <w:t>No se trasladan directamente a otra plataforma.</w:t>
            </w:r>
          </w:p>
        </w:tc>
      </w:tr>
      <w:tr>
        <w:tc>
          <w:tcPr>
            <w:tcW w:type="dxa" w:w="1728"/>
            <w:tcMar>
              <w:top w:w="90" w:type="dxa"/>
              <w:start w:w="110" w:type="dxa"/>
              <w:bottom w:w="90" w:type="dxa"/>
              <w:end w:w="110" w:type="dxa"/>
            </w:tcMar>
            <w:vAlign w:val="center"/>
          </w:tcPr>
          <w:p>
            <w:pPr>
              <w:spacing w:after="0" w:line="247" w:lineRule="auto"/>
            </w:pPr>
            <w:r>
              <w:rPr>
                <w:sz w:val="16"/>
              </w:rPr>
              <w:t>Automatización</w:t>
            </w:r>
          </w:p>
        </w:tc>
        <w:tc>
          <w:tcPr>
            <w:tcW w:type="dxa" w:w="3384"/>
            <w:tcMar>
              <w:top w:w="90" w:type="dxa"/>
              <w:start w:w="110" w:type="dxa"/>
              <w:bottom w:w="90" w:type="dxa"/>
              <w:end w:w="110" w:type="dxa"/>
            </w:tcMar>
            <w:vAlign w:val="center"/>
          </w:tcPr>
          <w:p>
            <w:pPr>
              <w:spacing w:after="0" w:line="247" w:lineRule="auto"/>
            </w:pPr>
            <w:r>
              <w:rPr>
                <w:sz w:val="16"/>
              </w:rPr>
              <w:t>Power Automate, conectores y conexiones</w:t>
            </w:r>
          </w:p>
        </w:tc>
        <w:tc>
          <w:tcPr>
            <w:tcW w:type="dxa" w:w="4464"/>
            <w:tcMar>
              <w:top w:w="90" w:type="dxa"/>
              <w:start w:w="110" w:type="dxa"/>
              <w:bottom w:w="90" w:type="dxa"/>
              <w:end w:w="110" w:type="dxa"/>
            </w:tcMar>
            <w:vAlign w:val="center"/>
          </w:tcPr>
          <w:p>
            <w:pPr>
              <w:spacing w:after="0" w:line="247" w:lineRule="auto"/>
            </w:pPr>
            <w:r>
              <w:rPr>
                <w:sz w:val="16"/>
              </w:rPr>
              <w:t>Los flujos deben rediseñarse si cambia el proveedor o la fuente.</w:t>
            </w:r>
          </w:p>
        </w:tc>
      </w:tr>
      <w:tr>
        <w:tc>
          <w:tcPr>
            <w:tcW w:type="dxa" w:w="1728"/>
            <w:tcMar>
              <w:top w:w="90" w:type="dxa"/>
              <w:start w:w="110" w:type="dxa"/>
              <w:bottom w:w="90" w:type="dxa"/>
              <w:end w:w="110" w:type="dxa"/>
            </w:tcMar>
            <w:vAlign w:val="center"/>
            <w:shd w:fill="F5F8F7"/>
          </w:tcPr>
          <w:p>
            <w:pPr>
              <w:spacing w:after="0" w:line="247" w:lineRule="auto"/>
            </w:pPr>
            <w:r>
              <w:rPr>
                <w:sz w:val="16"/>
              </w:rPr>
              <w:t>Identidad</w:t>
            </w:r>
          </w:p>
        </w:tc>
        <w:tc>
          <w:tcPr>
            <w:tcW w:type="dxa" w:w="3384"/>
            <w:tcMar>
              <w:top w:w="90" w:type="dxa"/>
              <w:start w:w="110" w:type="dxa"/>
              <w:bottom w:w="90" w:type="dxa"/>
              <w:end w:w="110" w:type="dxa"/>
            </w:tcMar>
            <w:vAlign w:val="center"/>
            <w:shd w:fill="F5F8F7"/>
          </w:tcPr>
          <w:p>
            <w:pPr>
              <w:spacing w:after="0" w:line="247" w:lineRule="auto"/>
            </w:pPr>
            <w:r>
              <w:rPr>
                <w:sz w:val="16"/>
              </w:rPr>
              <w:t>Entra ID y grupos</w:t>
            </w:r>
          </w:p>
        </w:tc>
        <w:tc>
          <w:tcPr>
            <w:tcW w:type="dxa" w:w="4464"/>
            <w:tcMar>
              <w:top w:w="90" w:type="dxa"/>
              <w:start w:w="110" w:type="dxa"/>
              <w:bottom w:w="90" w:type="dxa"/>
              <w:end w:w="110" w:type="dxa"/>
            </w:tcMar>
            <w:vAlign w:val="center"/>
            <w:shd w:fill="F5F8F7"/>
          </w:tcPr>
          <w:p>
            <w:pPr>
              <w:spacing w:after="0" w:line="247" w:lineRule="auto"/>
            </w:pPr>
            <w:r>
              <w:rPr>
                <w:sz w:val="16"/>
              </w:rPr>
              <w:t>Es una dependencia razonable si Gaia mantiene Microsoft 365.</w:t>
            </w:r>
          </w:p>
        </w:tc>
      </w:tr>
      <w:tr>
        <w:tc>
          <w:tcPr>
            <w:tcW w:type="dxa" w:w="1728"/>
            <w:tcMar>
              <w:top w:w="90" w:type="dxa"/>
              <w:start w:w="110" w:type="dxa"/>
              <w:bottom w:w="90" w:type="dxa"/>
              <w:end w:w="110" w:type="dxa"/>
            </w:tcMar>
            <w:vAlign w:val="center"/>
          </w:tcPr>
          <w:p>
            <w:pPr>
              <w:spacing w:after="0" w:line="247" w:lineRule="auto"/>
            </w:pPr>
            <w:r>
              <w:rPr>
                <w:sz w:val="16"/>
              </w:rPr>
              <w:t>Analítica</w:t>
            </w:r>
          </w:p>
        </w:tc>
        <w:tc>
          <w:tcPr>
            <w:tcW w:type="dxa" w:w="3384"/>
            <w:tcMar>
              <w:top w:w="90" w:type="dxa"/>
              <w:start w:w="110" w:type="dxa"/>
              <w:bottom w:w="90" w:type="dxa"/>
              <w:end w:w="110" w:type="dxa"/>
            </w:tcMar>
            <w:vAlign w:val="center"/>
          </w:tcPr>
          <w:p>
            <w:pPr>
              <w:spacing w:after="0" w:line="247" w:lineRule="auto"/>
            </w:pPr>
            <w:r>
              <w:rPr>
                <w:sz w:val="16"/>
              </w:rPr>
              <w:t>Power BI/Fabric</w:t>
            </w:r>
          </w:p>
        </w:tc>
        <w:tc>
          <w:tcPr>
            <w:tcW w:type="dxa" w:w="4464"/>
            <w:tcMar>
              <w:top w:w="90" w:type="dxa"/>
              <w:start w:w="110" w:type="dxa"/>
              <w:bottom w:w="90" w:type="dxa"/>
              <w:end w:w="110" w:type="dxa"/>
            </w:tcMar>
            <w:vAlign w:val="center"/>
          </w:tcPr>
          <w:p>
            <w:pPr>
              <w:spacing w:after="0" w:line="247" w:lineRule="auto"/>
            </w:pPr>
            <w:r>
              <w:rPr>
                <w:sz w:val="16"/>
              </w:rPr>
              <w:t>Modelos, DAX, permisos y capacidad tienen licenciamiento separado.</w:t>
            </w:r>
          </w:p>
        </w:tc>
      </w:tr>
      <w:tr>
        <w:tc>
          <w:tcPr>
            <w:tcW w:type="dxa" w:w="1728"/>
            <w:tcMar>
              <w:top w:w="90" w:type="dxa"/>
              <w:start w:w="110" w:type="dxa"/>
              <w:bottom w:w="90" w:type="dxa"/>
              <w:end w:w="110" w:type="dxa"/>
            </w:tcMar>
            <w:vAlign w:val="center"/>
            <w:shd w:fill="F5F8F7"/>
          </w:tcPr>
          <w:p>
            <w:pPr>
              <w:spacing w:after="0" w:line="247" w:lineRule="auto"/>
            </w:pPr>
            <w:r>
              <w:rPr>
                <w:sz w:val="16"/>
              </w:rPr>
              <w:t>Operación</w:t>
            </w:r>
          </w:p>
        </w:tc>
        <w:tc>
          <w:tcPr>
            <w:tcW w:type="dxa" w:w="3384"/>
            <w:tcMar>
              <w:top w:w="90" w:type="dxa"/>
              <w:start w:w="110" w:type="dxa"/>
              <w:bottom w:w="90" w:type="dxa"/>
              <w:end w:w="110" w:type="dxa"/>
            </w:tcMar>
            <w:vAlign w:val="center"/>
            <w:shd w:fill="F5F8F7"/>
          </w:tcPr>
          <w:p>
            <w:pPr>
              <w:spacing w:after="0" w:line="247" w:lineRule="auto"/>
            </w:pPr>
            <w:r>
              <w:rPr>
                <w:sz w:val="16"/>
              </w:rPr>
              <w:t>Power Platform Admin Center y políticas</w:t>
            </w:r>
          </w:p>
        </w:tc>
        <w:tc>
          <w:tcPr>
            <w:tcW w:type="dxa" w:w="4464"/>
            <w:tcMar>
              <w:top w:w="90" w:type="dxa"/>
              <w:start w:w="110" w:type="dxa"/>
              <w:bottom w:w="90" w:type="dxa"/>
              <w:end w:w="110" w:type="dxa"/>
            </w:tcMar>
            <w:vAlign w:val="center"/>
            <w:shd w:fill="F5F8F7"/>
          </w:tcPr>
          <w:p>
            <w:pPr>
              <w:spacing w:after="0" w:line="247" w:lineRule="auto"/>
            </w:pPr>
            <w:r>
              <w:rPr>
                <w:sz w:val="16"/>
              </w:rPr>
              <w:t>Se requieren administradores con conocimiento específico.</w:t>
            </w:r>
          </w:p>
        </w:tc>
      </w:tr>
      <w:tr>
        <w:tc>
          <w:tcPr>
            <w:tcW w:type="dxa" w:w="1728"/>
            <w:tcMar>
              <w:top w:w="90" w:type="dxa"/>
              <w:start w:w="110" w:type="dxa"/>
              <w:bottom w:w="90" w:type="dxa"/>
              <w:end w:w="110" w:type="dxa"/>
            </w:tcMar>
            <w:vAlign w:val="center"/>
          </w:tcPr>
          <w:p>
            <w:pPr>
              <w:spacing w:after="0" w:line="247" w:lineRule="auto"/>
            </w:pPr>
            <w:r>
              <w:rPr>
                <w:sz w:val="16"/>
              </w:rPr>
              <w:t>Comercial</w:t>
            </w:r>
          </w:p>
        </w:tc>
        <w:tc>
          <w:tcPr>
            <w:tcW w:type="dxa" w:w="3384"/>
            <w:tcMar>
              <w:top w:w="90" w:type="dxa"/>
              <w:start w:w="110" w:type="dxa"/>
              <w:bottom w:w="90" w:type="dxa"/>
              <w:end w:w="110" w:type="dxa"/>
            </w:tcMar>
            <w:vAlign w:val="center"/>
          </w:tcPr>
          <w:p>
            <w:pPr>
              <w:spacing w:after="0" w:line="247" w:lineRule="auto"/>
            </w:pPr>
            <w:r>
              <w:rPr>
                <w:sz w:val="16"/>
              </w:rPr>
              <w:t>Cambios de precio, planes y derechos</w:t>
            </w:r>
          </w:p>
        </w:tc>
        <w:tc>
          <w:tcPr>
            <w:tcW w:type="dxa" w:w="4464"/>
            <w:tcMar>
              <w:top w:w="90" w:type="dxa"/>
              <w:start w:w="110" w:type="dxa"/>
              <w:bottom w:w="90" w:type="dxa"/>
              <w:end w:w="110" w:type="dxa"/>
            </w:tcMar>
            <w:vAlign w:val="center"/>
          </w:tcPr>
          <w:p>
            <w:pPr>
              <w:spacing w:after="0" w:line="247" w:lineRule="auto"/>
            </w:pPr>
            <w:r>
              <w:rPr>
                <w:sz w:val="16"/>
              </w:rPr>
              <w:t>Un cambio de licencia puede afectar usuarios, entornos o capacidades.</w:t>
            </w:r>
          </w:p>
        </w:tc>
      </w:tr>
    </w:tbl>
    <w:p>
      <w:pPr>
        <w:spacing w:after="20"/>
      </w:pPr>
    </w:p>
    <w:p>
      <w:pPr>
        <w:spacing w:after="100"/>
      </w:pPr>
      <w:r>
        <w:rPr>
          <w:i w:val="0"/>
        </w:rPr>
        <w:t>La mitigación no elimina la dependencia, pero evita que sea descontrolada: nomenclatura y diccionario de datos; soluciones y código fuente; documentación de fórmulas y flujos; APIs bien delimitadas; exportaciones periódicas; modelo de datos independiente del diseño de pantallas; y revisión anual de costos/licencias.</w:t>
      </w:r>
    </w:p>
    <w:p>
      <w:pPr>
        <w:pStyle w:val="Heading1"/>
        <w:keepNext/>
      </w:pPr>
      <w:r>
        <w:t>13. Plan de validación antes de producción</w:t>
      </w:r>
    </w:p>
    <w:p>
      <w:pPr>
        <w:pStyle w:val="ListNumber"/>
        <w:spacing w:after="60"/>
      </w:pPr>
      <w:r>
        <w:t>Confirmar licencias permanentes y capacidad mediante reportes del tenant; excluir Trial y Developer de la proyección productiva.</w:t>
      </w:r>
    </w:p>
    <w:p>
      <w:pPr>
        <w:pStyle w:val="ListNumber"/>
        <w:spacing w:after="60"/>
      </w:pPr>
      <w:r>
        <w:t>Crear entornos Desarrollo, Pruebas/UAT y Producción, con Solutions y pipeline de despliegue.</w:t>
      </w:r>
    </w:p>
    <w:p>
      <w:pPr>
        <w:pStyle w:val="ListNumber"/>
        <w:spacing w:after="60"/>
      </w:pPr>
      <w:r>
        <w:t>Implementar un piloto con Organización, Terceros e Inventarios, incluyendo relaciones y documentos SharePoint.</w:t>
      </w:r>
    </w:p>
    <w:p>
      <w:pPr>
        <w:pStyle w:val="ListNumber"/>
        <w:spacing w:after="60"/>
      </w:pPr>
      <w:r>
        <w:t>Cargar datos sintéticos o anonimizados por encima de 10.000 terceros y 50.000 movimientos para descubrir problemas de delegación.</w:t>
      </w:r>
    </w:p>
    <w:p>
      <w:pPr>
        <w:pStyle w:val="ListNumber"/>
        <w:spacing w:after="60"/>
      </w:pPr>
      <w:r>
        <w:t>Configurar temporalmente el límite de filas no delegables en 1 durante QA; toda consulta que falle debe corregirse.</w:t>
      </w:r>
    </w:p>
    <w:p>
      <w:pPr>
        <w:pStyle w:val="ListNumber"/>
        <w:spacing w:after="60"/>
      </w:pPr>
      <w:r>
        <w:t>Instrumentar Power Apps Monitor, App Checker, Dataverse Analytics y analítica de Power Automate.</w:t>
      </w:r>
    </w:p>
    <w:p>
      <w:pPr>
        <w:pStyle w:val="ListNumber"/>
        <w:spacing w:after="60"/>
      </w:pPr>
      <w:r>
        <w:t>Simular 50 sesiones concurrentes y ejecutar aperturas, filtros, cambios de pestañas, guardados y descargas.</w:t>
      </w:r>
    </w:p>
    <w:p>
      <w:pPr>
        <w:pStyle w:val="ListNumber"/>
        <w:spacing w:after="60"/>
      </w:pPr>
      <w:r>
        <w:t>Probar desde las redes y sedes reales, no solamente desde una conexión rápida de desarrollo.</w:t>
      </w:r>
    </w:p>
    <w:p>
      <w:pPr>
        <w:pStyle w:val="ListNumber"/>
        <w:spacing w:after="60"/>
      </w:pPr>
      <w:r>
        <w:t>Medir solicitudes por operación, latencia P75/P95, errores 429, consumo de flujos y crecimiento de capacidad.</w:t>
      </w:r>
    </w:p>
    <w:p>
      <w:pPr>
        <w:pStyle w:val="ListNumber"/>
        <w:spacing w:after="60"/>
      </w:pPr>
      <w:r>
        <w:t>Realizar pruebas de seguridad, segregación de funciones, exportación, auditoría, restauración y continuidad.</w:t>
      </w:r>
    </w:p>
    <w:p>
      <w:pPr>
        <w:pStyle w:val="Heading2"/>
        <w:keepNext/>
      </w:pPr>
      <w:r>
        <w:t>13.1 Puertas de aprobación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72"/>
            <w:shd w:fill="173F3D"/>
            <w:tcMar>
              <w:top w:w="100" w:type="dxa"/>
              <w:start w:w="110" w:type="dxa"/>
              <w:bottom w:w="100" w:type="dxa"/>
              <w:end w:w="110" w:type="dxa"/>
            </w:tcMar>
            <w:vAlign w:val="center"/>
          </w:tcPr>
          <w:p>
            <w:pPr>
              <w:spacing w:after="0"/>
              <w:jc w:val="center"/>
            </w:pPr>
            <w:r>
              <w:rPr>
                <w:b/>
                <w:color w:val="FFFFFF"/>
                <w:sz w:val="17"/>
              </w:rPr>
              <w:t>Puerta</w:t>
            </w:r>
          </w:p>
        </w:tc>
        <w:tc>
          <w:tcPr>
            <w:tcW w:type="dxa" w:w="7704"/>
            <w:shd w:fill="173F3D"/>
            <w:tcMar>
              <w:top w:w="100" w:type="dxa"/>
              <w:start w:w="110" w:type="dxa"/>
              <w:bottom w:w="100" w:type="dxa"/>
              <w:end w:w="110" w:type="dxa"/>
            </w:tcMar>
            <w:vAlign w:val="center"/>
          </w:tcPr>
          <w:p>
            <w:pPr>
              <w:spacing w:after="0"/>
              <w:jc w:val="center"/>
            </w:pPr>
            <w:r>
              <w:rPr>
                <w:b/>
                <w:color w:val="FFFFFF"/>
                <w:sz w:val="17"/>
              </w:rPr>
              <w:t>Condición para aprobar</w:t>
            </w:r>
          </w:p>
        </w:tc>
      </w:tr>
      <w:tr>
        <w:tc>
          <w:tcPr>
            <w:tcW w:type="dxa" w:w="1872"/>
            <w:tcMar>
              <w:top w:w="90" w:type="dxa"/>
              <w:start w:w="110" w:type="dxa"/>
              <w:bottom w:w="90" w:type="dxa"/>
              <w:end w:w="110" w:type="dxa"/>
            </w:tcMar>
            <w:vAlign w:val="center"/>
          </w:tcPr>
          <w:p>
            <w:pPr>
              <w:spacing w:after="0" w:line="247" w:lineRule="auto"/>
            </w:pPr>
            <w:r>
              <w:rPr>
                <w:sz w:val="17"/>
              </w:rPr>
              <w:t>Licencia</w:t>
            </w:r>
          </w:p>
        </w:tc>
        <w:tc>
          <w:tcPr>
            <w:tcW w:type="dxa" w:w="7704"/>
            <w:tcMar>
              <w:top w:w="90" w:type="dxa"/>
              <w:start w:w="110" w:type="dxa"/>
              <w:bottom w:w="90" w:type="dxa"/>
              <w:end w:w="110" w:type="dxa"/>
            </w:tcMar>
            <w:vAlign w:val="center"/>
          </w:tcPr>
          <w:p>
            <w:pPr>
              <w:spacing w:after="0" w:line="247" w:lineRule="auto"/>
            </w:pPr>
            <w:r>
              <w:rPr>
                <w:sz w:val="17"/>
              </w:rPr>
              <w:t>100 % de usuarios objetivo con derecho permanente y costo contractual confirmado.</w:t>
            </w:r>
          </w:p>
        </w:tc>
      </w:tr>
      <w:tr>
        <w:tc>
          <w:tcPr>
            <w:tcW w:type="dxa" w:w="1872"/>
            <w:tcMar>
              <w:top w:w="90" w:type="dxa"/>
              <w:start w:w="110" w:type="dxa"/>
              <w:bottom w:w="90" w:type="dxa"/>
              <w:end w:w="110" w:type="dxa"/>
            </w:tcMar>
            <w:vAlign w:val="center"/>
            <w:shd w:fill="F5F8F7"/>
          </w:tcPr>
          <w:p>
            <w:pPr>
              <w:spacing w:after="0" w:line="247" w:lineRule="auto"/>
            </w:pPr>
            <w:r>
              <w:rPr>
                <w:sz w:val="17"/>
              </w:rPr>
              <w:t>Exactitud</w:t>
            </w:r>
          </w:p>
        </w:tc>
        <w:tc>
          <w:tcPr>
            <w:tcW w:type="dxa" w:w="7704"/>
            <w:tcMar>
              <w:top w:w="90" w:type="dxa"/>
              <w:start w:w="110" w:type="dxa"/>
              <w:bottom w:w="90" w:type="dxa"/>
              <w:end w:w="110" w:type="dxa"/>
            </w:tcMar>
            <w:vAlign w:val="center"/>
            <w:shd w:fill="F5F8F7"/>
          </w:tcPr>
          <w:p>
            <w:pPr>
              <w:spacing w:after="0" w:line="247" w:lineRule="auto"/>
            </w:pPr>
            <w:r>
              <w:rPr>
                <w:sz w:val="17"/>
              </w:rPr>
              <w:t>Cero consultas críticas no delegables y resultados completos con volúmenes superiores a producción inicial.</w:t>
            </w:r>
          </w:p>
        </w:tc>
      </w:tr>
      <w:tr>
        <w:tc>
          <w:tcPr>
            <w:tcW w:type="dxa" w:w="1872"/>
            <w:tcMar>
              <w:top w:w="90" w:type="dxa"/>
              <w:start w:w="110" w:type="dxa"/>
              <w:bottom w:w="90" w:type="dxa"/>
              <w:end w:w="110" w:type="dxa"/>
            </w:tcMar>
            <w:vAlign w:val="center"/>
          </w:tcPr>
          <w:p>
            <w:pPr>
              <w:spacing w:after="0" w:line="247" w:lineRule="auto"/>
            </w:pPr>
            <w:r>
              <w:rPr>
                <w:sz w:val="17"/>
              </w:rPr>
              <w:t>Rendimiento</w:t>
            </w:r>
          </w:p>
        </w:tc>
        <w:tc>
          <w:tcPr>
            <w:tcW w:type="dxa" w:w="7704"/>
            <w:tcMar>
              <w:top w:w="90" w:type="dxa"/>
              <w:start w:w="110" w:type="dxa"/>
              <w:bottom w:w="90" w:type="dxa"/>
              <w:end w:w="110" w:type="dxa"/>
            </w:tcMar>
            <w:vAlign w:val="center"/>
          </w:tcPr>
          <w:p>
            <w:pPr>
              <w:spacing w:after="0" w:line="247" w:lineRule="auto"/>
            </w:pPr>
            <w:r>
              <w:rPr>
                <w:sz w:val="17"/>
              </w:rPr>
              <w:t>Cumplimiento de objetivos P75/P95 en escenario de 50 sesiones.</w:t>
            </w:r>
          </w:p>
        </w:tc>
      </w:tr>
      <w:tr>
        <w:tc>
          <w:tcPr>
            <w:tcW w:type="dxa" w:w="1872"/>
            <w:tcMar>
              <w:top w:w="90" w:type="dxa"/>
              <w:start w:w="110" w:type="dxa"/>
              <w:bottom w:w="90" w:type="dxa"/>
              <w:end w:w="110" w:type="dxa"/>
            </w:tcMar>
            <w:vAlign w:val="center"/>
            <w:shd w:fill="F5F8F7"/>
          </w:tcPr>
          <w:p>
            <w:pPr>
              <w:spacing w:after="0" w:line="247" w:lineRule="auto"/>
            </w:pPr>
            <w:r>
              <w:rPr>
                <w:sz w:val="17"/>
              </w:rPr>
              <w:t>Capacidad</w:t>
            </w:r>
          </w:p>
        </w:tc>
        <w:tc>
          <w:tcPr>
            <w:tcW w:type="dxa" w:w="7704"/>
            <w:tcMar>
              <w:top w:w="90" w:type="dxa"/>
              <w:start w:w="110" w:type="dxa"/>
              <w:bottom w:w="90" w:type="dxa"/>
              <w:end w:w="110" w:type="dxa"/>
            </w:tcMar>
            <w:vAlign w:val="center"/>
            <w:shd w:fill="F5F8F7"/>
          </w:tcPr>
          <w:p>
            <w:pPr>
              <w:spacing w:after="0" w:line="247" w:lineRule="auto"/>
            </w:pPr>
            <w:r>
              <w:rPr>
                <w:sz w:val="17"/>
              </w:rPr>
              <w:t>Margen ≥30 % en Database, File y Log después del piloto y proyección de 12 meses.</w:t>
            </w:r>
          </w:p>
        </w:tc>
      </w:tr>
      <w:tr>
        <w:tc>
          <w:tcPr>
            <w:tcW w:type="dxa" w:w="1872"/>
            <w:tcMar>
              <w:top w:w="90" w:type="dxa"/>
              <w:start w:w="110" w:type="dxa"/>
              <w:bottom w:w="90" w:type="dxa"/>
              <w:end w:w="110" w:type="dxa"/>
            </w:tcMar>
            <w:vAlign w:val="center"/>
          </w:tcPr>
          <w:p>
            <w:pPr>
              <w:spacing w:after="0" w:line="247" w:lineRule="auto"/>
            </w:pPr>
            <w:r>
              <w:rPr>
                <w:sz w:val="17"/>
              </w:rPr>
              <w:t>Seguridad</w:t>
            </w:r>
          </w:p>
        </w:tc>
        <w:tc>
          <w:tcPr>
            <w:tcW w:type="dxa" w:w="7704"/>
            <w:tcMar>
              <w:top w:w="90" w:type="dxa"/>
              <w:start w:w="110" w:type="dxa"/>
              <w:bottom w:w="90" w:type="dxa"/>
              <w:end w:w="110" w:type="dxa"/>
            </w:tcMar>
            <w:vAlign w:val="center"/>
          </w:tcPr>
          <w:p>
            <w:pPr>
              <w:spacing w:after="0" w:line="247" w:lineRule="auto"/>
            </w:pPr>
            <w:r>
              <w:rPr>
                <w:sz w:val="17"/>
              </w:rPr>
              <w:t>Roles aprobados, DLP activa, MFA y auditoría selectiva.</w:t>
            </w:r>
          </w:p>
        </w:tc>
      </w:tr>
      <w:tr>
        <w:tc>
          <w:tcPr>
            <w:tcW w:type="dxa" w:w="1872"/>
            <w:tcMar>
              <w:top w:w="90" w:type="dxa"/>
              <w:start w:w="110" w:type="dxa"/>
              <w:bottom w:w="90" w:type="dxa"/>
              <w:end w:w="110" w:type="dxa"/>
            </w:tcMar>
            <w:vAlign w:val="center"/>
            <w:shd w:fill="F5F8F7"/>
          </w:tcPr>
          <w:p>
            <w:pPr>
              <w:spacing w:after="0" w:line="247" w:lineRule="auto"/>
            </w:pPr>
            <w:r>
              <w:rPr>
                <w:sz w:val="17"/>
              </w:rPr>
              <w:t>Operación</w:t>
            </w:r>
          </w:p>
        </w:tc>
        <w:tc>
          <w:tcPr>
            <w:tcW w:type="dxa" w:w="7704"/>
            <w:tcMar>
              <w:top w:w="90" w:type="dxa"/>
              <w:start w:w="110" w:type="dxa"/>
              <w:bottom w:w="90" w:type="dxa"/>
              <w:end w:w="110" w:type="dxa"/>
            </w:tcMar>
            <w:vAlign w:val="center"/>
            <w:shd w:fill="F5F8F7"/>
          </w:tcPr>
          <w:p>
            <w:pPr>
              <w:spacing w:after="0" w:line="247" w:lineRule="auto"/>
            </w:pPr>
            <w:r>
              <w:rPr>
                <w:sz w:val="17"/>
              </w:rPr>
              <w:t>Propietarios, soporte, monitoreo, backups y procedimiento de despliegue definidos.</w:t>
            </w:r>
          </w:p>
        </w:tc>
      </w:tr>
      <w:tr>
        <w:tc>
          <w:tcPr>
            <w:tcW w:type="dxa" w:w="1872"/>
            <w:tcMar>
              <w:top w:w="90" w:type="dxa"/>
              <w:start w:w="110" w:type="dxa"/>
              <w:bottom w:w="90" w:type="dxa"/>
              <w:end w:w="110" w:type="dxa"/>
            </w:tcMar>
            <w:vAlign w:val="center"/>
          </w:tcPr>
          <w:p>
            <w:pPr>
              <w:spacing w:after="0" w:line="247" w:lineRule="auto"/>
            </w:pPr>
            <w:r>
              <w:rPr>
                <w:sz w:val="17"/>
              </w:rPr>
              <w:t>Power BI</w:t>
            </w:r>
          </w:p>
        </w:tc>
        <w:tc>
          <w:tcPr>
            <w:tcW w:type="dxa" w:w="7704"/>
            <w:tcMar>
              <w:top w:w="90" w:type="dxa"/>
              <w:start w:w="110" w:type="dxa"/>
              <w:bottom w:w="90" w:type="dxa"/>
              <w:end w:w="110" w:type="dxa"/>
            </w:tcMar>
            <w:vAlign w:val="center"/>
          </w:tcPr>
          <w:p>
            <w:pPr>
              <w:spacing w:after="0" w:line="247" w:lineRule="auto"/>
            </w:pPr>
            <w:r>
              <w:rPr>
                <w:sz w:val="17"/>
              </w:rPr>
              <w:t>Licencias/capacidad y estrategia Import/DirectQuery confirmadas.</w:t>
            </w:r>
          </w:p>
        </w:tc>
      </w:tr>
    </w:tbl>
    <w:p>
      <w:pPr>
        <w:spacing w:after="20"/>
      </w:pPr>
    </w:p>
    <w:p>
      <w:pPr>
        <w:pStyle w:val="Heading1"/>
        <w:keepNext/>
      </w:pPr>
      <w:r>
        <w:t>14. Matriz de riesgos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880"/>
            <w:shd w:fill="173F3D"/>
            <w:tcMar>
              <w:top w:w="100" w:type="dxa"/>
              <w:start w:w="110" w:type="dxa"/>
              <w:bottom w:w="100" w:type="dxa"/>
              <w:end w:w="110" w:type="dxa"/>
            </w:tcMar>
            <w:vAlign w:val="center"/>
          </w:tcPr>
          <w:p>
            <w:pPr>
              <w:spacing w:after="0"/>
              <w:jc w:val="center"/>
            </w:pPr>
            <w:r>
              <w:rPr>
                <w:b/>
                <w:color w:val="FFFFFF"/>
                <w:sz w:val="15"/>
              </w:rPr>
              <w:t>Riesgo</w:t>
            </w:r>
          </w:p>
        </w:tc>
        <w:tc>
          <w:tcPr>
            <w:tcW w:type="dxa" w:w="1008"/>
            <w:shd w:fill="173F3D"/>
            <w:tcMar>
              <w:top w:w="100" w:type="dxa"/>
              <w:start w:w="110" w:type="dxa"/>
              <w:bottom w:w="100" w:type="dxa"/>
              <w:end w:w="110" w:type="dxa"/>
            </w:tcMar>
            <w:vAlign w:val="center"/>
          </w:tcPr>
          <w:p>
            <w:pPr>
              <w:spacing w:after="0"/>
              <w:jc w:val="center"/>
            </w:pPr>
            <w:r>
              <w:rPr>
                <w:b/>
                <w:color w:val="FFFFFF"/>
                <w:sz w:val="15"/>
              </w:rPr>
              <w:t>Prob.</w:t>
            </w:r>
          </w:p>
        </w:tc>
        <w:tc>
          <w:tcPr>
            <w:tcW w:type="dxa" w:w="1152"/>
            <w:shd w:fill="173F3D"/>
            <w:tcMar>
              <w:top w:w="100" w:type="dxa"/>
              <w:start w:w="110" w:type="dxa"/>
              <w:bottom w:w="100" w:type="dxa"/>
              <w:end w:w="110" w:type="dxa"/>
            </w:tcMar>
            <w:vAlign w:val="center"/>
          </w:tcPr>
          <w:p>
            <w:pPr>
              <w:spacing w:after="0"/>
              <w:jc w:val="center"/>
            </w:pPr>
            <w:r>
              <w:rPr>
                <w:b/>
                <w:color w:val="FFFFFF"/>
                <w:sz w:val="15"/>
              </w:rPr>
              <w:t>Impacto</w:t>
            </w:r>
          </w:p>
        </w:tc>
        <w:tc>
          <w:tcPr>
            <w:tcW w:type="dxa" w:w="4536"/>
            <w:shd w:fill="173F3D"/>
            <w:tcMar>
              <w:top w:w="100" w:type="dxa"/>
              <w:start w:w="110" w:type="dxa"/>
              <w:bottom w:w="100" w:type="dxa"/>
              <w:end w:w="110" w:type="dxa"/>
            </w:tcMar>
            <w:vAlign w:val="center"/>
          </w:tcPr>
          <w:p>
            <w:pPr>
              <w:spacing w:after="0"/>
              <w:jc w:val="center"/>
            </w:pPr>
            <w:r>
              <w:rPr>
                <w:b/>
                <w:color w:val="FFFFFF"/>
                <w:sz w:val="15"/>
              </w:rPr>
              <w:t>Tratamiento</w:t>
            </w:r>
          </w:p>
        </w:tc>
      </w:tr>
      <w:tr>
        <w:tc>
          <w:tcPr>
            <w:tcW w:type="dxa" w:w="2880"/>
            <w:tcMar>
              <w:top w:w="90" w:type="dxa"/>
              <w:start w:w="110" w:type="dxa"/>
              <w:bottom w:w="90" w:type="dxa"/>
              <w:end w:w="110" w:type="dxa"/>
            </w:tcMar>
            <w:vAlign w:val="center"/>
          </w:tcPr>
          <w:p>
            <w:pPr>
              <w:spacing w:after="0" w:line="247" w:lineRule="auto"/>
            </w:pPr>
            <w:r>
              <w:rPr>
                <w:sz w:val="15"/>
              </w:rPr>
              <w:t>Trial expira o usuario no está licenciado</w:t>
            </w:r>
          </w:p>
        </w:tc>
        <w:tc>
          <w:tcPr>
            <w:tcW w:type="dxa" w:w="1008"/>
            <w:tcMar>
              <w:top w:w="90" w:type="dxa"/>
              <w:start w:w="110" w:type="dxa"/>
              <w:bottom w:w="90" w:type="dxa"/>
              <w:end w:w="110" w:type="dxa"/>
            </w:tcMar>
            <w:vAlign w:val="center"/>
          </w:tcPr>
          <w:p>
            <w:pPr>
              <w:spacing w:after="0" w:line="247" w:lineRule="auto"/>
            </w:pPr>
            <w:r>
              <w:rPr>
                <w:sz w:val="15"/>
              </w:rPr>
              <w:t>Alta</w:t>
            </w:r>
          </w:p>
        </w:tc>
        <w:tc>
          <w:tcPr>
            <w:tcW w:type="dxa" w:w="1152"/>
            <w:tcMar>
              <w:top w:w="90" w:type="dxa"/>
              <w:start w:w="110" w:type="dxa"/>
              <w:bottom w:w="90" w:type="dxa"/>
              <w:end w:w="110" w:type="dxa"/>
            </w:tcMar>
            <w:vAlign w:val="center"/>
          </w:tcPr>
          <w:p>
            <w:pPr>
              <w:spacing w:after="0" w:line="247" w:lineRule="auto"/>
            </w:pPr>
            <w:r>
              <w:rPr>
                <w:sz w:val="15"/>
              </w:rPr>
              <w:t>Crítico</w:t>
            </w:r>
          </w:p>
        </w:tc>
        <w:tc>
          <w:tcPr>
            <w:tcW w:type="dxa" w:w="4536"/>
            <w:tcMar>
              <w:top w:w="90" w:type="dxa"/>
              <w:start w:w="110" w:type="dxa"/>
              <w:bottom w:w="90" w:type="dxa"/>
              <w:end w:w="110" w:type="dxa"/>
            </w:tcMar>
            <w:vAlign w:val="center"/>
          </w:tcPr>
          <w:p>
            <w:pPr>
              <w:spacing w:after="0" w:line="247" w:lineRule="auto"/>
            </w:pPr>
            <w:r>
              <w:rPr>
                <w:sz w:val="15"/>
              </w:rPr>
              <w:t>Auditoría contractual antes de producción.</w:t>
            </w:r>
          </w:p>
        </w:tc>
      </w:tr>
      <w:tr>
        <w:tc>
          <w:tcPr>
            <w:tcW w:type="dxa" w:w="2880"/>
            <w:tcMar>
              <w:top w:w="90" w:type="dxa"/>
              <w:start w:w="110" w:type="dxa"/>
              <w:bottom w:w="90" w:type="dxa"/>
              <w:end w:w="110" w:type="dxa"/>
            </w:tcMar>
            <w:vAlign w:val="center"/>
            <w:shd w:fill="F5F8F7"/>
          </w:tcPr>
          <w:p>
            <w:pPr>
              <w:spacing w:after="0" w:line="247" w:lineRule="auto"/>
            </w:pPr>
            <w:r>
              <w:rPr>
                <w:sz w:val="15"/>
              </w:rPr>
              <w:t>Filtro no delegable omite registros</w:t>
            </w:r>
          </w:p>
        </w:tc>
        <w:tc>
          <w:tcPr>
            <w:tcW w:type="dxa" w:w="1008"/>
            <w:tcMar>
              <w:top w:w="90" w:type="dxa"/>
              <w:start w:w="110" w:type="dxa"/>
              <w:bottom w:w="90" w:type="dxa"/>
              <w:end w:w="110" w:type="dxa"/>
            </w:tcMar>
            <w:vAlign w:val="center"/>
            <w:shd w:fill="F5F8F7"/>
          </w:tcPr>
          <w:p>
            <w:pPr>
              <w:spacing w:after="0" w:line="247" w:lineRule="auto"/>
            </w:pPr>
            <w:r>
              <w:rPr>
                <w:sz w:val="15"/>
              </w:rPr>
              <w:t>Alta</w:t>
            </w:r>
          </w:p>
        </w:tc>
        <w:tc>
          <w:tcPr>
            <w:tcW w:type="dxa" w:w="1152"/>
            <w:tcMar>
              <w:top w:w="90" w:type="dxa"/>
              <w:start w:w="110" w:type="dxa"/>
              <w:bottom w:w="90" w:type="dxa"/>
              <w:end w:w="110" w:type="dxa"/>
            </w:tcMar>
            <w:vAlign w:val="center"/>
            <w:shd w:fill="F5F8F7"/>
          </w:tcPr>
          <w:p>
            <w:pPr>
              <w:spacing w:after="0" w:line="247" w:lineRule="auto"/>
            </w:pPr>
            <w:r>
              <w:rPr>
                <w:sz w:val="15"/>
              </w:rPr>
              <w:t>Crítico</w:t>
            </w:r>
          </w:p>
        </w:tc>
        <w:tc>
          <w:tcPr>
            <w:tcW w:type="dxa" w:w="4536"/>
            <w:tcMar>
              <w:top w:w="90" w:type="dxa"/>
              <w:start w:w="110" w:type="dxa"/>
              <w:bottom w:w="90" w:type="dxa"/>
              <w:end w:w="110" w:type="dxa"/>
            </w:tcMar>
            <w:vAlign w:val="center"/>
            <w:shd w:fill="F5F8F7"/>
          </w:tcPr>
          <w:p>
            <w:pPr>
              <w:spacing w:after="0" w:line="247" w:lineRule="auto"/>
            </w:pPr>
            <w:r>
              <w:rPr>
                <w:sz w:val="15"/>
              </w:rPr>
              <w:t>Estándar de fórmulas, QA con &gt;2.000 filas y límite en 1.</w:t>
            </w:r>
          </w:p>
        </w:tc>
      </w:tr>
      <w:tr>
        <w:tc>
          <w:tcPr>
            <w:tcW w:type="dxa" w:w="2880"/>
            <w:tcMar>
              <w:top w:w="90" w:type="dxa"/>
              <w:start w:w="110" w:type="dxa"/>
              <w:bottom w:w="90" w:type="dxa"/>
              <w:end w:w="110" w:type="dxa"/>
            </w:tcMar>
            <w:vAlign w:val="center"/>
          </w:tcPr>
          <w:p>
            <w:pPr>
              <w:spacing w:after="0" w:line="247" w:lineRule="auto"/>
            </w:pPr>
            <w:r>
              <w:rPr>
                <w:sz w:val="15"/>
              </w:rPr>
              <w:t>Canvas monolítica se vuelve lenta</w:t>
            </w:r>
          </w:p>
        </w:tc>
        <w:tc>
          <w:tcPr>
            <w:tcW w:type="dxa" w:w="1008"/>
            <w:tcMar>
              <w:top w:w="90" w:type="dxa"/>
              <w:start w:w="110" w:type="dxa"/>
              <w:bottom w:w="90" w:type="dxa"/>
              <w:end w:w="110" w:type="dxa"/>
            </w:tcMar>
            <w:vAlign w:val="center"/>
          </w:tcPr>
          <w:p>
            <w:pPr>
              <w:spacing w:after="0" w:line="247" w:lineRule="auto"/>
            </w:pPr>
            <w:r>
              <w:rPr>
                <w:sz w:val="15"/>
              </w:rPr>
              <w:t>Media</w:t>
            </w:r>
          </w:p>
        </w:tc>
        <w:tc>
          <w:tcPr>
            <w:tcW w:type="dxa" w:w="1152"/>
            <w:tcMar>
              <w:top w:w="90" w:type="dxa"/>
              <w:start w:w="110" w:type="dxa"/>
              <w:bottom w:w="90" w:type="dxa"/>
              <w:end w:w="110" w:type="dxa"/>
            </w:tcMar>
            <w:vAlign w:val="center"/>
          </w:tcPr>
          <w:p>
            <w:pPr>
              <w:spacing w:after="0" w:line="247" w:lineRule="auto"/>
            </w:pPr>
            <w:r>
              <w:rPr>
                <w:sz w:val="15"/>
              </w:rPr>
              <w:t>Alto</w:t>
            </w:r>
          </w:p>
        </w:tc>
        <w:tc>
          <w:tcPr>
            <w:tcW w:type="dxa" w:w="4536"/>
            <w:tcMar>
              <w:top w:w="90" w:type="dxa"/>
              <w:start w:w="110" w:type="dxa"/>
              <w:bottom w:w="90" w:type="dxa"/>
              <w:end w:w="110" w:type="dxa"/>
            </w:tcMar>
            <w:vAlign w:val="center"/>
          </w:tcPr>
          <w:p>
            <w:pPr>
              <w:spacing w:after="0" w:line="247" w:lineRule="auto"/>
            </w:pPr>
            <w:r>
              <w:rPr>
                <w:sz w:val="15"/>
              </w:rPr>
              <w:t>Dividir por módulos y cargar bajo demanda.</w:t>
            </w:r>
          </w:p>
        </w:tc>
      </w:tr>
      <w:tr>
        <w:tc>
          <w:tcPr>
            <w:tcW w:type="dxa" w:w="2880"/>
            <w:tcMar>
              <w:top w:w="90" w:type="dxa"/>
              <w:start w:w="110" w:type="dxa"/>
              <w:bottom w:w="90" w:type="dxa"/>
              <w:end w:w="110" w:type="dxa"/>
            </w:tcMar>
            <w:vAlign w:val="center"/>
            <w:shd w:fill="F5F8F7"/>
          </w:tcPr>
          <w:p>
            <w:pPr>
              <w:spacing w:after="0" w:line="247" w:lineRule="auto"/>
            </w:pPr>
            <w:r>
              <w:rPr>
                <w:sz w:val="15"/>
              </w:rPr>
              <w:t>Archivos agotan capacidad</w:t>
            </w:r>
          </w:p>
        </w:tc>
        <w:tc>
          <w:tcPr>
            <w:tcW w:type="dxa" w:w="1008"/>
            <w:tcMar>
              <w:top w:w="90" w:type="dxa"/>
              <w:start w:w="110" w:type="dxa"/>
              <w:bottom w:w="90" w:type="dxa"/>
              <w:end w:w="110" w:type="dxa"/>
            </w:tcMar>
            <w:vAlign w:val="center"/>
            <w:shd w:fill="F5F8F7"/>
          </w:tcPr>
          <w:p>
            <w:pPr>
              <w:spacing w:after="0" w:line="247" w:lineRule="auto"/>
            </w:pPr>
            <w:r>
              <w:rPr>
                <w:sz w:val="15"/>
              </w:rPr>
              <w:t>Alta</w:t>
            </w:r>
          </w:p>
        </w:tc>
        <w:tc>
          <w:tcPr>
            <w:tcW w:type="dxa" w:w="1152"/>
            <w:tcMar>
              <w:top w:w="90" w:type="dxa"/>
              <w:start w:w="110" w:type="dxa"/>
              <w:bottom w:w="90" w:type="dxa"/>
              <w:end w:w="110" w:type="dxa"/>
            </w:tcMar>
            <w:vAlign w:val="center"/>
            <w:shd w:fill="F5F8F7"/>
          </w:tcPr>
          <w:p>
            <w:pPr>
              <w:spacing w:after="0" w:line="247" w:lineRule="auto"/>
            </w:pPr>
            <w:r>
              <w:rPr>
                <w:sz w:val="15"/>
              </w:rPr>
              <w:t>Alto</w:t>
            </w:r>
          </w:p>
        </w:tc>
        <w:tc>
          <w:tcPr>
            <w:tcW w:type="dxa" w:w="4536"/>
            <w:tcMar>
              <w:top w:w="90" w:type="dxa"/>
              <w:start w:w="110" w:type="dxa"/>
              <w:bottom w:w="90" w:type="dxa"/>
              <w:end w:w="110" w:type="dxa"/>
            </w:tcMar>
            <w:vAlign w:val="center"/>
            <w:shd w:fill="F5F8F7"/>
          </w:tcPr>
          <w:p>
            <w:pPr>
              <w:spacing w:after="0" w:line="247" w:lineRule="auto"/>
            </w:pPr>
            <w:r>
              <w:rPr>
                <w:sz w:val="15"/>
              </w:rPr>
              <w:t>SharePoint para binarios; Dataverse para metadatos.</w:t>
            </w:r>
          </w:p>
        </w:tc>
      </w:tr>
      <w:tr>
        <w:tc>
          <w:tcPr>
            <w:tcW w:type="dxa" w:w="2880"/>
            <w:tcMar>
              <w:top w:w="90" w:type="dxa"/>
              <w:start w:w="110" w:type="dxa"/>
              <w:bottom w:w="90" w:type="dxa"/>
              <w:end w:w="110" w:type="dxa"/>
            </w:tcMar>
            <w:vAlign w:val="center"/>
          </w:tcPr>
          <w:p>
            <w:pPr>
              <w:spacing w:after="0" w:line="247" w:lineRule="auto"/>
            </w:pPr>
            <w:r>
              <w:rPr>
                <w:sz w:val="15"/>
              </w:rPr>
              <w:t>Flujos multiplican solicitudes</w:t>
            </w:r>
          </w:p>
        </w:tc>
        <w:tc>
          <w:tcPr>
            <w:tcW w:type="dxa" w:w="1008"/>
            <w:tcMar>
              <w:top w:w="90" w:type="dxa"/>
              <w:start w:w="110" w:type="dxa"/>
              <w:bottom w:w="90" w:type="dxa"/>
              <w:end w:w="110" w:type="dxa"/>
            </w:tcMar>
            <w:vAlign w:val="center"/>
          </w:tcPr>
          <w:p>
            <w:pPr>
              <w:spacing w:after="0" w:line="247" w:lineRule="auto"/>
            </w:pPr>
            <w:r>
              <w:rPr>
                <w:sz w:val="15"/>
              </w:rPr>
              <w:t>Media</w:t>
            </w:r>
          </w:p>
        </w:tc>
        <w:tc>
          <w:tcPr>
            <w:tcW w:type="dxa" w:w="1152"/>
            <w:tcMar>
              <w:top w:w="90" w:type="dxa"/>
              <w:start w:w="110" w:type="dxa"/>
              <w:bottom w:w="90" w:type="dxa"/>
              <w:end w:w="110" w:type="dxa"/>
            </w:tcMar>
            <w:vAlign w:val="center"/>
          </w:tcPr>
          <w:p>
            <w:pPr>
              <w:spacing w:after="0" w:line="247" w:lineRule="auto"/>
            </w:pPr>
            <w:r>
              <w:rPr>
                <w:sz w:val="15"/>
              </w:rPr>
              <w:t>Alto</w:t>
            </w:r>
          </w:p>
        </w:tc>
        <w:tc>
          <w:tcPr>
            <w:tcW w:type="dxa" w:w="4536"/>
            <w:tcMar>
              <w:top w:w="90" w:type="dxa"/>
              <w:start w:w="110" w:type="dxa"/>
              <w:bottom w:w="90" w:type="dxa"/>
              <w:end w:w="110" w:type="dxa"/>
            </w:tcMar>
            <w:vAlign w:val="center"/>
          </w:tcPr>
          <w:p>
            <w:pPr>
              <w:spacing w:after="0" w:line="247" w:lineRule="auto"/>
            </w:pPr>
            <w:r>
              <w:rPr>
                <w:sz w:val="15"/>
              </w:rPr>
              <w:t>Inventario de acciones, asincronía y analítica.</w:t>
            </w:r>
          </w:p>
        </w:tc>
      </w:tr>
      <w:tr>
        <w:tc>
          <w:tcPr>
            <w:tcW w:type="dxa" w:w="2880"/>
            <w:tcMar>
              <w:top w:w="90" w:type="dxa"/>
              <w:start w:w="110" w:type="dxa"/>
              <w:bottom w:w="90" w:type="dxa"/>
              <w:end w:w="110" w:type="dxa"/>
            </w:tcMar>
            <w:vAlign w:val="center"/>
            <w:shd w:fill="F5F8F7"/>
          </w:tcPr>
          <w:p>
            <w:pPr>
              <w:spacing w:after="0" w:line="247" w:lineRule="auto"/>
            </w:pPr>
            <w:r>
              <w:rPr>
                <w:sz w:val="15"/>
              </w:rPr>
              <w:t>Power BI aumenta carga o no abre</w:t>
            </w:r>
          </w:p>
        </w:tc>
        <w:tc>
          <w:tcPr>
            <w:tcW w:type="dxa" w:w="1008"/>
            <w:tcMar>
              <w:top w:w="90" w:type="dxa"/>
              <w:start w:w="110" w:type="dxa"/>
              <w:bottom w:w="90" w:type="dxa"/>
              <w:end w:w="110" w:type="dxa"/>
            </w:tcMar>
            <w:vAlign w:val="center"/>
            <w:shd w:fill="F5F8F7"/>
          </w:tcPr>
          <w:p>
            <w:pPr>
              <w:spacing w:after="0" w:line="247" w:lineRule="auto"/>
            </w:pPr>
            <w:r>
              <w:rPr>
                <w:sz w:val="15"/>
              </w:rPr>
              <w:t>Media</w:t>
            </w:r>
          </w:p>
        </w:tc>
        <w:tc>
          <w:tcPr>
            <w:tcW w:type="dxa" w:w="1152"/>
            <w:tcMar>
              <w:top w:w="90" w:type="dxa"/>
              <w:start w:w="110" w:type="dxa"/>
              <w:bottom w:w="90" w:type="dxa"/>
              <w:end w:w="110" w:type="dxa"/>
            </w:tcMar>
            <w:vAlign w:val="center"/>
            <w:shd w:fill="F5F8F7"/>
          </w:tcPr>
          <w:p>
            <w:pPr>
              <w:spacing w:after="0" w:line="247" w:lineRule="auto"/>
            </w:pPr>
            <w:r>
              <w:rPr>
                <w:sz w:val="15"/>
              </w:rPr>
              <w:t>Alto</w:t>
            </w:r>
          </w:p>
        </w:tc>
        <w:tc>
          <w:tcPr>
            <w:tcW w:type="dxa" w:w="4536"/>
            <w:tcMar>
              <w:top w:w="90" w:type="dxa"/>
              <w:start w:w="110" w:type="dxa"/>
              <w:bottom w:w="90" w:type="dxa"/>
              <w:end w:w="110" w:type="dxa"/>
            </w:tcMar>
            <w:vAlign w:val="center"/>
            <w:shd w:fill="F5F8F7"/>
          </w:tcPr>
          <w:p>
            <w:pPr>
              <w:spacing w:after="0" w:line="247" w:lineRule="auto"/>
            </w:pPr>
            <w:r>
              <w:rPr>
                <w:sz w:val="15"/>
              </w:rPr>
              <w:t>Import/aggregations y licencia de lectores.</w:t>
            </w:r>
          </w:p>
        </w:tc>
      </w:tr>
      <w:tr>
        <w:tc>
          <w:tcPr>
            <w:tcW w:type="dxa" w:w="2880"/>
            <w:tcMar>
              <w:top w:w="90" w:type="dxa"/>
              <w:start w:w="110" w:type="dxa"/>
              <w:bottom w:w="90" w:type="dxa"/>
              <w:end w:w="110" w:type="dxa"/>
            </w:tcMar>
            <w:vAlign w:val="center"/>
          </w:tcPr>
          <w:p>
            <w:pPr>
              <w:spacing w:after="0" w:line="247" w:lineRule="auto"/>
            </w:pPr>
            <w:r>
              <w:rPr>
                <w:sz w:val="15"/>
              </w:rPr>
              <w:t>Auditoría crece sin control</w:t>
            </w:r>
          </w:p>
        </w:tc>
        <w:tc>
          <w:tcPr>
            <w:tcW w:type="dxa" w:w="1008"/>
            <w:tcMar>
              <w:top w:w="90" w:type="dxa"/>
              <w:start w:w="110" w:type="dxa"/>
              <w:bottom w:w="90" w:type="dxa"/>
              <w:end w:w="110" w:type="dxa"/>
            </w:tcMar>
            <w:vAlign w:val="center"/>
          </w:tcPr>
          <w:p>
            <w:pPr>
              <w:spacing w:after="0" w:line="247" w:lineRule="auto"/>
            </w:pPr>
            <w:r>
              <w:rPr>
                <w:sz w:val="15"/>
              </w:rPr>
              <w:t>Media</w:t>
            </w:r>
          </w:p>
        </w:tc>
        <w:tc>
          <w:tcPr>
            <w:tcW w:type="dxa" w:w="1152"/>
            <w:tcMar>
              <w:top w:w="90" w:type="dxa"/>
              <w:start w:w="110" w:type="dxa"/>
              <w:bottom w:w="90" w:type="dxa"/>
              <w:end w:w="110" w:type="dxa"/>
            </w:tcMar>
            <w:vAlign w:val="center"/>
          </w:tcPr>
          <w:p>
            <w:pPr>
              <w:spacing w:after="0" w:line="247" w:lineRule="auto"/>
            </w:pPr>
            <w:r>
              <w:rPr>
                <w:sz w:val="15"/>
              </w:rPr>
              <w:t>Alto</w:t>
            </w:r>
          </w:p>
        </w:tc>
        <w:tc>
          <w:tcPr>
            <w:tcW w:type="dxa" w:w="4536"/>
            <w:tcMar>
              <w:top w:w="90" w:type="dxa"/>
              <w:start w:w="110" w:type="dxa"/>
              <w:bottom w:w="90" w:type="dxa"/>
              <w:end w:w="110" w:type="dxa"/>
            </w:tcMar>
            <w:vAlign w:val="center"/>
          </w:tcPr>
          <w:p>
            <w:pPr>
              <w:spacing w:after="0" w:line="247" w:lineRule="auto"/>
            </w:pPr>
            <w:r>
              <w:rPr>
                <w:sz w:val="15"/>
              </w:rPr>
              <w:t>Auditar campos críticos y definir retención.</w:t>
            </w:r>
          </w:p>
        </w:tc>
      </w:tr>
      <w:tr>
        <w:tc>
          <w:tcPr>
            <w:tcW w:type="dxa" w:w="2880"/>
            <w:tcMar>
              <w:top w:w="90" w:type="dxa"/>
              <w:start w:w="110" w:type="dxa"/>
              <w:bottom w:w="90" w:type="dxa"/>
              <w:end w:w="110" w:type="dxa"/>
            </w:tcMar>
            <w:vAlign w:val="center"/>
            <w:shd w:fill="F5F8F7"/>
          </w:tcPr>
          <w:p>
            <w:pPr>
              <w:spacing w:after="0" w:line="247" w:lineRule="auto"/>
            </w:pPr>
            <w:r>
              <w:rPr>
                <w:sz w:val="15"/>
              </w:rPr>
              <w:t>Dependencia de proveedor</w:t>
            </w:r>
          </w:p>
        </w:tc>
        <w:tc>
          <w:tcPr>
            <w:tcW w:type="dxa" w:w="1008"/>
            <w:tcMar>
              <w:top w:w="90" w:type="dxa"/>
              <w:start w:w="110" w:type="dxa"/>
              <w:bottom w:w="90" w:type="dxa"/>
              <w:end w:w="110" w:type="dxa"/>
            </w:tcMar>
            <w:vAlign w:val="center"/>
            <w:shd w:fill="F5F8F7"/>
          </w:tcPr>
          <w:p>
            <w:pPr>
              <w:spacing w:after="0" w:line="247" w:lineRule="auto"/>
            </w:pPr>
            <w:r>
              <w:rPr>
                <w:sz w:val="15"/>
              </w:rPr>
              <w:t>Alta</w:t>
            </w:r>
          </w:p>
        </w:tc>
        <w:tc>
          <w:tcPr>
            <w:tcW w:type="dxa" w:w="1152"/>
            <w:tcMar>
              <w:top w:w="90" w:type="dxa"/>
              <w:start w:w="110" w:type="dxa"/>
              <w:bottom w:w="90" w:type="dxa"/>
              <w:end w:w="110" w:type="dxa"/>
            </w:tcMar>
            <w:vAlign w:val="center"/>
            <w:shd w:fill="F5F8F7"/>
          </w:tcPr>
          <w:p>
            <w:pPr>
              <w:spacing w:after="0" w:line="247" w:lineRule="auto"/>
            </w:pPr>
            <w:r>
              <w:rPr>
                <w:sz w:val="15"/>
              </w:rPr>
              <w:t>Alto</w:t>
            </w:r>
          </w:p>
        </w:tc>
        <w:tc>
          <w:tcPr>
            <w:tcW w:type="dxa" w:w="4536"/>
            <w:tcMar>
              <w:top w:w="90" w:type="dxa"/>
              <w:start w:w="110" w:type="dxa"/>
              <w:bottom w:w="90" w:type="dxa"/>
              <w:end w:w="110" w:type="dxa"/>
            </w:tcMar>
            <w:vAlign w:val="center"/>
            <w:shd w:fill="F5F8F7"/>
          </w:tcPr>
          <w:p>
            <w:pPr>
              <w:spacing w:after="0" w:line="247" w:lineRule="auto"/>
            </w:pPr>
            <w:r>
              <w:rPr>
                <w:sz w:val="15"/>
              </w:rPr>
              <w:t>Documentación, ALM, exportabilidad y revisión anual.</w:t>
            </w:r>
          </w:p>
        </w:tc>
      </w:tr>
      <w:tr>
        <w:tc>
          <w:tcPr>
            <w:tcW w:type="dxa" w:w="2880"/>
            <w:tcMar>
              <w:top w:w="90" w:type="dxa"/>
              <w:start w:w="110" w:type="dxa"/>
              <w:bottom w:w="90" w:type="dxa"/>
              <w:end w:w="110" w:type="dxa"/>
            </w:tcMar>
            <w:vAlign w:val="center"/>
          </w:tcPr>
          <w:p>
            <w:pPr>
              <w:spacing w:after="0" w:line="247" w:lineRule="auto"/>
            </w:pPr>
            <w:r>
              <w:rPr>
                <w:sz w:val="15"/>
              </w:rPr>
              <w:t>Cambio DLP suspende recursos</w:t>
            </w:r>
          </w:p>
        </w:tc>
        <w:tc>
          <w:tcPr>
            <w:tcW w:type="dxa" w:w="1008"/>
            <w:tcMar>
              <w:top w:w="90" w:type="dxa"/>
              <w:start w:w="110" w:type="dxa"/>
              <w:bottom w:w="90" w:type="dxa"/>
              <w:end w:w="110" w:type="dxa"/>
            </w:tcMar>
            <w:vAlign w:val="center"/>
          </w:tcPr>
          <w:p>
            <w:pPr>
              <w:spacing w:after="0" w:line="247" w:lineRule="auto"/>
            </w:pPr>
            <w:r>
              <w:rPr>
                <w:sz w:val="15"/>
              </w:rPr>
              <w:t>Baja</w:t>
            </w:r>
          </w:p>
        </w:tc>
        <w:tc>
          <w:tcPr>
            <w:tcW w:type="dxa" w:w="1152"/>
            <w:tcMar>
              <w:top w:w="90" w:type="dxa"/>
              <w:start w:w="110" w:type="dxa"/>
              <w:bottom w:w="90" w:type="dxa"/>
              <w:end w:w="110" w:type="dxa"/>
            </w:tcMar>
            <w:vAlign w:val="center"/>
          </w:tcPr>
          <w:p>
            <w:pPr>
              <w:spacing w:after="0" w:line="247" w:lineRule="auto"/>
            </w:pPr>
            <w:r>
              <w:rPr>
                <w:sz w:val="15"/>
              </w:rPr>
              <w:t>Alto</w:t>
            </w:r>
          </w:p>
        </w:tc>
        <w:tc>
          <w:tcPr>
            <w:tcW w:type="dxa" w:w="4536"/>
            <w:tcMar>
              <w:top w:w="90" w:type="dxa"/>
              <w:start w:w="110" w:type="dxa"/>
              <w:bottom w:w="90" w:type="dxa"/>
              <w:end w:w="110" w:type="dxa"/>
            </w:tcMar>
            <w:vAlign w:val="center"/>
          </w:tcPr>
          <w:p>
            <w:pPr>
              <w:spacing w:after="0" w:line="247" w:lineRule="auto"/>
            </w:pPr>
            <w:r>
              <w:rPr>
                <w:sz w:val="15"/>
              </w:rPr>
              <w:t>Gestión de cambios y prueba de políticas.</w:t>
            </w:r>
          </w:p>
        </w:tc>
      </w:tr>
    </w:tbl>
    <w:p>
      <w:pPr>
        <w:spacing w:after="20"/>
      </w:pPr>
    </w:p>
    <w:p>
      <w:pPr>
        <w:pStyle w:val="Heading1"/>
        <w:keepNext/>
      </w:pPr>
      <w:r>
        <w:t>15. Conclusión</w:t>
      </w:r>
    </w:p>
    <w:p>
      <w:pPr>
        <w:spacing w:after="100"/>
      </w:pPr>
      <w:r>
        <w:rPr>
          <w:i w:val="0"/>
        </w:rPr>
        <w:t>Para 30–50 usuarios consultando la aplicación, Power Apps + Dataverse puede entregar tiempos rápidos y capacidad suficiente. No existe evidencia de que cinco consultas relacionadas por ficha representen un impedimento. El resultado depende de arquitectura modular, delegación completa, carga diferida, diseño de datos y monitoreo.</w:t>
      </w:r>
    </w:p>
    <w:p>
      <w:pPr>
        <w:spacing w:after="100"/>
      </w:pPr>
      <w:r>
        <w:rPr>
          <w:i w:val="0"/>
        </w:rPr>
        <w:t>El factor que puede invalidar funcionalmente la alternativa es la delegación: una aplicación visualmente correcta puede devolver información incompleta. El factor que puede invalidarla económicamente es asumir que Trial, Developer o Microsoft 365 Empresa Premium sustituyen Power Apps Premium. El factor que puede aumentar fuertemente el costo es utilizar Dataverse como repositorio masivo de documentos y auditoría.</w:t>
      </w:r>
    </w:p>
    <w:p>
      <w:pPr>
        <w:spacing w:after="100"/>
      </w:pPr>
      <w:r>
        <w:rPr>
          <w:i w:val="0"/>
        </w:rPr>
        <w:t>La recomendación es continuar únicamente hasta un piloto medido y con auditoría de licenciamiento. Si el piloto cumple exactitud, P95, capacidad, seguridad y costos, la plataforma es viable. Si requiere licenciar una población mayor, comprar capacidad recurrente significativa o aceptar limitaciones funcionales de Canvas, esos resultados deberán alimentar el segundo informe de aplicación independiente y el tercer informe comparativo.</w:t>
      </w:r>
    </w:p>
    <w:p>
      <w:pPr>
        <w:pStyle w:val="Heading1"/>
        <w:keepNext/>
      </w:pPr>
      <w:r>
        <w:t>Anexo A. Información que debe entregar el administrador</w:t>
      </w:r>
    </w:p>
    <w:p>
      <w:pPr>
        <w:pStyle w:val="ListBullet"/>
        <w:spacing w:after="60"/>
      </w:pPr>
      <w:r>
        <w:t>Exportación de Billing &gt; Licenses con SKU, cantidad comprada, asignada y fecha de vencimiento.</w:t>
      </w:r>
    </w:p>
    <w:p>
      <w:pPr>
        <w:pStyle w:val="ListBullet"/>
        <w:spacing w:after="60"/>
      </w:pPr>
      <w:r>
        <w:t>Listado de usuarios objetivo y licencias efectivas, no solo productos visibles en capturas.</w:t>
      </w:r>
    </w:p>
    <w:p>
      <w:pPr>
        <w:pStyle w:val="ListBullet"/>
        <w:spacing w:after="60"/>
      </w:pPr>
      <w:r>
        <w:t>Tipo y región de cada entorno; indicar si es Default, Trial, Developer, Sandbox, Production o Managed.</w:t>
      </w:r>
    </w:p>
    <w:p>
      <w:pPr>
        <w:pStyle w:val="ListBullet"/>
        <w:spacing w:after="60"/>
      </w:pPr>
      <w:r>
        <w:t>Capacity: total, consumida y disponible para Database, File y Log por entorno.</w:t>
      </w:r>
    </w:p>
    <w:p>
      <w:pPr>
        <w:pStyle w:val="ListBullet"/>
        <w:spacing w:after="60"/>
      </w:pPr>
      <w:r>
        <w:t>Reporte de Power Platform Requests y usuarios que requieren licencia.</w:t>
      </w:r>
    </w:p>
    <w:p>
      <w:pPr>
        <w:pStyle w:val="ListBullet"/>
        <w:spacing w:after="60"/>
      </w:pPr>
      <w:r>
        <w:t>Inventario de aplicaciones, conexiones, conectores premium, flujos y propietarios.</w:t>
      </w:r>
    </w:p>
    <w:p>
      <w:pPr>
        <w:pStyle w:val="ListBullet"/>
        <w:spacing w:after="60"/>
      </w:pPr>
      <w:r>
        <w:t>Licencias Power BI Pro/PPU y capacidades Fabric/Premium existentes.</w:t>
      </w:r>
    </w:p>
    <w:p>
      <w:pPr>
        <w:pStyle w:val="ListBullet"/>
        <w:spacing w:after="60"/>
      </w:pPr>
      <w:r>
        <w:t>Políticas DLP, acceso condicionado, retención, auditoría y grupos de seguridad.</w:t>
      </w:r>
    </w:p>
    <w:p>
      <w:pPr>
        <w:pStyle w:val="Heading1"/>
        <w:keepNext/>
      </w:pPr>
      <w:r>
        <w:t>Anexo B. Fuentes oficiales consultadas</w:t>
      </w:r>
    </w:p>
    <w:p>
      <w:pPr>
        <w:spacing w:after="60"/>
      </w:pPr>
      <w:r>
        <w:rPr>
          <w:b/>
          <w:color w:val="173F3D"/>
          <w:sz w:val="17"/>
        </w:rPr>
        <w:t xml:space="preserve">[S1] Query limitations: Delegation and query limits. </w:t>
      </w:r>
      <w:r>
        <w:rPr>
          <w:color w:val="237A78"/>
          <w:sz w:val="16"/>
        </w:rPr>
        <w:t>https://learn.microsoft.com/en-us/power-apps/maker/canvas-apps/delegation-overview</w:t>
      </w:r>
    </w:p>
    <w:p>
      <w:pPr>
        <w:spacing w:after="60"/>
      </w:pPr>
      <w:r>
        <w:rPr>
          <w:b/>
          <w:color w:val="173F3D"/>
          <w:sz w:val="17"/>
        </w:rPr>
        <w:t xml:space="preserve">[S2] Troubleshoot Power Apps Canvas App Performance Issues. </w:t>
      </w:r>
      <w:r>
        <w:rPr>
          <w:color w:val="237A78"/>
          <w:sz w:val="16"/>
        </w:rPr>
        <w:t>https://learn.microsoft.com/en-us/troubleshoot/power-platform/power-apps/canvas-app-performance/troubleshoot-perf-table</w:t>
      </w:r>
    </w:p>
    <w:p>
      <w:pPr>
        <w:spacing w:after="60"/>
      </w:pPr>
      <w:r>
        <w:rPr>
          <w:b/>
          <w:color w:val="173F3D"/>
          <w:sz w:val="17"/>
        </w:rPr>
        <w:t xml:space="preserve">[S3] Identify and mitigate canvas app performance issues. </w:t>
      </w:r>
      <w:r>
        <w:rPr>
          <w:color w:val="237A78"/>
          <w:sz w:val="16"/>
        </w:rPr>
        <w:t>https://learn.microsoft.com/en-us/power-platform/architecture/key-concepts/performance/top-issues</w:t>
      </w:r>
    </w:p>
    <w:p>
      <w:pPr>
        <w:spacing w:after="60"/>
      </w:pPr>
      <w:r>
        <w:rPr>
          <w:b/>
          <w:color w:val="173F3D"/>
          <w:sz w:val="17"/>
        </w:rPr>
        <w:t xml:space="preserve">[S4] Power Apps Developer Plan Guide. </w:t>
      </w:r>
      <w:r>
        <w:rPr>
          <w:color w:val="237A78"/>
          <w:sz w:val="16"/>
        </w:rPr>
        <w:t>https://learn.microsoft.com/en-us/power-platform/developer/plan</w:t>
      </w:r>
    </w:p>
    <w:p>
      <w:pPr>
        <w:spacing w:after="60"/>
      </w:pPr>
      <w:r>
        <w:rPr>
          <w:b/>
          <w:color w:val="173F3D"/>
          <w:sz w:val="17"/>
        </w:rPr>
        <w:t xml:space="preserve">[S5] Power Apps 30-day free trial. </w:t>
      </w:r>
      <w:r>
        <w:rPr>
          <w:color w:val="237A78"/>
          <w:sz w:val="16"/>
        </w:rPr>
        <w:t>https://learn.microsoft.com/en-us/power-apps/maker/signup-for-powerapps</w:t>
      </w:r>
    </w:p>
    <w:p>
      <w:pPr>
        <w:spacing w:after="60"/>
      </w:pPr>
      <w:r>
        <w:rPr>
          <w:b/>
          <w:color w:val="173F3D"/>
          <w:sz w:val="17"/>
        </w:rPr>
        <w:t xml:space="preserve">[S6] Collaborate using SharePoint. </w:t>
      </w:r>
      <w:r>
        <w:rPr>
          <w:color w:val="237A78"/>
          <w:sz w:val="16"/>
        </w:rPr>
        <w:t>https://learn.microsoft.com/en-us/power-apps/user/collaborate-using-sharepoint</w:t>
      </w:r>
    </w:p>
    <w:p>
      <w:pPr>
        <w:spacing w:after="60"/>
      </w:pPr>
      <w:r>
        <w:rPr>
          <w:b/>
          <w:color w:val="173F3D"/>
          <w:sz w:val="17"/>
        </w:rPr>
        <w:t xml:space="preserve">[S7] Securely embed Power BI reports and licensing. </w:t>
      </w:r>
      <w:r>
        <w:rPr>
          <w:color w:val="237A78"/>
          <w:sz w:val="16"/>
        </w:rPr>
        <w:t>https://learn.microsoft.com/en-us/power-bi/collaborate-share/service-embed-secure</w:t>
      </w:r>
    </w:p>
    <w:p>
      <w:pPr>
        <w:spacing w:after="60"/>
      </w:pPr>
      <w:r>
        <w:rPr>
          <w:b/>
          <w:color w:val="173F3D"/>
          <w:sz w:val="17"/>
        </w:rPr>
        <w:t xml:space="preserve">[S8] Establish effective application lifecycle management practices. </w:t>
      </w:r>
      <w:r>
        <w:rPr>
          <w:color w:val="237A78"/>
          <w:sz w:val="16"/>
        </w:rPr>
        <w:t>https://learn.microsoft.com/en-us/power-platform/guidance/adoption/alm</w:t>
      </w:r>
    </w:p>
    <w:p>
      <w:pPr>
        <w:spacing w:after="60"/>
      </w:pPr>
      <w:r>
        <w:rPr>
          <w:b/>
          <w:color w:val="173F3D"/>
          <w:sz w:val="17"/>
        </w:rPr>
        <w:t xml:space="preserve">[S9] Power Platform requests limits and allocations. </w:t>
      </w:r>
      <w:r>
        <w:rPr>
          <w:color w:val="237A78"/>
          <w:sz w:val="16"/>
        </w:rPr>
        <w:t>https://learn.microsoft.com/en-us/power-platform/admin/api-request-limits-allocations</w:t>
      </w:r>
    </w:p>
    <w:p>
      <w:pPr>
        <w:spacing w:after="60"/>
      </w:pPr>
      <w:r>
        <w:rPr>
          <w:b/>
          <w:color w:val="173F3D"/>
          <w:sz w:val="17"/>
        </w:rPr>
        <w:t xml:space="preserve">[S10] Dataverse API limits overview. </w:t>
      </w:r>
      <w:r>
        <w:rPr>
          <w:color w:val="237A78"/>
          <w:sz w:val="16"/>
        </w:rPr>
        <w:t>https://learn.microsoft.com/en-us/power-apps/maker/data-platform/api-limits-overview</w:t>
      </w:r>
    </w:p>
    <w:p>
      <w:pPr>
        <w:spacing w:after="60"/>
      </w:pPr>
      <w:r>
        <w:rPr>
          <w:b/>
          <w:color w:val="173F3D"/>
          <w:sz w:val="17"/>
        </w:rPr>
        <w:t xml:space="preserve">[S11] Monitor app performance. </w:t>
      </w:r>
      <w:r>
        <w:rPr>
          <w:color w:val="237A78"/>
          <w:sz w:val="16"/>
        </w:rPr>
        <w:t>https://learn.microsoft.com/en-us/power-apps/maker/common/monitor-app-performance</w:t>
      </w:r>
    </w:p>
    <w:p>
      <w:pPr>
        <w:spacing w:after="60"/>
      </w:pPr>
      <w:r>
        <w:rPr>
          <w:b/>
          <w:color w:val="173F3D"/>
          <w:sz w:val="17"/>
        </w:rPr>
        <w:t xml:space="preserve">[S12] Optimize canvas apps with complex business logic. </w:t>
      </w:r>
      <w:r>
        <w:rPr>
          <w:color w:val="237A78"/>
          <w:sz w:val="16"/>
        </w:rPr>
        <w:t>https://learn.microsoft.com/en-us/power-platform/architecture/reference-architectures/optimize-performance-canvas-apps</w:t>
      </w:r>
    </w:p>
    <w:p>
      <w:pPr>
        <w:spacing w:after="60"/>
      </w:pPr>
      <w:r>
        <w:rPr>
          <w:b/>
          <w:color w:val="173F3D"/>
          <w:sz w:val="17"/>
        </w:rPr>
        <w:t xml:space="preserve">[S13] Dataverse capacity-based storage. </w:t>
      </w:r>
      <w:r>
        <w:rPr>
          <w:color w:val="237A78"/>
          <w:sz w:val="16"/>
        </w:rPr>
        <w:t>https://learn.microsoft.com/en-us/power-platform/admin/capacity-storage</w:t>
      </w:r>
    </w:p>
    <w:p>
      <w:pPr>
        <w:spacing w:after="60"/>
      </w:pPr>
      <w:r>
        <w:rPr>
          <w:b/>
          <w:color w:val="173F3D"/>
          <w:sz w:val="17"/>
        </w:rPr>
        <w:t xml:space="preserve">[S14] Dataverse image and file column limits. </w:t>
      </w:r>
      <w:r>
        <w:rPr>
          <w:color w:val="237A78"/>
          <w:sz w:val="16"/>
        </w:rPr>
        <w:t>https://learn.microsoft.com/en-us/power-apps/developer/data-platform/image-column-data</w:t>
      </w:r>
    </w:p>
    <w:p>
      <w:pPr>
        <w:spacing w:after="60"/>
      </w:pPr>
      <w:r>
        <w:rPr>
          <w:b/>
          <w:color w:val="173F3D"/>
          <w:sz w:val="17"/>
        </w:rPr>
        <w:t xml:space="preserve">[S15] Power Apps licensing and pricing. </w:t>
      </w:r>
      <w:r>
        <w:rPr>
          <w:color w:val="237A78"/>
          <w:sz w:val="16"/>
        </w:rPr>
        <w:t>https://www.microsoft.com/en-us/power-platform/products/power-apps/pricing</w:t>
      </w:r>
    </w:p>
    <w:p>
      <w:pPr>
        <w:spacing w:after="60"/>
      </w:pPr>
      <w:r>
        <w:rPr>
          <w:b/>
          <w:color w:val="173F3D"/>
          <w:sz w:val="17"/>
        </w:rPr>
        <w:t xml:space="preserve">[S16] Power Query Dataverse connector. </w:t>
      </w:r>
      <w:r>
        <w:rPr>
          <w:color w:val="237A78"/>
          <w:sz w:val="16"/>
        </w:rPr>
        <w:t>https://learn.microsoft.com/en-us/power-query/connectors/dataverse</w:t>
      </w:r>
    </w:p>
    <w:p>
      <w:pPr>
        <w:spacing w:after="60"/>
      </w:pPr>
      <w:r>
        <w:rPr>
          <w:b/>
          <w:color w:val="173F3D"/>
          <w:sz w:val="17"/>
        </w:rPr>
        <w:t xml:space="preserve">[S17] DirectQuery considerations. </w:t>
      </w:r>
      <w:r>
        <w:rPr>
          <w:color w:val="237A78"/>
          <w:sz w:val="16"/>
        </w:rPr>
        <w:t>https://learn.microsoft.com/en-ie/power-bi/connect-data/desktop-directquery-about</w:t>
      </w:r>
    </w:p>
    <w:p>
      <w:pPr>
        <w:spacing w:after="60"/>
      </w:pPr>
      <w:r>
        <w:rPr>
          <w:b/>
          <w:color w:val="173F3D"/>
          <w:sz w:val="17"/>
        </w:rPr>
        <w:t xml:space="preserve">[S18] Power Platform data policies. </w:t>
      </w:r>
      <w:r>
        <w:rPr>
          <w:color w:val="237A78"/>
          <w:sz w:val="16"/>
        </w:rPr>
        <w:t>https://learn.microsoft.com/en-us/power-platform/admin/wp-data-loss-prevention</w:t>
      </w:r>
    </w:p>
    <w:p>
      <w:pPr>
        <w:spacing w:after="60"/>
      </w:pPr>
      <w:r>
        <w:rPr>
          <w:b/>
          <w:color w:val="173F3D"/>
          <w:sz w:val="17"/>
        </w:rPr>
        <w:t xml:space="preserve">[S19] Manage Dataverse auditing. </w:t>
      </w:r>
      <w:r>
        <w:rPr>
          <w:color w:val="237A78"/>
          <w:sz w:val="16"/>
        </w:rPr>
        <w:t>https://learn.microsoft.com/en-us/power-platform/admin/manage-dataverse-auditing</w:t>
      </w:r>
    </w:p>
    <w:p>
      <w:pPr>
        <w:spacing w:after="60"/>
      </w:pPr>
      <w:r>
        <w:rPr>
          <w:b/>
          <w:color w:val="173F3D"/>
          <w:sz w:val="17"/>
        </w:rPr>
        <w:t xml:space="preserve">[S20] Back up and restore environments. </w:t>
      </w:r>
      <w:r>
        <w:rPr>
          <w:color w:val="237A78"/>
          <w:sz w:val="16"/>
        </w:rPr>
        <w:t>https://learn.microsoft.com/es-es/power-platform/admin/backup-restore-environments</w:t>
      </w:r>
    </w:p>
    <w:p>
      <w:pPr>
        <w:spacing w:after="60"/>
      </w:pPr>
      <w:r>
        <w:rPr>
          <w:b/>
          <w:color w:val="173F3D"/>
          <w:sz w:val="17"/>
        </w:rPr>
        <w:t xml:space="preserve">[S21] Managed Environments licensing. </w:t>
      </w:r>
      <w:r>
        <w:rPr>
          <w:color w:val="237A78"/>
          <w:sz w:val="16"/>
        </w:rPr>
        <w:t>https://learn.microsoft.com/en-us/power-platform/admin/managed-environment-licensing</w:t>
      </w:r>
    </w:p>
    <w:p>
      <w:pPr>
        <w:spacing w:after="60"/>
      </w:pPr>
      <w:r>
        <w:rPr>
          <w:b/>
          <w:color w:val="173F3D"/>
          <w:sz w:val="17"/>
        </w:rPr>
        <w:t xml:space="preserve">[S22] Multiplexing licensing guidance. </w:t>
      </w:r>
      <w:r>
        <w:rPr>
          <w:color w:val="237A78"/>
          <w:sz w:val="16"/>
        </w:rPr>
        <w:t>https://www.microsoft.com/licensing/guidance/multiplexing</w:t>
      </w:r>
    </w:p>
    <w:p>
      <w:pPr>
        <w:spacing w:after="0"/>
      </w:pPr>
      <w:r>
        <w:rPr>
          <w:i/>
        </w:rPr>
        <w:t>Nota metodológica: fuentes consultadas el 5 de agosto de 2026. Los precios y derechos de licencia pueden cambiar. Los valores económicos del informe son referencias de lista y deben confirmarse mediante cotización aplicable a Colombia y al programa de organizaciones sin ánimo de lucro de Gaia Amazonas.</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6A"/>
        <w:sz w:val="17"/>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37A78"/>
        <w:sz w:val="16"/>
      </w:rPr>
      <w:t>GAIA AMAZONAS  |  Evaluación Power Apps + Dataverse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F3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37A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860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uente">
    <w:name w:val="Fuente"/>
    <w:pPr>
      <w:spacing w:before="40" w:after="120"/>
    </w:pPr>
    <w:rPr>
      <w:rFonts w:ascii="Aptos" w:hAnsi="Aptos"/>
      <w:color w:val="5F6B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técnica de Power Apps y Dataverse - Gaia Amazonas</dc:title>
  <dc:subject>Viabilidad técnica, rendimiento, capacidad, licenciamiento y dependencia tecnológica</dc:subject>
  <dc:creator>Gaia Amazonas - Evaluación técnica</dc:creator>
  <cp:keywords>Power Apps, Dataverse, Power BI, SharePoint, rendimiento, capacidad, licenciamiento</cp:keywords>
  <dc:description>generated by python-docx</dc:description>
  <cp:lastModifiedBy/>
  <cp:revision>1</cp:revision>
  <dcterms:created xsi:type="dcterms:W3CDTF">2013-12-23T23:15:00Z</dcterms:created>
  <dcterms:modified xsi:type="dcterms:W3CDTF">2013-12-23T23:15:00Z</dcterms:modified>
  <cp:category/>
</cp:coreProperties>
</file>