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约定1：LOG10(X)是指以10位底对X求对数。</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约定2：</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的最小价格单位为</w:t>
      </w:r>
      <w:r>
        <w:rPr>
          <w:rFonts w:hint="eastAsia"/>
          <w:i/>
          <w:color w:val="000000" w:themeColor="text1"/>
          <w:sz w:val="15"/>
          <w:szCs w:val="15"/>
          <w:lang w:val="en-US" w:eastAsia="zh-CN"/>
          <w14:textFill>
            <w14:solidFill>
              <w14:schemeClr w14:val="tx1"/>
            </w14:solidFill>
          </w14:textFill>
        </w:rPr>
        <w:t>u</w:t>
      </w:r>
      <w:r>
        <w:rPr>
          <w:i/>
          <w:color w:val="000000" w:themeColor="text1"/>
          <w:sz w:val="15"/>
          <w:szCs w:val="15"/>
          <w14:textFill>
            <w14:solidFill>
              <w14:schemeClr w14:val="tx1"/>
            </w14:solidFill>
          </w14:textFill>
        </w:rPr>
        <w:t>GAIA</w:t>
      </w:r>
      <w:r>
        <w:rPr>
          <w:rFonts w:hint="eastAsia"/>
          <w:i/>
          <w:color w:val="000000" w:themeColor="text1"/>
          <w:sz w:val="15"/>
          <w:szCs w:val="15"/>
          <w14:textFill>
            <w14:solidFill>
              <w14:schemeClr w14:val="tx1"/>
            </w14:solidFill>
          </w14:textFill>
        </w:rPr>
        <w:t>,换算关系如下:1</w:t>
      </w:r>
      <w:r>
        <w:rPr>
          <w:rFonts w:hint="eastAsia"/>
          <w:i/>
          <w:color w:val="000000" w:themeColor="text1"/>
          <w:sz w:val="15"/>
          <w:szCs w:val="15"/>
          <w:lang w:val="en-US" w:eastAsia="zh-CN"/>
          <w14:textFill>
            <w14:solidFill>
              <w14:schemeClr w14:val="tx1"/>
            </w14:solidFill>
          </w14:textFill>
        </w:rPr>
        <w:t>,</w:t>
      </w:r>
      <w:r>
        <w:rPr>
          <w:rFonts w:hint="eastAsia"/>
          <w:i/>
          <w:color w:val="000000" w:themeColor="text1"/>
          <w:sz w:val="15"/>
          <w:szCs w:val="15"/>
          <w14:textFill>
            <w14:solidFill>
              <w14:schemeClr w14:val="tx1"/>
            </w14:solidFill>
          </w14:textFill>
        </w:rPr>
        <w:t>000,000uGAIA = 1</w:t>
      </w:r>
      <w:r>
        <w:rPr>
          <w:i/>
          <w:color w:val="000000" w:themeColor="text1"/>
          <w:sz w:val="15"/>
          <w:szCs w:val="15"/>
          <w14:textFill>
            <w14:solidFill>
              <w14:schemeClr w14:val="tx1"/>
            </w14:solidFill>
          </w14:textFill>
        </w:rPr>
        <w:t>,</w:t>
      </w:r>
      <w:r>
        <w:rPr>
          <w:rFonts w:hint="eastAsia"/>
          <w:i/>
          <w:color w:val="000000" w:themeColor="text1"/>
          <w:sz w:val="15"/>
          <w:szCs w:val="15"/>
          <w14:textFill>
            <w14:solidFill>
              <w14:schemeClr w14:val="tx1"/>
            </w14:solidFill>
          </w14:textFill>
        </w:rPr>
        <w:t>000mGAIA = 1GAIA。</w:t>
      </w:r>
    </w:p>
    <w:p>
      <w:pPr>
        <w:rPr>
          <w:i/>
          <w:color w:val="000000" w:themeColor="text1"/>
          <w:sz w:val="15"/>
          <w:szCs w:val="15"/>
          <w14:textFill>
            <w14:solidFill>
              <w14:schemeClr w14:val="tx1"/>
            </w14:solidFill>
          </w14:textFill>
        </w:rPr>
      </w:pPr>
      <w:r>
        <w:rPr>
          <w:rFonts w:hint="eastAsia"/>
          <w:i/>
          <w:color w:val="000000" w:themeColor="text1"/>
          <w:sz w:val="15"/>
          <w:szCs w:val="15"/>
          <w14:textFill>
            <w14:solidFill>
              <w14:schemeClr w14:val="tx1"/>
            </w14:solidFill>
          </w14:textFill>
        </w:rPr>
        <w:t>简要介绍： 整个区块链是建立在一个P2P网络上的。P2P网络上的节点和节点之间只能互相广播交易消息和区块消息。区块链地址和P2P网络中的节点是2个完全不同的概念，区块链地址是区块消息中记录的一种数据。</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历史</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POW作为第一代共识机制解决了分布式系统中的共识问题。PoW(Proof of Work)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PoS(Proof of Stake)是基于链上货币计价的共识机制。PoS用持币代替了算力，能够让持币者更多的参与到挖矿过程中，而且不需要计算复杂的数学问题，避免了资源和能源的浪费。已有的POS解决方案主要分为四种：基于拜占庭容错的PoS，基于链的PoS，Pow/Pos混合,基于授权的PoS(DPoS)。基于拜占庭容错的PoS容错率较低，故障节点和恶意节点不超过矿工总数的1/3，且为了达到较短的确认时间限制了验证者的数量。基于链的PoS本质上是PoW的一个货币计价改编。PoW/PoS混合只是一个过渡方案，最终仍会被一个纯粹的PoS机制所取代。基于授权的PoS通过选举代理人达成共识，牺牲了去中心化的概念，不适合公有链。在研究了已有的PoW机制和PoS机制之后，Gaia</w:t>
      </w:r>
      <w:r>
        <w:rPr>
          <w:color w:val="000000" w:themeColor="text1"/>
          <w14:textFill>
            <w14:solidFill>
              <w14:schemeClr w14:val="tx1"/>
            </w14:solidFill>
          </w14:textFill>
        </w:rPr>
        <w:t>.World</w:t>
      </w:r>
      <w:r>
        <w:rPr>
          <w:rFonts w:hint="eastAsia"/>
          <w:color w:val="000000" w:themeColor="text1"/>
          <w14:textFill>
            <w14:solidFill>
              <w14:schemeClr w14:val="tx1"/>
            </w14:solidFill>
          </w14:textFill>
        </w:rPr>
        <w:t>提出了一个全新的PoS方案：基于竞争的PoS(CPoS)</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CPoS</w:t>
      </w:r>
    </w:p>
    <w:p>
      <w:pPr>
        <w:ind w:firstLine="420"/>
        <w:rPr>
          <w:color w:val="FF0000"/>
        </w:rPr>
      </w:pPr>
      <w:r>
        <w:rPr>
          <w:rFonts w:hint="eastAsia"/>
          <w:color w:val="FF0000"/>
        </w:rPr>
        <w:t>Gaia</w:t>
      </w:r>
      <w:r>
        <w:rPr>
          <w:color w:val="FF0000"/>
        </w:rPr>
        <w:t>.World</w:t>
      </w:r>
      <w:r>
        <w:rPr>
          <w:rFonts w:hint="eastAsia"/>
          <w:color w:val="FF0000"/>
        </w:rPr>
        <w:t>总计产生10</w:t>
      </w:r>
      <w:r>
        <w:rPr>
          <w:color w:val="FF0000"/>
        </w:rPr>
        <w:t>,000</w:t>
      </w:r>
      <w:r>
        <w:rPr>
          <w:rFonts w:hint="eastAsia"/>
          <w:color w:val="FF0000"/>
        </w:rPr>
        <w:t>亿GAIA币。在创世区块中生成并且分配</w:t>
      </w:r>
      <w:r>
        <w:rPr>
          <w:color w:val="FF0000"/>
        </w:rPr>
        <w:t>9,000</w:t>
      </w:r>
      <w:r>
        <w:rPr>
          <w:rFonts w:hint="eastAsia"/>
          <w:color w:val="FF0000"/>
        </w:rPr>
        <w:t>亿GAIA，1</w:t>
      </w:r>
      <w:r>
        <w:rPr>
          <w:color w:val="FF0000"/>
        </w:rPr>
        <w:t>,000</w:t>
      </w:r>
      <w:r>
        <w:rPr>
          <w:rFonts w:hint="eastAsia"/>
          <w:color w:val="FF0000"/>
        </w:rPr>
        <w:t>亿GAIA作为锻造奖励预计10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锻造委员会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会是区块链的一个基础底层模块，其中包括一个拥有创建区块权利的地址的集合。集合中的每一个地址都是一个锻造委员，每个锻造委员都有机会创建区块。为了激励锻造，成功锻造一个区块将会获得该区块中的所有交易费。</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所有地址都可以申请加入锻造委员会，在加入锻造委员会时，会提交一个bls加密算法的公钥，自己保留私钥，公钥会用来验证该锻造委员产生的随机数。锻造委员会收取最少1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GAIA作为保证金，保证金和锻造者的权益值相关，如果锻造者故意作恶，保证金会被罚没。收取保证金是为了防止节点作恶，最低限度设置为1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GAIA是为了防止微资金地址加入锻造委员会。</w:t>
      </w:r>
      <w:r>
        <w:rPr>
          <w:color w:val="000000" w:themeColor="text1"/>
          <w14:textFill>
            <w14:solidFill>
              <w14:schemeClr w14:val="tx1"/>
            </w14:solidFill>
          </w14:textFill>
        </w:rPr>
        <w:t>Gaia.World</w:t>
      </w:r>
      <w:r>
        <w:rPr>
          <w:rFonts w:hint="eastAsia"/>
          <w:color w:val="000000" w:themeColor="text1"/>
          <w14:textFill>
            <w14:solidFill>
              <w14:schemeClr w14:val="tx1"/>
            </w14:solidFill>
          </w14:textFill>
        </w:rPr>
        <w:t>认为保证金较高的地址，作恶的可能性更小。如果一个保证金少于1</w:t>
      </w:r>
      <w:r>
        <w:rPr>
          <w:rFonts w:hint="eastAsia"/>
          <w:color w:val="000000" w:themeColor="text1"/>
          <w:lang w:val="en-US" w:eastAsia="zh-CN"/>
          <w14:textFill>
            <w14:solidFill>
              <w14:schemeClr w14:val="tx1"/>
            </w14:solidFill>
          </w14:textFill>
        </w:rPr>
        <w:t>00</w:t>
      </w:r>
      <w:r>
        <w:rPr>
          <w:color w:val="000000" w:themeColor="text1"/>
          <w14:textFill>
            <w14:solidFill>
              <w14:schemeClr w14:val="tx1"/>
            </w14:solidFill>
          </w14:textFill>
        </w:rPr>
        <w:t>,000</w:t>
      </w:r>
      <w:r>
        <w:rPr>
          <w:rFonts w:hint="eastAsia"/>
          <w:color w:val="000000" w:themeColor="text1"/>
          <w14:textFill>
            <w14:solidFill>
              <w14:schemeClr w14:val="tx1"/>
            </w14:solidFill>
          </w14:textFill>
        </w:rPr>
        <w:t>GAIA的地址申请加入锻造委员会，</w:t>
      </w:r>
      <w:r>
        <w:rPr>
          <w:rFonts w:hint="eastAsia"/>
          <w:color w:val="000000" w:themeColor="text1"/>
          <w:lang w:val="en-US" w:eastAsia="zh-CN"/>
          <w14:textFill>
            <w14:solidFill>
              <w14:schemeClr w14:val="tx1"/>
            </w14:solidFill>
          </w14:textFill>
        </w:rPr>
        <w:t>该交易将不会通过验证，节点会拒绝广播</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锻造委员的职责是创建新的区块。锻造委员可以主动申请退出锻造委员会,该地址的保证金会被扣留</w:t>
      </w:r>
      <w:r>
        <w:rPr>
          <w:rFonts w:hint="eastAsia"/>
          <w:color w:val="000000" w:themeColor="text1"/>
          <w:lang w:val="en-US" w:eastAsia="zh-CN"/>
          <w14:textFill>
            <w14:solidFill>
              <w14:schemeClr w14:val="tx1"/>
            </w14:solidFill>
          </w14:textFill>
        </w:rPr>
        <w:t>400</w:t>
      </w:r>
      <w:r>
        <w:rPr>
          <w:rFonts w:hint="eastAsia"/>
          <w:color w:val="000000" w:themeColor="text1"/>
          <w14:textFill>
            <w14:solidFill>
              <w14:schemeClr w14:val="tx1"/>
            </w14:solidFill>
          </w14:textFill>
        </w:rPr>
        <w:t>,000个区块高度。扣留保证金是一种惩罚机制，用于惩罚不能正常完成其职责的锻造委员。之所以不设置退出机制，是为了防止恶意节点，将大部分节点剔除出锻造委员会，实施长程攻击。</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所有人都可以查询到每个锻造委员的当前投票权。锻造委员首次将被按照地址的后8-bit进行分组，后两位地址即是分组编号，分组编号相同的为同一组，总共16*16=256个组。设当前区块高度为H，则H%256=N，N号锻造组负责本轮的锻造。首次按照地址分组是为了让锻造委员尽量加入锻造委员较少的组，使得每组委员数不会相差过大。同时，由于单一用户可以拥有无限个地址，所以即使只有一个用户也能够占满256个分组。</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主锻造委员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当前锻造组中投票权最高的锻造委员当选为主锻造委员，后续锻造组都倾向于验证和认同主锻造委员锻造的区块。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本组内所有的锻造委员都可以创建区块并且全网广播，其他节点收到区块后将进行验证。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为了优化不必要的计算和网络广播和建设分叉，如果主锻造委员在上一个区块产生N秒之后仍然没有全网发送新区块，则当前锻造组中投票权第2,3高的锻造委员则会立即锻造区块并广播。如果再过1S仍未产生区块，则投票权第4,5高的锻造委员则会立即锻造区块并广播。以此类推，直到锻造出新的区块。这个策略可以降低分叉的可能性，同时兼顾区块创建速度。</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投票权计算</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锻造委员的投票权和保证金的数值相关，设一个锻造委员缴纳的保证金为a个GAIA，则初始投票权K为LOG10(a*</w:t>
      </w:r>
      <w:r>
        <w:rPr>
          <w:color w:val="000000" w:themeColor="text1"/>
          <w14:textFill>
            <w14:solidFill>
              <w14:schemeClr w14:val="tx1"/>
            </w14:solidFill>
          </w14:textFill>
        </w:rPr>
        <w:t>0.01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。P为一个在</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之间的随机值，在锻造委员初次获得投票权时生成，且在投票权再次初始化时重新计算。一个新申请加入的锻造委员不会立即获得投票权，需要等待</w:t>
      </w:r>
      <w:r>
        <w:rPr>
          <w:rFonts w:hint="eastAsia"/>
          <w:color w:val="000000" w:themeColor="text1"/>
          <w:lang w:val="en-US" w:eastAsia="zh-CN"/>
          <w14:textFill>
            <w14:solidFill>
              <w14:schemeClr w14:val="tx1"/>
            </w14:solidFill>
          </w14:textFill>
        </w:rPr>
        <w:t>40,000</w:t>
      </w:r>
      <w:r>
        <w:rPr>
          <w:rFonts w:hint="eastAsia"/>
          <w:color w:val="000000" w:themeColor="text1"/>
          <w14:textFill>
            <w14:solidFill>
              <w14:schemeClr w14:val="tx1"/>
            </w14:solidFill>
          </w14:textFill>
        </w:rPr>
        <w:t>个区块高度以后才会获得投票权。之后每隔</w:t>
      </w:r>
      <w:r>
        <w:rPr>
          <w:rFonts w:hint="eastAsia"/>
          <w:color w:val="000000" w:themeColor="text1"/>
          <w:lang w:val="en-US" w:eastAsia="zh-CN"/>
          <w14:textFill>
            <w14:solidFill>
              <w14:schemeClr w14:val="tx1"/>
            </w14:solidFill>
          </w14:textFill>
        </w:rPr>
        <w:t>1</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投票权一次性增加K。随着区块高度的增加，投票权不断累积，投票权最多增加</w:t>
      </w:r>
      <w:r>
        <w:rPr>
          <w:rFonts w:hint="eastAsia"/>
          <w:color w:val="000000" w:themeColor="text1"/>
          <w:lang w:val="en-US" w:eastAsia="zh-CN"/>
          <w14:textFill>
            <w14:solidFill>
              <w14:schemeClr w14:val="tx1"/>
            </w14:solidFill>
          </w14:textFill>
        </w:rPr>
        <w:t>10</w:t>
      </w:r>
      <w:r>
        <w:rPr>
          <w:color w:val="000000" w:themeColor="text1"/>
          <w14:textFill>
            <w14:solidFill>
              <w14:schemeClr w14:val="tx1"/>
            </w14:solidFill>
          </w14:textFill>
        </w:rPr>
        <w:t>轮</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256</w:t>
      </w:r>
      <w:r>
        <w:rPr>
          <w:rFonts w:hint="eastAsia"/>
          <w:color w:val="000000" w:themeColor="text1"/>
          <w:lang w:val="en-US" w:eastAsia="zh-CN"/>
          <w14:textFill>
            <w14:solidFill>
              <w14:schemeClr w14:val="tx1"/>
            </w14:solidFill>
          </w14:textFill>
        </w:rPr>
        <w:t>0</w:t>
      </w:r>
      <w:r>
        <w:rPr>
          <w:rFonts w:hint="eastAsia"/>
          <w:color w:val="000000" w:themeColor="text1"/>
          <w14:textFill>
            <w14:solidFill>
              <w14:schemeClr w14:val="tx1"/>
            </w14:solidFill>
          </w14:textFill>
        </w:rPr>
        <w:t>个区块高度</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即初始投票权K的10倍，之后不再增加。用投票权进行委员排序，如果有多个投票权最高的锻造委员，则比较锻造委员的地址值，地址值更大的排名更高。在当前分组中排名前10的锻造委员会获得额外的排名投票权，设排名为R,则排名投票权为2的(11-R)次方。总投票权为累积投票权与排名投票权之和。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每个区块都会生成一个随机值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区块高度m对应的随机值为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m</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（x</m:t>
            </m:r>
            <m:r>
              <w:rPr>
                <w:rFonts w:ascii="Cambria Math" w:hAnsi="Cambria Math"/>
                <w:color w:val="000000" w:themeColor="text1"/>
                <w14:textFill>
                  <w14:solidFill>
                    <w14:schemeClr w14:val="tx1"/>
                  </w14:solidFill>
                </w14:textFill>
              </w:rPr>
              <m:t>,y,z</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color w:val="000000" w:themeColor="text1"/>
          <w14:textFill>
            <w14:solidFill>
              <w14:schemeClr w14:val="tx1"/>
            </w14:solidFill>
          </w14:textFill>
        </w:rPr>
        <w:t>为一个hash函数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让</w:t>
      </w:r>
      <w:r>
        <w:rPr>
          <w:rFonts w:hint="eastAsia"/>
          <w:color w:val="000000" w:themeColor="text1"/>
          <w14:textFill>
            <w14:solidFill>
              <w14:schemeClr w14:val="tx1"/>
            </w14:solidFill>
          </w14:textFill>
        </w:rPr>
        <w:t>入参</w:t>
      </w:r>
      <w:r>
        <w:rPr>
          <w:color w:val="000000" w:themeColor="text1"/>
          <w14:textFill>
            <w14:solidFill>
              <w14:schemeClr w14:val="tx1"/>
            </w14:solidFill>
          </w14:textFill>
        </w:rPr>
        <w:t>被唯一映射到一个</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]之间的值。设锻造委员地址为l，则p=</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H</m:t>
            </m:r>
            <m:ctrlPr>
              <w:rPr>
                <w:rFonts w:ascii="Cambria Math" w:hAnsi="Cambria Math"/>
                <w:color w:val="000000" w:themeColor="text1"/>
                <w14:textFill>
                  <w14:solidFill>
                    <w14:schemeClr w14:val="tx1"/>
                  </w14:solidFill>
                </w14:textFill>
              </w:rPr>
            </m:ctrlPr>
          </m:e>
          <m:sub>
            <m:r>
              <w:rPr>
                <w:rFonts w:hint="eastAsia"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,m,l</m:t>
            </m:r>
            <m:r>
              <w:rPr>
                <w:rFonts w:hint="eastAsia" w:ascii="Cambria Math" w:hAnsi="Cambria Math"/>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。如果一个锻造委员成功将区块添加到了区块链，则该锻造委员和当前分组中投票权更高的其他锻造委员的投票权都会被重置为初始投票权（p值会重新计算），且都会被重新分组。</w:t>
      </w:r>
      <w:r>
        <w:rPr>
          <w:color w:val="000000" w:themeColor="text1"/>
          <w14:textFill>
            <w14:solidFill>
              <w14:schemeClr w14:val="tx1"/>
            </w14:solidFill>
          </w14:textFill>
        </w:rPr>
        <w:t>分组依据为</w:t>
      </w:r>
      <w:r>
        <w:rPr>
          <w:rFonts w:hint="eastAsia"/>
          <w:color w:val="000000" w:themeColor="text1"/>
          <w14:textFill>
            <w14:solidFill>
              <w14:schemeClr w14:val="tx1"/>
            </w14:solidFill>
          </w14:textFill>
        </w:rPr>
        <w:t>委员地址、当前区块高度、当前随机值三者hash的最后8</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的值。之后随着区块高度的增加，投票权不断累积，直到最高为初始投票权K的10倍。之所以需要不断的更新分组和更新初始投票权，是为了防止恶意节点串通控制几个相连的节点进行双花攻击。</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降低保证金数值和投票权的正相关程度是为了避免大额地址拥有过高的投票权。累计投票权随着区块高度增加而增加，是为了激励小额锻造委员也有机会成为主锻造委员。设置10倍的上限是为了控制小额锻造委员的数量，保证金过少的锻造委员在可信度和稳定性方面不如缴纳了大额保证金的锻造委员。排名投票权是为了降低被恶意委员联合攻击的风险。</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奖励和惩罚</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类似比特币或以太币的额外的奖励会引发富者越富的副作用，而且区块的创建过程消耗的资源极低，即使只有交易费作为奖励，锻造委员已经有利可图了。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pPr>
        <w:pStyle w:val="7"/>
        <w:rPr>
          <w:b w:val="0"/>
          <w:bCs w:val="0"/>
          <w:iCs/>
          <w:color w:val="000000" w:themeColor="text1"/>
          <w:spacing w:val="5"/>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共识机制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最短出块时间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为了防止长程攻击</w:t>
      </w:r>
      <w:r>
        <w:rPr>
          <w:color w:val="000000" w:themeColor="text1"/>
          <w14:textFill>
            <w14:solidFill>
              <w14:schemeClr w14:val="tx1"/>
            </w14:solidFill>
          </w14:textFill>
        </w:rPr>
        <w:t>(long-distance attack)我们</w:t>
      </w:r>
      <w:r>
        <w:rPr>
          <w:rFonts w:hint="eastAsia"/>
          <w:color w:val="000000" w:themeColor="text1"/>
          <w14:textFill>
            <w14:solidFill>
              <w14:schemeClr w14:val="tx1"/>
            </w14:solidFill>
          </w14:textFill>
        </w:rPr>
        <w:t>在创世区块中会设定默认</w:t>
      </w:r>
      <w:r>
        <w:rPr>
          <w:color w:val="000000" w:themeColor="text1"/>
          <w14:textFill>
            <w14:solidFill>
              <w14:schemeClr w14:val="tx1"/>
            </w14:solidFill>
          </w14:textFill>
        </w:rPr>
        <w:t>最短出块时间T</w:t>
      </w:r>
      <w:r>
        <w:rPr>
          <w:rFonts w:hint="eastAsia"/>
          <w:color w:val="000000" w:themeColor="text1"/>
          <w14:textFill>
            <w14:solidFill>
              <w14:schemeClr w14:val="tx1"/>
            </w14:solidFill>
          </w14:textFill>
        </w:rPr>
        <w:t>，如果出块间隔小于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Pr>
          <w:color w:val="000000" w:themeColor="text1"/>
          <w14:textFill>
            <w14:solidFill>
              <w14:schemeClr w14:val="tx1"/>
            </w14:solidFill>
          </w14:textFill>
        </w:rPr>
        <w:t>T/2</w:t>
      </w:r>
      <w:r>
        <w:rPr>
          <w:rFonts w:hint="eastAsia"/>
          <w:color w:val="000000" w:themeColor="text1"/>
          <w14:textFill>
            <w14:solidFill>
              <w14:schemeClr w14:val="tx1"/>
            </w14:solidFill>
          </w14:textFill>
        </w:rPr>
        <w:t>，也认定该区块无效，无效区块会直接被抛弃，不会被广播。之所以是T/2而不是T，是因为我们在一定程度上鼓励快速出块，也减小了锻造者本机时钟轻微误差造成的影响。例如，设定默认最短出块时间为3S，如锻造者发现两个区块的时间戳间隔小于1.5S，则认定该区块无效。</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162810"/>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ang\Downloads\long-distance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163058"/>
                    </a:xfrm>
                    <a:prstGeom prst="rect">
                      <a:avLst/>
                    </a:prstGeom>
                    <a:noFill/>
                    <a:ln>
                      <a:noFill/>
                    </a:ln>
                  </pic:spPr>
                </pic:pic>
              </a:graphicData>
            </a:graphic>
          </wp:inline>
        </w:drawing>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锻造过程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为了便于理解，此处只描述最高投票权锻造者和次高投票权锻造者的锻造过程和选择策略。实际情况更为复杂，但是原理相同。我们约定Rn代表分组中投票权排名第n位的锻造委员。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在区块高度255,999,所有组编号为0的锻造委员均有机会创建256,000号区块，其他分组无法创建区块。R1地址为0xdab12...00,缴纳了1</w:t>
      </w:r>
      <w:r>
        <w:rPr>
          <w:color w:val="000000" w:themeColor="text1"/>
          <w14:textFill>
            <w14:solidFill>
              <w14:schemeClr w14:val="tx1"/>
            </w14:solidFill>
          </w14:textFill>
        </w:rPr>
        <w:t>0,000</w:t>
      </w:r>
      <w:r>
        <w:rPr>
          <w:rFonts w:hint="eastAsia"/>
          <w:color w:val="000000" w:themeColor="text1"/>
          <w14:textFill>
            <w14:solidFill>
              <w14:schemeClr w14:val="tx1"/>
            </w14:solidFill>
          </w14:textFill>
        </w:rPr>
        <w:t>GAIA保证金,随机值P=</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，总共累计了</w:t>
      </w:r>
      <w:r>
        <w:rPr>
          <w:color w:val="000000" w:themeColor="text1"/>
          <w14:textFill>
            <w14:solidFill>
              <w14:schemeClr w14:val="tx1"/>
            </w14:solidFill>
          </w14:textFill>
        </w:rPr>
        <w:t>2,304</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即9轮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，累积投票权为27，排名投票权为1024，总投票权为1051，设其创建的区块为B1。R2地址为0xd12e9...00,缴纳了1,</w:t>
      </w:r>
      <w:r>
        <w:rPr>
          <w:color w:val="000000" w:themeColor="text1"/>
          <w14:textFill>
            <w14:solidFill>
              <w14:schemeClr w14:val="tx1"/>
            </w14:solidFill>
          </w14:textFill>
        </w:rPr>
        <w:t>000,000,</w:t>
      </w:r>
      <w:r>
        <w:rPr>
          <w:rFonts w:hint="eastAsia"/>
          <w:color w:val="000000" w:themeColor="text1"/>
          <w14:textFill>
            <w14:solidFill>
              <w14:schemeClr w14:val="tx1"/>
            </w14:solidFill>
          </w14:textFill>
        </w:rPr>
        <w:t>000GAIA保证金,随机值P=1,总共累计了</w:t>
      </w:r>
      <w:r>
        <w:rPr>
          <w:color w:val="000000" w:themeColor="text1"/>
          <w14:textFill>
            <w14:solidFill>
              <w14:schemeClr w14:val="tx1"/>
            </w14:solidFill>
          </w14:textFill>
        </w:rPr>
        <w:t>768</w:t>
      </w:r>
      <w:r>
        <w:rPr>
          <w:rFonts w:hint="eastAsia"/>
          <w:color w:val="000000" w:themeColor="text1"/>
          <w14:textFill>
            <w14:solidFill>
              <w14:schemeClr w14:val="tx1"/>
            </w14:solidFill>
          </w14:textFill>
        </w:rPr>
        <w:t>个区块高度</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即3轮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，累积投票权为21，排名投票权为512，总投票权为533，设其创建的区块为B2。虽然R2缴纳的保证金为R1的10</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000倍，但是R1却获得了更高的投票权,避免了富者对投票权的垄断。所有组编号为0的锻造委员都可以将自己创建的256,000号区块进行全网广播。只有组编号为1的锻造委员们可以继续创建256,001号区块。由于总计投票权最高的链会成为主链，组编号为1的锻造委员们在理智的情况下都会在B1的基础上继续创建256,001号区块。</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34840"/>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tang\Downloads\fb2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435308"/>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现实世界的网络环境极为复杂，投票权最高的投票委员有可能没有向下一个锻造分组发生新的256,000号区块。G1分组锻造委员的最优策略是：等待G0分组R1一段时间，如果仍无响应，则接受R2创建的区块。愿意等待的时间和G1分组锻造委员自身的总投票权相关。自身总投票权越低的节点愿意等待的时间越长，因为这是在256,001区块高度打败同组更高投票权投票委员的唯一方法。G1分组中R1会等待一段相对较短的时间，然后接受G0分组R2创建的区块。因为自身投票权最高，即使接受了投票权较低的区块，仍然有较大机会胜出。</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42595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tang\Downloads\fb3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26060"/>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G1分组中的R1接受了G0分组R2创建的256,000号区块，而G1分组中的R2接受了G0分组R1创建的256,000号区块。G1分组中的R1和R2都会向G2分组的锻造者提交区块。G2分组中的R1选择总投票权最高的链继续锻造。</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4178935"/>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tang\Downloads\f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179399"/>
                    </a:xfrm>
                    <a:prstGeom prst="rect">
                      <a:avLst/>
                    </a:prstGeom>
                    <a:noFill/>
                    <a:ln>
                      <a:noFill/>
                    </a:ln>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基于cPoS机制，分叉总是能在较短的区块高度被消除，如图所示。在区块高度256,000和区块高度256,001产生了分叉,而G2分组的最高投票权锻造者选择了其中一条链，该链的总投票权显著增大，有极高概率胜出。G3分组的锻造者会基于该链继续创建区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8"/>
                    <a:stretch>
                      <a:fillRect/>
                    </a:stretch>
                  </pic:blipFill>
                  <pic:spPr>
                    <a:xfrm>
                      <a:off x="0" y="0"/>
                      <a:ext cx="5263515" cy="1950085"/>
                    </a:xfrm>
                    <a:prstGeom prst="rect">
                      <a:avLst/>
                    </a:prstGeom>
                  </pic:spPr>
                </pic:pic>
              </a:graphicData>
            </a:graphic>
          </wp:inline>
        </w:drawing>
      </w:r>
    </w:p>
    <w:p>
      <w:pPr>
        <w:rPr>
          <w:color w:val="000000" w:themeColor="text1"/>
          <w14:textFill>
            <w14:solidFill>
              <w14:schemeClr w14:val="tx1"/>
            </w14:solidFill>
          </w14:textFill>
        </w:rPr>
      </w:pP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可验证性随机</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每一个区块都有一个随机值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随机值由当前区块的锻造者产生</w:t>
      </w:r>
      <w:r>
        <w:rPr>
          <w:rFonts w:hint="eastAsia"/>
          <w:color w:val="000000" w:themeColor="text1"/>
          <w14:textFill>
            <w14:solidFill>
              <w14:schemeClr w14:val="tx1"/>
            </w14:solidFill>
          </w14:textFill>
        </w:rPr>
        <w:t>。锻造者拥有一把特殊的bls私钥，用于生成随机数，而对应的bls公钥在锻造者申请加入锻造委员会时公布。设当前区块高度为m，随机值为</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上一个区块</w:t>
      </w:r>
      <w:r>
        <w:rPr>
          <w:rFonts w:hint="eastAsia"/>
          <w:color w:val="000000" w:themeColor="text1"/>
          <w14:textFill>
            <w14:solidFill>
              <w14:schemeClr w14:val="tx1"/>
            </w14:solidFill>
          </w14:textFill>
        </w:rPr>
        <w:t>随机值为，BLS为签名算法,则</w:t>
      </w:r>
      <m:oMath>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=BLS(</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R</m:t>
            </m:r>
            <m:ctrlPr>
              <w:rPr>
                <w:rFonts w:ascii="Cambria Math" w:hAnsi="Cambria Math"/>
                <w:color w:val="000000" w:themeColor="text1"/>
                <w14:textFill>
                  <w14:solidFill>
                    <w14:schemeClr w14:val="tx1"/>
                  </w14:solidFill>
                </w14:textFill>
              </w:rPr>
            </m:ctrlPr>
          </m:e>
          <m:sub>
            <m:d>
              <m:dPr>
                <m:begChr m:val="（"/>
                <m:endChr m:val="）"/>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m</m:t>
                </m:r>
                <m:r>
                  <w:rPr>
                    <w:rFonts w:ascii="MS Mincho" w:hAnsi="MS Mincho" w:cs="MS Mincho"/>
                    <w:color w:val="000000" w:themeColor="text1"/>
                    <w14:textFill>
                      <w14:solidFill>
                        <w14:schemeClr w14:val="tx1"/>
                      </w14:solidFill>
                    </w14:textFill>
                  </w:rPr>
                  <m:t>-</m:t>
                </m:r>
                <m: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w:t>
      </w:r>
      <w:r>
        <w:rPr>
          <w:color w:val="000000" w:themeColor="text1"/>
          <w14:textFill>
            <w14:solidFill>
              <w14:schemeClr w14:val="tx1"/>
            </w14:solidFill>
          </w14:textFill>
        </w:rPr>
        <w:t>即使用上一个区块的随机值和当前区块高度来</w:t>
      </w:r>
      <w:r>
        <w:rPr>
          <w:rFonts w:hint="eastAsia"/>
          <w:color w:val="000000" w:themeColor="text1"/>
          <w14:textFill>
            <w14:solidFill>
              <w14:schemeClr w14:val="tx1"/>
            </w14:solidFill>
          </w14:textFill>
        </w:rPr>
        <w:t>生成新的随机值。锻造者在当前区块高度，同时公布旧bls私钥和随机值，以及新的bls公钥。由于所有人都提前获得了旧的bls公钥，所以都可以对随机值进行验证，确保随机值的确是由旧bls私钥生成的。由于旧的私钥已经被知晓，所以锻造者需要更换新bls私钥，并公布新bls公钥。在随机数生成过程中没有加入交易信息等可人为控制的信息，是为了确保锻造者不会人为筛选交易，以获得对自己更有利的随机结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我们无需保证初始随机源的随机性</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非随机的初始随机源</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只会对最初的几个区块产生影响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对于后续区块</w:t>
      </w:r>
      <w:r>
        <w:rPr>
          <w:rFonts w:hint="eastAsia"/>
          <w:color w:val="000000" w:themeColor="text1"/>
          <w14:textFill>
            <w14:solidFill>
              <w14:schemeClr w14:val="tx1"/>
            </w14:solidFill>
          </w14:textFill>
        </w:rPr>
        <w:t>，即使</w:t>
      </w:r>
      <w:r>
        <w:rPr>
          <w:color w:val="000000" w:themeColor="text1"/>
          <w14:textFill>
            <w14:solidFill>
              <w14:schemeClr w14:val="tx1"/>
            </w14:solidFill>
          </w14:textFill>
        </w:rPr>
        <w:t>初始随机源是非随机的</w:t>
      </w:r>
      <w:r>
        <w:rPr>
          <w:rFonts w:hint="eastAsia"/>
          <w:color w:val="000000" w:themeColor="text1"/>
          <w14:textFill>
            <w14:solidFill>
              <w14:schemeClr w14:val="tx1"/>
            </w14:solidFill>
          </w14:textFill>
        </w:rPr>
        <w:t>，后续产生的随机数仍然是随机的。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由于锻造者提前知道了锻造结果</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这种方案对锻造者有一定优势</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但是可以通过应用层的再次随机抵消这种优势</w:t>
      </w:r>
      <w:r>
        <w:rPr>
          <w:rFonts w:hint="eastAsia"/>
          <w:color w:val="000000" w:themeColor="text1"/>
          <w14:textFill>
            <w14:solidFill>
              <w14:schemeClr w14:val="tx1"/>
            </w14:solidFill>
          </w14:textFill>
        </w:rPr>
        <w:t>。</w:t>
      </w:r>
    </w:p>
    <w:p>
      <w:pPr>
        <w:pStyle w:val="7"/>
        <w:rPr>
          <w:rStyle w:val="16"/>
          <w:b w:val="0"/>
          <w:bCs w:val="0"/>
          <w:i w:val="0"/>
          <w:color w:val="000000" w:themeColor="text1"/>
          <w:u w:val="single"/>
          <w14:textFill>
            <w14:solidFill>
              <w14:schemeClr w14:val="tx1"/>
            </w14:solidFill>
          </w14:textFill>
        </w:rPr>
      </w:pPr>
      <w:r>
        <w:rPr>
          <w:rStyle w:val="16"/>
          <w:rFonts w:hint="eastAsia"/>
          <w:b w:val="0"/>
          <w:bCs w:val="0"/>
          <w:i w:val="0"/>
          <w:color w:val="000000" w:themeColor="text1"/>
          <w:u w:val="single"/>
          <w14:textFill>
            <w14:solidFill>
              <w14:schemeClr w14:val="tx1"/>
            </w14:solidFill>
          </w14:textFill>
        </w:rPr>
        <w:t>参考文档：</w:t>
      </w:r>
    </w:p>
    <w:p>
      <w:pPr>
        <w:rPr>
          <w:color w:val="000000" w:themeColor="text1"/>
          <w14:textFill>
            <w14:solidFill>
              <w14:schemeClr w14:val="tx1"/>
            </w14:solidFill>
          </w14:textFill>
        </w:rPr>
      </w:pPr>
      <w:r>
        <w:rPr>
          <w:color w:val="000000" w:themeColor="text1"/>
          <w14:textFill>
            <w14:solidFill>
              <w14:schemeClr w14:val="tx1"/>
            </w14:solidFill>
          </w14:textFill>
        </w:rPr>
        <w:t>http://blog.csdn.net/AAA123524457/article/details/52837289</w:t>
      </w:r>
    </w:p>
    <w:p>
      <w:pPr>
        <w:rPr>
          <w:color w:val="000000" w:themeColor="text1"/>
          <w14:textFill>
            <w14:solidFill>
              <w14:schemeClr w14:val="tx1"/>
            </w14:solidFill>
          </w14:textFill>
        </w:rPr>
      </w:pPr>
      <w:r>
        <w:rPr>
          <w:color w:val="000000" w:themeColor="text1"/>
          <w14:textFill>
            <w14:solidFill>
              <w14:schemeClr w14:val="tx1"/>
            </w14:solidFill>
          </w14:textFill>
        </w:rPr>
        <w:t>http://blog.liqilei.com/bai-zhan-ting-gong-shi-suan-fa-zhi-pbftjie-xi/</w:t>
      </w:r>
    </w:p>
    <w:p>
      <w:pPr>
        <w:rPr>
          <w:color w:val="000000" w:themeColor="text1"/>
          <w14:textFill>
            <w14:solidFill>
              <w14:schemeClr w14:val="tx1"/>
            </w14:solidFill>
          </w14:textFill>
        </w:rPr>
      </w:pPr>
      <w:r>
        <w:rPr>
          <w:color w:val="000000" w:themeColor="text1"/>
          <w14:textFill>
            <w14:solidFill>
              <w14:schemeClr w14:val="tx1"/>
            </w14:solidFill>
          </w14:textFill>
        </w:rPr>
        <w:t>http://chainx.org/news/index/detail/id/14.html</w:t>
      </w:r>
    </w:p>
    <w:p>
      <w:pPr>
        <w:rPr>
          <w:color w:val="000000" w:themeColor="text1"/>
          <w14:textFill>
            <w14:solidFill>
              <w14:schemeClr w14:val="tx1"/>
            </w14:solidFill>
          </w14:textFill>
        </w:rPr>
      </w:pPr>
      <w:r>
        <w:rPr>
          <w:color w:val="000000" w:themeColor="text1"/>
          <w14:textFill>
            <w14:solidFill>
              <w14:schemeClr w14:val="tx1"/>
            </w14:solidFill>
          </w14:textFill>
        </w:rPr>
        <w:t>https://www.zhihu.com/question/52254063</w:t>
      </w:r>
    </w:p>
    <w:p>
      <w:pPr>
        <w:rPr>
          <w:color w:val="000000" w:themeColor="text1"/>
          <w14:textFill>
            <w14:solidFill>
              <w14:schemeClr w14:val="tx1"/>
            </w14:solidFill>
          </w14:textFill>
        </w:rPr>
      </w:pPr>
      <w:r>
        <w:rPr>
          <w:color w:val="000000" w:themeColor="text1"/>
          <w14:textFill>
            <w14:solidFill>
              <w14:schemeClr w14:val="tx1"/>
            </w14:solidFill>
          </w14:textFill>
        </w:rPr>
        <w:t>http://ethfans.org/posts/consensus-compare-casper-vs-tendermint</w:t>
      </w:r>
    </w:p>
    <w:p>
      <w:pPr>
        <w:rPr>
          <w:color w:val="000000" w:themeColor="text1"/>
          <w14:textFill>
            <w14:solidFill>
              <w14:schemeClr w14:val="tx1"/>
            </w14:solidFill>
          </w14:textFill>
        </w:rPr>
      </w:pPr>
      <w:r>
        <w:rPr>
          <w:color w:val="000000" w:themeColor="text1"/>
          <w14:textFill>
            <w14:solidFill>
              <w14:schemeClr w14:val="tx1"/>
            </w14:solidFill>
          </w14:textFill>
        </w:rPr>
        <w:t>https://www.leiphone.com/news/201706/JfsBmaf6Y0ZtV11R.html</w:t>
      </w:r>
    </w:p>
    <w:p>
      <w:pPr>
        <w:rPr>
          <w:color w:val="000000" w:themeColor="text1"/>
          <w14:textFill>
            <w14:solidFill>
              <w14:schemeClr w14:val="tx1"/>
            </w14:solidFill>
          </w14:textFill>
        </w:rPr>
      </w:pPr>
      <w:r>
        <w:rPr>
          <w:color w:val="000000" w:themeColor="text1"/>
          <w14:textFill>
            <w14:solidFill>
              <w14:schemeClr w14:val="tx1"/>
            </w14:solidFill>
          </w14:textFill>
        </w:rPr>
        <w:t>https://www.cardanohub.org/zh/academic-papers-3/</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https://iohk.io/research/papers/#9BKRHCSI</w:t>
      </w:r>
    </w:p>
    <w:p>
      <w:pPr>
        <w:rPr>
          <w:color w:val="000000" w:themeColor="text1"/>
          <w14:textFill>
            <w14:solidFill>
              <w14:schemeClr w14:val="tx1"/>
            </w14:solidFill>
          </w14:textFill>
        </w:rPr>
      </w:pPr>
      <w:r>
        <w:rPr>
          <w:color w:val="000000" w:themeColor="text1"/>
          <w14:textFill>
            <w14:solidFill>
              <w14:schemeClr w14:val="tx1"/>
            </w14:solidFill>
          </w14:textFill>
        </w:rPr>
        <w:t>https://iohk.io/research/papers/#XJ6MHFXX</w:t>
      </w:r>
    </w:p>
    <w:p>
      <w:pPr>
        <w:rPr>
          <w:color w:val="000000" w:themeColor="text1"/>
          <w14:textFill>
            <w14:solidFill>
              <w14:schemeClr w14:val="tx1"/>
            </w14:solidFill>
          </w14:textFill>
        </w:rPr>
      </w:pPr>
      <w:r>
        <w:rPr>
          <w:color w:val="000000" w:themeColor="text1"/>
          <w14:textFill>
            <w14:solidFill>
              <w14:schemeClr w14:val="tx1"/>
            </w14:solidFill>
          </w14:textFill>
        </w:rPr>
        <w:t>https://188bz.com/64342.html</w:t>
      </w:r>
    </w:p>
    <w:p>
      <w:pPr>
        <w:rPr>
          <w:color w:val="000000" w:themeColor="text1"/>
          <w14:textFill>
            <w14:solidFill>
              <w14:schemeClr w14:val="tx1"/>
            </w14:solidFill>
          </w14:textFill>
        </w:rPr>
      </w:pPr>
      <w:r>
        <w:rPr>
          <w:color w:val="000000" w:themeColor="text1"/>
          <w14:textFill>
            <w14:solidFill>
              <w14:schemeClr w14:val="tx1"/>
            </w14:solidFill>
          </w14:textFill>
        </w:rPr>
        <w:t>https://bitshuo.com/topic/5a505639ecc0ff3642836274</w:t>
      </w:r>
    </w:p>
    <w:p>
      <w:pPr>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"https://wiki.chainnova.com/pages/viewpage.action?pageId=3997804" </w:instrText>
      </w:r>
      <w:r>
        <w:rPr>
          <w:color w:val="000000" w:themeColor="text1"/>
          <w14:textFill>
            <w14:solidFill>
              <w14:schemeClr w14:val="tx1"/>
            </w14:solidFill>
          </w14:textFill>
        </w:rPr>
        <w:fldChar w:fldCharType="separate"/>
      </w:r>
      <w:r>
        <w:rPr>
          <w:rStyle w:val="9"/>
          <w:color w:val="000000" w:themeColor="text1"/>
          <w14:textFill>
            <w14:solidFill>
              <w14:schemeClr w14:val="tx1"/>
            </w14:solidFill>
          </w14:textFill>
        </w:rPr>
        <w:t>https://wiki.chainnova.com/pages/viewpage.action?pageId=3997804</w:t>
      </w:r>
      <w:r>
        <w:rPr>
          <w:color w:val="000000" w:themeColor="text1"/>
          <w14:textFill>
            <w14:solidFill>
              <w14:schemeClr w14:val="tx1"/>
            </w14:solidFill>
          </w14:textFill>
        </w:rPr>
        <w:fldChar w:fldCharType="end"/>
      </w:r>
    </w:p>
    <w:p>
      <w:pPr>
        <w:rPr>
          <w:color w:val="000000" w:themeColor="text1"/>
          <w14:textFill>
            <w14:solidFill>
              <w14:schemeClr w14:val="tx1"/>
            </w14:solidFill>
          </w14:textFill>
        </w:rPr>
      </w:pPr>
      <w:bookmarkStart w:id="0" w:name="_GoBack"/>
      <w:bookmarkEnd w:id="0"/>
    </w:p>
    <w:p>
      <w:pPr>
        <w:rPr>
          <w:color w:val="000000" w:themeColor="text1"/>
          <w14:textFill>
            <w14:solidFill>
              <w14:schemeClr w14:val="tx1"/>
            </w14:solidFill>
          </w14:textFill>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我们使用rust语言实现了一个Gaia的原型。我们使用了50台普通商用PC机，每台PC机启动1-30个不等的节点，每个节点可同时使用1-100个不同的地址，用以模拟最多1</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500个节点，150,000 个地址的情况。我们给每个节点分配20Mbps的内网带宽，为了模拟真实的网络环境，我们为每个节点设置了</w:t>
      </w:r>
      <w:r>
        <w:rPr>
          <w:rFonts w:hint="default"/>
          <w:color w:val="000000" w:themeColor="text1"/>
          <w:lang w:val="en-US" w:eastAsia="zh-CN"/>
          <w14:textFill>
            <w14:solidFill>
              <w14:schemeClr w14:val="tx1"/>
            </w14:solidFill>
          </w14:textFill>
        </w:rPr>
        <w:t>200</w:t>
      </w:r>
      <w:r>
        <w:rPr>
          <w:rFonts w:hint="eastAsia"/>
          <w:color w:val="000000" w:themeColor="text1"/>
          <w:lang w:val="en-US" w:eastAsia="zh-CN"/>
          <w14:textFill>
            <w14:solidFill>
              <w14:schemeClr w14:val="tx1"/>
            </w14:solidFill>
          </w14:textFill>
        </w:rPr>
        <w:t>ms的信息传输延迟，每个节点最多链接125个其他节点。我们在创世区块中设置的默认出块速度为</w:t>
      </w:r>
      <w:r>
        <w:rPr>
          <w:rFonts w:hint="default"/>
          <w:color w:val="000000" w:themeColor="text1"/>
          <w:lang w:val="en-US" w:eastAsia="zh-CN"/>
          <w14:textFill>
            <w14:solidFill>
              <w14:schemeClr w14:val="tx1"/>
            </w14:solidFill>
          </w14:textFill>
        </w:rPr>
        <w:t>10</w:t>
      </w:r>
      <w:r>
        <w:rPr>
          <w:rFonts w:hint="eastAsia"/>
          <w:color w:val="000000" w:themeColor="text1"/>
          <w:lang w:val="en-US" w:eastAsia="zh-CN"/>
          <w14:textFill>
            <w14:solidFill>
              <w14:schemeClr w14:val="tx1"/>
            </w14:solidFill>
          </w14:textFill>
        </w:rPr>
        <w:t>00ms</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节点数量对区块确认速度的影响。</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我们模拟了每个节点使用2个区块地址的情况下，用户从发出交易到获得第一次确认所需的平均时间和区块的平均出块速度。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地址数量对区块确认速度的影响。</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w:t>
      </w:r>
      <w:r>
        <w:rPr>
          <w:rFonts w:hint="default"/>
          <w:color w:val="000000" w:themeColor="text1"/>
          <w:lang w:val="en-US" w:eastAsia="zh-CN"/>
          <w14:textFill>
            <w14:solidFill>
              <w14:schemeClr w14:val="tx1"/>
            </w14:solidFill>
          </w14:textFill>
        </w:rPr>
        <w:t>1,500</w:t>
      </w:r>
      <w:r>
        <w:rPr>
          <w:rFonts w:hint="eastAsia"/>
          <w:color w:val="000000" w:themeColor="text1"/>
          <w:lang w:val="en-US" w:eastAsia="zh-CN"/>
          <w14:textFill>
            <w14:solidFill>
              <w14:schemeClr w14:val="tx1"/>
            </w14:solidFill>
          </w14:textFill>
        </w:rPr>
        <w:t>个节点不同数量区块地址的情况下，用户从发出交易到获得第一次确认所需的平均时间和区块的平均出块速度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交易数量对区块确认速度的影响。</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我们模拟了1</w:t>
      </w:r>
      <w:r>
        <w:rPr>
          <w:rFonts w:hint="default"/>
          <w:color w:val="000000" w:themeColor="text1"/>
          <w:lang w:val="en-US" w:eastAsia="zh-CN"/>
          <w14:textFill>
            <w14:solidFill>
              <w14:schemeClr w14:val="tx1"/>
            </w14:solidFill>
          </w14:textFill>
        </w:rPr>
        <w:t>,500</w:t>
      </w:r>
      <w:r>
        <w:rPr>
          <w:rFonts w:hint="eastAsia"/>
          <w:color w:val="000000" w:themeColor="text1"/>
          <w:lang w:val="en-US" w:eastAsia="zh-CN"/>
          <w14:textFill>
            <w14:solidFill>
              <w14:schemeClr w14:val="tx1"/>
            </w14:solidFill>
          </w14:textFill>
        </w:rPr>
        <w:t>个节点，150,000地址，不同交易数量情况下，用户从发出交易到获得第一次确认所需的平均时间和区块的平均出块速度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4484370" cy="3000375"/>
            <wp:effectExtent l="4445" t="4445" r="6985" b="508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22657"/>
    <w:rsid w:val="00050ABB"/>
    <w:rsid w:val="000A2098"/>
    <w:rsid w:val="000B71D9"/>
    <w:rsid w:val="000E7CC8"/>
    <w:rsid w:val="000F03F7"/>
    <w:rsid w:val="0014578C"/>
    <w:rsid w:val="001A0104"/>
    <w:rsid w:val="002D5B5F"/>
    <w:rsid w:val="0035084B"/>
    <w:rsid w:val="003805C0"/>
    <w:rsid w:val="00404646"/>
    <w:rsid w:val="004169F9"/>
    <w:rsid w:val="004C76A9"/>
    <w:rsid w:val="00584C3B"/>
    <w:rsid w:val="005A08E7"/>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56658"/>
    <w:rsid w:val="00A9380F"/>
    <w:rsid w:val="00AA21A4"/>
    <w:rsid w:val="00B135CC"/>
    <w:rsid w:val="00B37201"/>
    <w:rsid w:val="00B80E74"/>
    <w:rsid w:val="00D80582"/>
    <w:rsid w:val="00DB07E9"/>
    <w:rsid w:val="00E0530C"/>
    <w:rsid w:val="00F0782C"/>
    <w:rsid w:val="00F575ED"/>
    <w:rsid w:val="00FC48AB"/>
    <w:rsid w:val="01E24316"/>
    <w:rsid w:val="01ED6E26"/>
    <w:rsid w:val="05AB660F"/>
    <w:rsid w:val="10BF3A0A"/>
    <w:rsid w:val="13065949"/>
    <w:rsid w:val="2C405281"/>
    <w:rsid w:val="2E13219A"/>
    <w:rsid w:val="4481453F"/>
    <w:rsid w:val="4C8E775C"/>
    <w:rsid w:val="527A08CF"/>
    <w:rsid w:val="56EA447F"/>
    <w:rsid w:val="599566F7"/>
    <w:rsid w:val="5D8560DE"/>
    <w:rsid w:val="6485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0"/>
    <w:uiPriority w:val="0"/>
    <w:pPr>
      <w:tabs>
        <w:tab w:val="center" w:pos="4153"/>
        <w:tab w:val="right" w:pos="8306"/>
      </w:tabs>
      <w:snapToGrid w:val="0"/>
      <w:jc w:val="left"/>
    </w:pPr>
    <w:rPr>
      <w:sz w:val="18"/>
      <w:szCs w:val="18"/>
    </w:rPr>
  </w:style>
  <w:style w:type="paragraph" w:styleId="6">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8"/>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character" w:styleId="9">
    <w:name w:val="Hyperlink"/>
    <w:basedOn w:val="8"/>
    <w:uiPriority w:val="0"/>
    <w:rPr>
      <w:color w:val="0000FF"/>
      <w:u w:val="single"/>
    </w:rPr>
  </w:style>
  <w:style w:type="character" w:styleId="11">
    <w:name w:val="Placeholder Text"/>
    <w:basedOn w:val="8"/>
    <w:semiHidden/>
    <w:uiPriority w:val="99"/>
    <w:rPr>
      <w:color w:val="808080"/>
    </w:rPr>
  </w:style>
  <w:style w:type="character" w:customStyle="1" w:styleId="12">
    <w:name w:val="标题 1 Char"/>
    <w:basedOn w:val="8"/>
    <w:link w:val="2"/>
    <w:uiPriority w:val="0"/>
    <w:rPr>
      <w:rFonts w:asciiTheme="minorHAnsi" w:hAnsiTheme="minorHAnsi" w:eastAsiaTheme="minorEastAsia" w:cstheme="minorBidi"/>
      <w:b/>
      <w:bCs/>
      <w:kern w:val="44"/>
      <w:sz w:val="44"/>
      <w:szCs w:val="44"/>
    </w:rPr>
  </w:style>
  <w:style w:type="character" w:customStyle="1" w:styleId="13">
    <w:name w:val="标题 2 Char"/>
    <w:basedOn w:val="8"/>
    <w:link w:val="3"/>
    <w:qFormat/>
    <w:uiPriority w:val="0"/>
    <w:rPr>
      <w:rFonts w:asciiTheme="majorHAnsi" w:hAnsiTheme="majorHAnsi" w:eastAsiaTheme="majorEastAsia" w:cstheme="majorBidi"/>
      <w:b/>
      <w:bCs/>
      <w:kern w:val="2"/>
      <w:sz w:val="32"/>
      <w:szCs w:val="32"/>
    </w:rPr>
  </w:style>
  <w:style w:type="character" w:customStyle="1" w:styleId="14">
    <w:name w:val="标题 3 Char"/>
    <w:basedOn w:val="8"/>
    <w:link w:val="4"/>
    <w:qFormat/>
    <w:uiPriority w:val="0"/>
    <w:rPr>
      <w:rFonts w:asciiTheme="minorHAnsi" w:hAnsiTheme="minorHAnsi" w:eastAsiaTheme="minorEastAsia" w:cstheme="minorBidi"/>
      <w:b/>
      <w:bCs/>
      <w:kern w:val="2"/>
      <w:sz w:val="32"/>
      <w:szCs w:val="32"/>
    </w:rPr>
  </w:style>
  <w:style w:type="character" w:customStyle="1" w:styleId="15">
    <w:name w:val="Subtle Reference"/>
    <w:basedOn w:val="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6">
    <w:name w:val="Book Title"/>
    <w:basedOn w:val="8"/>
    <w:qFormat/>
    <w:uiPriority w:val="33"/>
    <w:rPr>
      <w:b/>
      <w:bCs/>
      <w:i/>
      <w:iCs/>
      <w:spacing w:val="5"/>
    </w:rPr>
  </w:style>
  <w:style w:type="character" w:customStyle="1" w:styleId="17">
    <w:name w:val="Subtle Emphasis"/>
    <w:basedOn w:val="8"/>
    <w:qFormat/>
    <w:uiPriority w:val="19"/>
    <w:rPr>
      <w:i/>
      <w:iCs/>
      <w:color w:val="404040" w:themeColor="text1" w:themeTint="BF"/>
      <w14:textFill>
        <w14:solidFill>
          <w14:schemeClr w14:val="tx1">
            <w14:lumMod w14:val="75000"/>
            <w14:lumOff w14:val="25000"/>
          </w14:schemeClr>
        </w14:solidFill>
      </w14:textFill>
    </w:rPr>
  </w:style>
  <w:style w:type="character" w:customStyle="1" w:styleId="18">
    <w:name w:val="副标题 Char"/>
    <w:basedOn w:val="8"/>
    <w:link w:val="7"/>
    <w:qFormat/>
    <w:uiPriority w:val="0"/>
    <w:rPr>
      <w:rFonts w:asciiTheme="majorHAnsi" w:hAnsiTheme="majorHAnsi" w:cstheme="majorBidi"/>
      <w:b/>
      <w:bCs/>
      <w:kern w:val="28"/>
      <w:sz w:val="32"/>
      <w:szCs w:val="32"/>
    </w:rPr>
  </w:style>
  <w:style w:type="character" w:customStyle="1" w:styleId="19">
    <w:name w:val="页眉 Char"/>
    <w:basedOn w:val="8"/>
    <w:link w:val="6"/>
    <w:qFormat/>
    <w:uiPriority w:val="0"/>
    <w:rPr>
      <w:rFonts w:asciiTheme="minorHAnsi" w:hAnsiTheme="minorHAnsi" w:eastAsiaTheme="minorEastAsia" w:cstheme="minorBidi"/>
      <w:kern w:val="2"/>
      <w:sz w:val="18"/>
      <w:szCs w:val="18"/>
    </w:rPr>
  </w:style>
  <w:style w:type="character" w:customStyle="1" w:styleId="20">
    <w:name w:val="页脚 Char"/>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5079365079365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460209572359105"/>
                  <c:y val="-0.045079365079365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250</c:v>
                </c:pt>
                <c:pt idx="1">
                  <c:v>500</c:v>
                </c:pt>
                <c:pt idx="2">
                  <c:v>750</c:v>
                </c:pt>
                <c:pt idx="3">
                  <c:v>1000</c:v>
                </c:pt>
                <c:pt idx="4">
                  <c:v>1250</c:v>
                </c:pt>
                <c:pt idx="5">
                  <c:v>1500</c:v>
                </c:pt>
              </c:numCache>
            </c:numRef>
          </c:cat>
          <c:val>
            <c:numRef>
              <c:f>Sheet1!$B$2:$B$7</c:f>
              <c:numCache>
                <c:formatCode>General</c:formatCode>
                <c:ptCount val="6"/>
                <c:pt idx="0">
                  <c:v>1020</c:v>
                </c:pt>
                <c:pt idx="1">
                  <c:v>1018</c:v>
                </c:pt>
                <c:pt idx="2">
                  <c:v>1023</c:v>
                </c:pt>
                <c:pt idx="3">
                  <c:v>1011</c:v>
                </c:pt>
                <c:pt idx="4">
                  <c:v>1032</c:v>
                </c:pt>
                <c:pt idx="5">
                  <c:v>1021</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549419427924101"/>
                  <c:y val="-0.034497354497354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514018691588785"/>
                  <c:y val="-0.042328042328042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250</c:v>
                </c:pt>
                <c:pt idx="1">
                  <c:v>500</c:v>
                </c:pt>
                <c:pt idx="2">
                  <c:v>750</c:v>
                </c:pt>
                <c:pt idx="3">
                  <c:v>1000</c:v>
                </c:pt>
                <c:pt idx="4">
                  <c:v>1250</c:v>
                </c:pt>
                <c:pt idx="5">
                  <c:v>1500</c:v>
                </c:pt>
              </c:numCache>
            </c:numRef>
          </c:cat>
          <c:val>
            <c:numRef>
              <c:f>Sheet1!$C$2:$C$7</c:f>
              <c:numCache>
                <c:formatCode>General</c:formatCode>
                <c:ptCount val="6"/>
                <c:pt idx="0">
                  <c:v>1712</c:v>
                </c:pt>
                <c:pt idx="1">
                  <c:v>1798</c:v>
                </c:pt>
                <c:pt idx="2">
                  <c:v>1856</c:v>
                </c:pt>
                <c:pt idx="3">
                  <c:v>1912</c:v>
                </c:pt>
                <c:pt idx="4">
                  <c:v>1949</c:v>
                </c:pt>
                <c:pt idx="5">
                  <c:v>1982</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节点数量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512602662135372"/>
                  <c:y val="-0.055661375661375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2000</c:v>
                </c:pt>
                <c:pt idx="1">
                  <c:v>8000</c:v>
                </c:pt>
                <c:pt idx="2">
                  <c:v>32000</c:v>
                </c:pt>
                <c:pt idx="3">
                  <c:v>128000</c:v>
                </c:pt>
                <c:pt idx="4">
                  <c:v>150000</c:v>
                </c:pt>
              </c:numCache>
            </c:numRef>
          </c:cat>
          <c:val>
            <c:numRef>
              <c:f>Sheet1!$B$2:$B$7</c:f>
              <c:numCache>
                <c:formatCode>General</c:formatCode>
                <c:ptCount val="6"/>
                <c:pt idx="0">
                  <c:v>1022</c:v>
                </c:pt>
                <c:pt idx="1">
                  <c:v>1025</c:v>
                </c:pt>
                <c:pt idx="2">
                  <c:v>1030</c:v>
                </c:pt>
                <c:pt idx="3">
                  <c:v>1042</c:v>
                </c:pt>
                <c:pt idx="4">
                  <c:v>1056</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390824129141886"/>
                  <c:y val="-0.034285714285714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549419427924101"/>
                  <c:y val="-0.034497354497354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2000</c:v>
                </c:pt>
                <c:pt idx="1">
                  <c:v>8000</c:v>
                </c:pt>
                <c:pt idx="2">
                  <c:v>32000</c:v>
                </c:pt>
                <c:pt idx="3">
                  <c:v>128000</c:v>
                </c:pt>
                <c:pt idx="4">
                  <c:v>150000</c:v>
                </c:pt>
              </c:numCache>
            </c:numRef>
          </c:cat>
          <c:val>
            <c:numRef>
              <c:f>Sheet1!$C$2:$C$7</c:f>
              <c:numCache>
                <c:formatCode>General</c:formatCode>
                <c:ptCount val="6"/>
                <c:pt idx="0">
                  <c:v>1979</c:v>
                </c:pt>
                <c:pt idx="1">
                  <c:v>1985</c:v>
                </c:pt>
                <c:pt idx="2">
                  <c:v>1989</c:v>
                </c:pt>
                <c:pt idx="3">
                  <c:v>1998</c:v>
                </c:pt>
                <c:pt idx="4">
                  <c:v>2003</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地址数量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出块速度</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460209572359105"/>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12602662135372"/>
                  <c:y val="-0.047619047619047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c:v>
                </c:pt>
                <c:pt idx="1">
                  <c:v>500</c:v>
                </c:pt>
                <c:pt idx="2">
                  <c:v>2000</c:v>
                </c:pt>
                <c:pt idx="3">
                  <c:v>4000</c:v>
                </c:pt>
                <c:pt idx="4">
                  <c:v>8000</c:v>
                </c:pt>
                <c:pt idx="5">
                  <c:v>16000</c:v>
                </c:pt>
              </c:numCache>
            </c:numRef>
          </c:cat>
          <c:val>
            <c:numRef>
              <c:f>Sheet1!$B$2:$B$7</c:f>
              <c:numCache>
                <c:formatCode>General</c:formatCode>
                <c:ptCount val="6"/>
                <c:pt idx="0">
                  <c:v>1022</c:v>
                </c:pt>
                <c:pt idx="1">
                  <c:v>1035</c:v>
                </c:pt>
                <c:pt idx="2">
                  <c:v>1026</c:v>
                </c:pt>
                <c:pt idx="3">
                  <c:v>1025</c:v>
                </c:pt>
                <c:pt idx="4">
                  <c:v>1041</c:v>
                </c:pt>
                <c:pt idx="5">
                  <c:v>1032</c:v>
                </c:pt>
              </c:numCache>
            </c:numRef>
          </c:val>
          <c:smooth val="0"/>
        </c:ser>
        <c:ser>
          <c:idx val="1"/>
          <c:order val="1"/>
          <c:tx>
            <c:strRef>
              <c:f>Sheet1!$C$1</c:f>
              <c:strCache>
                <c:ptCount val="1"/>
                <c:pt idx="0">
                  <c:v>首次确认时间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390824129141886"/>
                  <c:y val="-0.034285714285714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delete val="1"/>
            </c:dLbl>
            <c:dLbl>
              <c:idx val="2"/>
              <c:delete val="1"/>
            </c:dLbl>
            <c:dLbl>
              <c:idx val="3"/>
              <c:delete val="1"/>
            </c:dLbl>
            <c:dLbl>
              <c:idx val="4"/>
              <c:delete val="1"/>
            </c:dLbl>
            <c:dLbl>
              <c:idx val="5"/>
              <c:layout>
                <c:manualLayout>
                  <c:x val="-0.0583404134806004"/>
                  <c:y val="-0.04486772486772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c:v>
                </c:pt>
                <c:pt idx="1">
                  <c:v>500</c:v>
                </c:pt>
                <c:pt idx="2">
                  <c:v>2000</c:v>
                </c:pt>
                <c:pt idx="3">
                  <c:v>4000</c:v>
                </c:pt>
                <c:pt idx="4">
                  <c:v>8000</c:v>
                </c:pt>
                <c:pt idx="5">
                  <c:v>16000</c:v>
                </c:pt>
              </c:numCache>
            </c:numRef>
          </c:cat>
          <c:val>
            <c:numRef>
              <c:f>Sheet1!$C$2:$C$7</c:f>
              <c:numCache>
                <c:formatCode>General</c:formatCode>
                <c:ptCount val="6"/>
                <c:pt idx="0">
                  <c:v>1982</c:v>
                </c:pt>
                <c:pt idx="1">
                  <c:v>2013</c:v>
                </c:pt>
                <c:pt idx="2">
                  <c:v>2102</c:v>
                </c:pt>
                <c:pt idx="3">
                  <c:v>2312</c:v>
                </c:pt>
                <c:pt idx="4">
                  <c:v>3212</c:v>
                </c:pt>
                <c:pt idx="5">
                  <c:v>4032</c:v>
                </c:pt>
              </c:numCache>
            </c:numRef>
          </c:val>
          <c:smooth val="0"/>
        </c:ser>
        <c:dLbls>
          <c:showLegendKey val="0"/>
          <c:showVal val="0"/>
          <c:showCatName val="0"/>
          <c:showSerName val="0"/>
          <c:showPercent val="0"/>
          <c:showBubbleSize val="0"/>
        </c:dLbls>
        <c:marker val="1"/>
        <c:smooth val="0"/>
        <c:axId val="513901699"/>
        <c:axId val="498457851"/>
      </c:lineChart>
      <c:catAx>
        <c:axId val="51390169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交易</a:t>
                </a:r>
                <a:r>
                  <a:t>数量</a:t>
                </a:r>
                <a:r>
                  <a:rPr lang="en-US"/>
                  <a:t>(</a:t>
                </a:r>
                <a:r>
                  <a:rPr u="heavy"/>
                  <a:t>个</a:t>
                </a:r>
                <a:r>
                  <a:rPr lang="en-US"/>
                  <a:t>)</a:t>
                </a:r>
                <a:endParaRPr 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457851"/>
        <c:crosses val="autoZero"/>
        <c:auto val="1"/>
        <c:lblAlgn val="ctr"/>
        <c:lblOffset val="100"/>
        <c:noMultiLvlLbl val="0"/>
      </c:catAx>
      <c:valAx>
        <c:axId val="498457851"/>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延迟时间</a:t>
                </a:r>
                <a:r>
                  <a:rPr lang="en-US"/>
                  <a:t>(ms)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390169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880</Words>
  <Characters>5018</Characters>
  <Lines>41</Lines>
  <Paragraphs>11</Paragraphs>
  <TotalTime>9</TotalTime>
  <ScaleCrop>false</ScaleCrop>
  <LinksUpToDate>false</LinksUpToDate>
  <CharactersWithSpaces>5887</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TangMin</dc:creator>
  <cp:lastModifiedBy>呆呆的小馒头</cp:lastModifiedBy>
  <dcterms:modified xsi:type="dcterms:W3CDTF">2018-09-27T09:40:51Z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