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registro;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registro;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pessoa(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id_pessoa int NOT NULL 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nome varchar (30)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cpf int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cep int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bairro varchar (50)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endereço varchar(50)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complemento 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email varchar (40),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telefone bigint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senhapin int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nascimento date,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sexo enum ('M', 'F', 'outro', 'pnd'),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primary key (id_pessoa)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)default charset =utf8;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empresa(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id_empresa int NOT NULL  auto_increment,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nome varchar (30)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cnpj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cep int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bairro varchar (50)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endereço varchar(50)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complemento 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email varchar (40)NOT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telefone bigint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senhapin int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primary key (id_empresa)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)default charset =utf8;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pergunta(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id_pergunta int NOT NULL  auto_increment,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nome varchar (30)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email varchar (30)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id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duvida text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primary key (id_pergunta)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)default charset =utf8;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