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3A5C"/>
          <w:sz w:val="38"/>
        </w:rPr>
        <w:t>Requirement provenance — where each of the 82 features came from</w:t>
      </w:r>
    </w:p>
    <w:p>
      <w:r>
        <w:rPr>
          <w:b/>
          <w:i w:val="0"/>
          <w:color w:val="B3261E"/>
          <w:sz w:val="20"/>
        </w:rPr>
        <w:t>A mark means the source's published documentation evidenced this requirement. It does NOT mean the product has the feature, and a blank does NOT mean it lacks one.</w:t>
      </w:r>
    </w:p>
    <w:p>
      <w:r>
        <w:rPr>
          <w:b w:val="0"/>
          <w:i w:val="0"/>
          <w:sz w:val="19"/>
        </w:rPr>
        <w:t>The research behind the gap matrix was a handful of published pages per vendor — enough to establish what the market expects a key management system to do, nowhere near enough to compare products feature by feature. A capability comparison would need a hands-on evaluation of each product, and this is not one.</w:t>
      </w:r>
    </w:p>
    <w:p/>
    <w:tbl>
      <w:tblPr>
        <w:tblStyle w:val="TableGrid"/>
        <w:tblW w:type="auto" w:w="0"/>
        <w:tblLook w:firstColumn="1" w:firstRow="1" w:lastColumn="0" w:lastRow="0" w:noHBand="0" w:noVBand="1" w:val="04A0"/>
      </w:tblPr>
      <w:tblGrid>
        <w:gridCol w:w="3812"/>
        <w:gridCol w:w="3812"/>
        <w:gridCol w:w="3812"/>
        <w:gridCol w:w="3812"/>
      </w:tblGrid>
      <w:tr>
        <w:tc>
          <w:tcPr>
            <w:tcW w:type="dxa" w:w="893"/>
            <w:shd w:fill="EEF4FA" w:val="clear"/>
          </w:tcPr>
          <w:p>
            <w:r>
              <w:rPr>
                <w:b/>
                <w:color w:val="1A3A5C"/>
                <w:sz w:val="18"/>
              </w:rPr>
              <w:t>THA</w:t>
            </w:r>
          </w:p>
        </w:tc>
        <w:tc>
          <w:tcPr>
            <w:tcW w:type="dxa" w:w="6725"/>
            <w:shd w:fill="EEF4FA" w:val="clear"/>
          </w:tcPr>
          <w:p>
            <w:r>
              <w:rPr>
                <w:color w:val="404040"/>
                <w:sz w:val="17"/>
              </w:rPr>
              <w:t>Thales CipherTrust Manager</w:t>
            </w:r>
          </w:p>
        </w:tc>
        <w:tc>
          <w:tcPr>
            <w:tcW w:type="dxa" w:w="893"/>
            <w:shd w:fill="EEF4FA" w:val="clear"/>
          </w:tcPr>
          <w:p>
            <w:r>
              <w:rPr>
                <w:b/>
                <w:color w:val="1A3A5C"/>
                <w:sz w:val="18"/>
              </w:rPr>
              <w:t>FOR</w:t>
            </w:r>
          </w:p>
        </w:tc>
        <w:tc>
          <w:tcPr>
            <w:tcW w:type="dxa" w:w="6725"/>
            <w:shd w:fill="EEF4FA" w:val="clear"/>
          </w:tcPr>
          <w:p>
            <w:r>
              <w:rPr>
                <w:color w:val="404040"/>
                <w:sz w:val="17"/>
              </w:rPr>
              <w:t>Fortanix Data Security Manager</w:t>
            </w:r>
          </w:p>
        </w:tc>
      </w:tr>
      <w:tr>
        <w:tc>
          <w:tcPr>
            <w:tcW w:type="dxa" w:w="893"/>
            <w:shd w:fill="EEF4FA" w:val="clear"/>
          </w:tcPr>
          <w:p>
            <w:r>
              <w:rPr>
                <w:b/>
                <w:color w:val="1A3A5C"/>
                <w:sz w:val="18"/>
              </w:rPr>
              <w:t>ENT</w:t>
            </w:r>
          </w:p>
        </w:tc>
        <w:tc>
          <w:tcPr>
            <w:tcW w:type="dxa" w:w="6725"/>
            <w:shd w:fill="EEF4FA" w:val="clear"/>
          </w:tcPr>
          <w:p>
            <w:r>
              <w:rPr>
                <w:color w:val="404040"/>
                <w:sz w:val="17"/>
              </w:rPr>
              <w:t>Entrust KeyControl</w:t>
            </w:r>
          </w:p>
        </w:tc>
        <w:tc>
          <w:tcPr>
            <w:tcW w:type="dxa" w:w="893"/>
            <w:shd w:fill="EEF4FA" w:val="clear"/>
          </w:tcPr>
          <w:p>
            <w:r>
              <w:rPr>
                <w:b/>
                <w:color w:val="1A3A5C"/>
                <w:sz w:val="18"/>
              </w:rPr>
              <w:t>UTI</w:t>
            </w:r>
          </w:p>
        </w:tc>
        <w:tc>
          <w:tcPr>
            <w:tcW w:type="dxa" w:w="6725"/>
            <w:shd w:fill="EEF4FA" w:val="clear"/>
          </w:tcPr>
          <w:p>
            <w:r>
              <w:rPr>
                <w:color w:val="404040"/>
                <w:sz w:val="17"/>
              </w:rPr>
              <w:t>Utimaco Enterprise Secure Key Manager</w:t>
            </w:r>
          </w:p>
        </w:tc>
      </w:tr>
      <w:tr>
        <w:tc>
          <w:tcPr>
            <w:tcW w:type="dxa" w:w="893"/>
            <w:shd w:fill="EEF4FA" w:val="clear"/>
          </w:tcPr>
          <w:p>
            <w:r>
              <w:rPr>
                <w:b/>
                <w:color w:val="1A3A5C"/>
                <w:sz w:val="18"/>
              </w:rPr>
              <w:t>BLO</w:t>
            </w:r>
          </w:p>
        </w:tc>
        <w:tc>
          <w:tcPr>
            <w:tcW w:type="dxa" w:w="6725"/>
            <w:shd w:fill="EEF4FA" w:val="clear"/>
          </w:tcPr>
          <w:p>
            <w:r>
              <w:rPr>
                <w:color w:val="404040"/>
                <w:sz w:val="17"/>
              </w:rPr>
              <w:t>Bloombase KeyCastle</w:t>
            </w:r>
          </w:p>
        </w:tc>
        <w:tc>
          <w:tcPr>
            <w:tcW w:type="dxa" w:w="893"/>
            <w:shd w:fill="EEF4FA" w:val="clear"/>
          </w:tcPr>
          <w:p>
            <w:r>
              <w:rPr>
                <w:b/>
                <w:color w:val="1A3A5C"/>
                <w:sz w:val="18"/>
              </w:rPr>
              <w:t>COS</w:t>
            </w:r>
          </w:p>
        </w:tc>
        <w:tc>
          <w:tcPr>
            <w:tcW w:type="dxa" w:w="6725"/>
            <w:shd w:fill="EEF4FA" w:val="clear"/>
          </w:tcPr>
          <w:p>
            <w:r>
              <w:rPr>
                <w:color w:val="404040"/>
                <w:sz w:val="17"/>
              </w:rPr>
              <w:t>Cosmian / Eviden KMS</w:t>
            </w:r>
          </w:p>
        </w:tc>
      </w:tr>
      <w:tr>
        <w:tc>
          <w:tcPr>
            <w:tcW w:type="dxa" w:w="893"/>
            <w:shd w:fill="EEF4FA" w:val="clear"/>
          </w:tcPr>
          <w:p>
            <w:r>
              <w:rPr>
                <w:b/>
                <w:color w:val="1A3A5C"/>
                <w:sz w:val="18"/>
              </w:rPr>
              <w:t>SEC</w:t>
            </w:r>
          </w:p>
        </w:tc>
        <w:tc>
          <w:tcPr>
            <w:tcW w:type="dxa" w:w="6725"/>
            <w:shd w:fill="EEF4FA" w:val="clear"/>
          </w:tcPr>
          <w:p>
            <w:r>
              <w:rPr>
                <w:color w:val="404040"/>
                <w:sz w:val="17"/>
              </w:rPr>
              <w:t>Securosys CyberVault KMS</w:t>
            </w:r>
          </w:p>
        </w:tc>
        <w:tc>
          <w:tcPr>
            <w:tcW w:type="dxa" w:w="893"/>
            <w:shd w:fill="EEF4FA" w:val="clear"/>
          </w:tcPr>
          <w:p>
            <w:r>
              <w:rPr>
                <w:b/>
                <w:color w:val="1A3A5C"/>
                <w:sz w:val="18"/>
              </w:rPr>
              <w:t>VLT</w:t>
            </w:r>
          </w:p>
        </w:tc>
        <w:tc>
          <w:tcPr>
            <w:tcW w:type="dxa" w:w="6725"/>
            <w:shd w:fill="EEF4FA" w:val="clear"/>
          </w:tcPr>
          <w:p>
            <w:r>
              <w:rPr>
                <w:color w:val="404040"/>
                <w:sz w:val="17"/>
              </w:rPr>
              <w:t>HashiCorp Vault</w:t>
            </w:r>
          </w:p>
        </w:tc>
      </w:tr>
      <w:tr>
        <w:tc>
          <w:tcPr>
            <w:tcW w:type="dxa" w:w="893"/>
            <w:shd w:fill="EEF4FA" w:val="clear"/>
          </w:tcPr>
          <w:p>
            <w:r>
              <w:rPr>
                <w:b/>
                <w:color w:val="1A3A5C"/>
                <w:sz w:val="18"/>
              </w:rPr>
              <w:t>CLD</w:t>
            </w:r>
          </w:p>
        </w:tc>
        <w:tc>
          <w:tcPr>
            <w:tcW w:type="dxa" w:w="6725"/>
            <w:shd w:fill="EEF4FA" w:val="clear"/>
          </w:tcPr>
          <w:p>
            <w:r>
              <w:rPr>
                <w:color w:val="404040"/>
                <w:sz w:val="17"/>
              </w:rPr>
              <w:t>AWS KMS / Azure Managed HSM / Google Cloud KMS</w:t>
            </w:r>
          </w:p>
        </w:tc>
        <w:tc>
          <w:tcPr>
            <w:tcW w:type="dxa" w:w="893"/>
            <w:shd w:fill="EEF4FA" w:val="clear"/>
          </w:tcPr>
          <w:p>
            <w:r>
              <w:rPr>
                <w:b/>
                <w:color w:val="1A3A5C"/>
                <w:sz w:val="18"/>
              </w:rPr>
              <w:t>STD</w:t>
            </w:r>
          </w:p>
        </w:tc>
        <w:tc>
          <w:tcPr>
            <w:tcW w:type="dxa" w:w="6725"/>
            <w:shd w:fill="EEF4FA" w:val="clear"/>
          </w:tcPr>
          <w:p>
            <w:r>
              <w:rPr>
                <w:color w:val="404040"/>
                <w:sz w:val="17"/>
              </w:rPr>
              <w:t>NIST SP 800-57, SP 800-152, OASIS KMIP 2.1 and 3.0</w:t>
            </w:r>
          </w:p>
        </w:tc>
      </w:tr>
      <w:tr>
        <w:tc>
          <w:tcPr>
            <w:tcW w:type="dxa" w:w="893"/>
            <w:shd w:fill="FBF3E3" w:val="clear"/>
          </w:tcPr>
          <w:p>
            <w:r>
              <w:rPr>
                <w:b/>
                <w:color w:val="8F5610"/>
                <w:sz w:val="18"/>
              </w:rPr>
              <w:t>CAT</w:t>
            </w:r>
          </w:p>
        </w:tc>
        <w:tc>
          <w:tcPr>
            <w:tcW w:type="dxa" w:w="6725"/>
            <w:shd w:fill="FBF3E3" w:val="clear"/>
          </w:tcPr>
          <w:p>
            <w:r>
              <w:rPr>
                <w:color w:val="404040"/>
                <w:sz w:val="17"/>
              </w:rPr>
              <w:t>Category baseline — no source named it</w:t>
            </w:r>
          </w:p>
        </w:tc>
        <w:tc>
          <w:tcPr>
            <w:tcW w:type="dxa" w:w="3812"/>
            <w:shd w:fill="FFFFFF" w:val="clear"/>
          </w:tcPr>
          <w:p/>
        </w:tc>
        <w:tc>
          <w:tcPr>
            <w:tcW w:type="dxa" w:w="3812"/>
            <w:shd w:fill="FFFFFF" w:val="clear"/>
          </w:tcPr>
          <w:p/>
        </w:tc>
      </w:tr>
    </w:tbl>
    <w:p/>
    <w:p>
      <w:r>
        <w:rPr>
          <w:b w:val="0"/>
          <w:i/>
          <w:color w:val="404040"/>
          <w:sz w:val="18"/>
        </w:rPr>
        <w:t>CAT is the honest residue: requirements no source in the research named, present because they are ordinary practice for a networked service that handles secrets. It never sits beside another code — the generator refuses to build if it does — so the CAT column counts exactly the requirements nothing evidenced, and those rows are marked in amber rather than left to hide among the others.</w:t>
      </w:r>
    </w:p>
    <w:p/>
    <w:p>
      <w:r>
        <w:rPr>
          <w:b w:val="0"/>
          <w:i/>
          <w:color w:val="404040"/>
          <w:sz w:val="18"/>
        </w:rPr>
        <w:t>Marks are given strictly, and that costs blank cells. A vendor whose documentation describes audit logging has evidenced an audit trail, not a tamper-evident one, so it leaves the tamper-evidence row blank. Read a blank as “not seen in what was read”, never as “absent from the product”.</w:t>
      </w:r>
    </w:p>
    <w:p>
      <w:r>
        <w:br w:type="page"/>
      </w:r>
    </w:p>
    <w:p>
      <w:pPr>
        <w:pStyle w:val="Heading2"/>
      </w:pPr>
      <w:r>
        <w:rPr>
          <w:color w:val="1A3A5C"/>
        </w:rPr>
        <w:t>Key lifecycle and cryptography</w:t>
      </w:r>
    </w:p>
    <w:tbl>
      <w:tblPr>
        <w:tblStyle w:val="TableGrid"/>
        <w:tblW w:type="auto" w:w="0"/>
        <w:tblLayout w:type="fixed"/>
        <w:tblLook w:firstColumn="1" w:firstRow="1" w:lastColumn="0" w:lastRow="0" w:noHBand="0" w:noVBand="1" w:val="04A0"/>
        <w:tblLayout w:type="fixed"/>
      </w:tblPr>
      <w:tblGrid>
        <w:gridCol w:w="6177"/>
        <w:gridCol w:w="720"/>
        <w:gridCol w:w="720"/>
        <w:gridCol w:w="720"/>
        <w:gridCol w:w="720"/>
        <w:gridCol w:w="720"/>
        <w:gridCol w:w="720"/>
        <w:gridCol w:w="720"/>
        <w:gridCol w:w="720"/>
        <w:gridCol w:w="720"/>
        <w:gridCol w:w="720"/>
        <w:gridCol w:w="720"/>
        <w:gridCol w:w="1152"/>
      </w:tblGrid>
      <w:tr>
        <w:tc>
          <w:tcPr>
            <w:tcW w:type="dxa" w:w="6178"/>
            <w:shd w:fill="1A3A5C" w:val="clear"/>
          </w:tcPr>
          <w:p>
            <w:pPr>
              <w:jc w:val="left"/>
            </w:pPr>
            <w:r>
              <w:rPr>
                <w:b/>
                <w:color w:val="FFFFFF"/>
                <w:sz w:val="16"/>
              </w:rPr>
              <w:t>Requirement</w:t>
            </w:r>
          </w:p>
        </w:tc>
        <w:tc>
          <w:tcPr>
            <w:tcW w:type="dxa" w:w="720"/>
            <w:shd w:fill="1A3A5C" w:val="clear"/>
          </w:tcPr>
          <w:p>
            <w:pPr>
              <w:jc w:val="center"/>
            </w:pPr>
            <w:r>
              <w:rPr>
                <w:b/>
                <w:color w:val="FFFFFF"/>
                <w:sz w:val="16"/>
              </w:rPr>
              <w:t>THA</w:t>
            </w:r>
          </w:p>
        </w:tc>
        <w:tc>
          <w:tcPr>
            <w:tcW w:type="dxa" w:w="720"/>
            <w:shd w:fill="1A3A5C" w:val="clear"/>
          </w:tcPr>
          <w:p>
            <w:pPr>
              <w:jc w:val="center"/>
            </w:pPr>
            <w:r>
              <w:rPr>
                <w:b/>
                <w:color w:val="FFFFFF"/>
                <w:sz w:val="16"/>
              </w:rPr>
              <w:t>FOR</w:t>
            </w:r>
          </w:p>
        </w:tc>
        <w:tc>
          <w:tcPr>
            <w:tcW w:type="dxa" w:w="720"/>
            <w:shd w:fill="1A3A5C" w:val="clear"/>
          </w:tcPr>
          <w:p>
            <w:pPr>
              <w:jc w:val="center"/>
            </w:pPr>
            <w:r>
              <w:rPr>
                <w:b/>
                <w:color w:val="FFFFFF"/>
                <w:sz w:val="16"/>
              </w:rPr>
              <w:t>ENT</w:t>
            </w:r>
          </w:p>
        </w:tc>
        <w:tc>
          <w:tcPr>
            <w:tcW w:type="dxa" w:w="720"/>
            <w:shd w:fill="1A3A5C" w:val="clear"/>
          </w:tcPr>
          <w:p>
            <w:pPr>
              <w:jc w:val="center"/>
            </w:pPr>
            <w:r>
              <w:rPr>
                <w:b/>
                <w:color w:val="FFFFFF"/>
                <w:sz w:val="16"/>
              </w:rPr>
              <w:t>UTI</w:t>
            </w:r>
          </w:p>
        </w:tc>
        <w:tc>
          <w:tcPr>
            <w:tcW w:type="dxa" w:w="720"/>
            <w:shd w:fill="1A3A5C" w:val="clear"/>
          </w:tcPr>
          <w:p>
            <w:pPr>
              <w:jc w:val="center"/>
            </w:pPr>
            <w:r>
              <w:rPr>
                <w:b/>
                <w:color w:val="FFFFFF"/>
                <w:sz w:val="16"/>
              </w:rPr>
              <w:t>BLO</w:t>
            </w:r>
          </w:p>
        </w:tc>
        <w:tc>
          <w:tcPr>
            <w:tcW w:type="dxa" w:w="720"/>
            <w:shd w:fill="1A3A5C" w:val="clear"/>
          </w:tcPr>
          <w:p>
            <w:pPr>
              <w:jc w:val="center"/>
            </w:pPr>
            <w:r>
              <w:rPr>
                <w:b/>
                <w:color w:val="FFFFFF"/>
                <w:sz w:val="16"/>
              </w:rPr>
              <w:t>COS</w:t>
            </w:r>
          </w:p>
        </w:tc>
        <w:tc>
          <w:tcPr>
            <w:tcW w:type="dxa" w:w="720"/>
            <w:shd w:fill="1A3A5C" w:val="clear"/>
          </w:tcPr>
          <w:p>
            <w:pPr>
              <w:jc w:val="center"/>
            </w:pPr>
            <w:r>
              <w:rPr>
                <w:b/>
                <w:color w:val="FFFFFF"/>
                <w:sz w:val="16"/>
              </w:rPr>
              <w:t>SEC</w:t>
            </w:r>
          </w:p>
        </w:tc>
        <w:tc>
          <w:tcPr>
            <w:tcW w:type="dxa" w:w="720"/>
            <w:shd w:fill="1A3A5C" w:val="clear"/>
          </w:tcPr>
          <w:p>
            <w:pPr>
              <w:jc w:val="center"/>
            </w:pPr>
            <w:r>
              <w:rPr>
                <w:b/>
                <w:color w:val="FFFFFF"/>
                <w:sz w:val="16"/>
              </w:rPr>
              <w:t>VLT</w:t>
            </w:r>
          </w:p>
        </w:tc>
        <w:tc>
          <w:tcPr>
            <w:tcW w:type="dxa" w:w="720"/>
            <w:shd w:fill="1A3A5C" w:val="clear"/>
          </w:tcPr>
          <w:p>
            <w:pPr>
              <w:jc w:val="center"/>
            </w:pPr>
            <w:r>
              <w:rPr>
                <w:b/>
                <w:color w:val="FFFFFF"/>
                <w:sz w:val="16"/>
              </w:rPr>
              <w:t>CLD</w:t>
            </w:r>
          </w:p>
        </w:tc>
        <w:tc>
          <w:tcPr>
            <w:tcW w:type="dxa" w:w="720"/>
            <w:shd w:fill="1A3A5C" w:val="clear"/>
          </w:tcPr>
          <w:p>
            <w:pPr>
              <w:jc w:val="center"/>
            </w:pPr>
            <w:r>
              <w:rPr>
                <w:b/>
                <w:color w:val="FFFFFF"/>
                <w:sz w:val="16"/>
              </w:rPr>
              <w:t>STD</w:t>
            </w:r>
          </w:p>
        </w:tc>
        <w:tc>
          <w:tcPr>
            <w:tcW w:type="dxa" w:w="720"/>
            <w:shd w:fill="1A3A5C" w:val="clear"/>
          </w:tcPr>
          <w:p>
            <w:pPr>
              <w:jc w:val="center"/>
            </w:pPr>
            <w:r>
              <w:rPr>
                <w:b/>
                <w:color w:val="FFFFFF"/>
                <w:sz w:val="16"/>
              </w:rPr>
              <w:t>CAT</w:t>
            </w:r>
          </w:p>
        </w:tc>
        <w:tc>
          <w:tcPr>
            <w:tcW w:type="dxa" w:w="1152"/>
            <w:shd w:fill="1A3A5C" w:val="clear"/>
          </w:tcPr>
          <w:p>
            <w:pPr>
              <w:jc w:val="center"/>
            </w:pPr>
            <w:r>
              <w:rPr>
                <w:b/>
                <w:color w:val="FFFFFF"/>
                <w:sz w:val="16"/>
              </w:rPr>
              <w:t>Status</w:t>
            </w:r>
          </w:p>
        </w:tc>
      </w:tr>
      <w:tr>
        <w:tc>
          <w:tcPr>
            <w:tcW w:type="dxa" w:w="6178"/>
            <w:shd w:fill="EEF4FA" w:val="clear"/>
          </w:tcPr>
          <w:p>
            <w:r>
              <w:rPr>
                <w:sz w:val="16"/>
              </w:rPr>
              <w:t>HSM-backed storage, keys never leave</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Full lifecycle state machine</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1E802E"/>
                <w:sz w:val="15"/>
              </w:rPr>
              <w:t>Covered</w:t>
            </w:r>
          </w:p>
        </w:tc>
      </w:tr>
      <w:tr>
        <w:tc>
          <w:tcPr>
            <w:tcW w:type="dxa" w:w="6178"/>
            <w:shd w:fill="EEF4FA" w:val="clear"/>
          </w:tcPr>
          <w:p>
            <w:r>
              <w:rPr>
                <w:sz w:val="16"/>
              </w:rPr>
              <w:t>Cryptoperiod enforcement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Automatic rotation</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r>
        <w:tc>
          <w:tcPr>
            <w:tcW w:type="dxa" w:w="6178"/>
            <w:shd w:fill="EEF4FA" w:val="clear"/>
          </w:tcPr>
          <w:p>
            <w:r>
              <w:rPr>
                <w:sz w:val="16"/>
              </w:rPr>
              <w:t>Key lineage and versioning</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Algorithm breadth</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r>
        <w:tc>
          <w:tcPr>
            <w:tcW w:type="dxa" w:w="6178"/>
            <w:shd w:fill="EEF4FA" w:val="clear"/>
          </w:tcPr>
          <w:p>
            <w:r>
              <w:rPr>
                <w:sz w:val="16"/>
              </w:rPr>
              <w:t>Post-quantum (ML-KEM, ML-DSA, SLH-DSA)</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Hardware RNG</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1E802E"/>
                <w:sz w:val="15"/>
              </w:rPr>
              <w:t>Covered</w:t>
            </w:r>
          </w:p>
        </w:tc>
      </w:tr>
      <w:tr>
        <w:tc>
          <w:tcPr>
            <w:tcW w:type="dxa" w:w="6178"/>
            <w:shd w:fill="EEF4FA" w:val="clear"/>
          </w:tcPr>
          <w:p>
            <w:r>
              <w:rPr>
                <w:sz w:val="16"/>
              </w:rPr>
              <w:t>Key derivation</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Key wrapping / secure import-export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1E802E"/>
                <w:sz w:val="15"/>
              </w:rPr>
              <w:t>Covered</w:t>
            </w:r>
          </w:p>
        </w:tc>
      </w:tr>
      <w:tr>
        <w:tc>
          <w:tcPr>
            <w:tcW w:type="dxa" w:w="6178"/>
            <w:shd w:fill="EEF4FA" w:val="clear"/>
          </w:tcPr>
          <w:p>
            <w:r>
              <w:rPr>
                <w:sz w:val="16"/>
              </w:rPr>
              <w:t>Split knowledge / M-of-N shares</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8F5610"/>
                <w:sz w:val="15"/>
              </w:rPr>
              <w:t>Partial</w:t>
            </w:r>
          </w:p>
        </w:tc>
      </w:tr>
      <w:tr>
        <w:tc>
          <w:tcPr>
            <w:tcW w:type="dxa" w:w="6178"/>
            <w:shd w:fill="FFFFFF" w:val="clear"/>
          </w:tcPr>
          <w:p>
            <w:r>
              <w:rPr>
                <w:sz w:val="16"/>
              </w:rPr>
              <w:t>Formal key ceremony</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B3261E"/>
                <w:sz w:val="15"/>
              </w:rPr>
              <w:t>Gap</w:t>
            </w:r>
          </w:p>
        </w:tc>
      </w:tr>
      <w:tr>
        <w:tc>
          <w:tcPr>
            <w:tcW w:type="dxa" w:w="6178"/>
            <w:shd w:fill="EEF4FA" w:val="clear"/>
          </w:tcPr>
          <w:p>
            <w:r>
              <w:rPr>
                <w:sz w:val="16"/>
              </w:rPr>
              <w:t>Bulk and batch operations</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8F5610"/>
                <w:sz w:val="15"/>
              </w:rPr>
              <w:t>Partial</w:t>
            </w:r>
          </w:p>
        </w:tc>
      </w:tr>
      <w:tr>
        <w:tc>
          <w:tcPr>
            <w:tcW w:type="dxa" w:w="6178"/>
            <w:shd w:fill="FFFFFF" w:val="clear"/>
          </w:tcPr>
          <w:p>
            <w:r>
              <w:rPr>
                <w:sz w:val="16"/>
              </w:rPr>
              <w:t>Verifiable destruction</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1E802E"/>
                <w:sz w:val="15"/>
              </w:rPr>
              <w:t>Covered</w:t>
            </w:r>
          </w:p>
        </w:tc>
      </w:tr>
      <w:tr>
        <w:tc>
          <w:tcPr>
            <w:tcW w:type="dxa" w:w="6178"/>
            <w:shd w:fill="EEF4FA" w:val="clear"/>
          </w:tcPr>
          <w:p>
            <w:r>
              <w:rPr>
                <w:sz w:val="16"/>
              </w:rPr>
              <w:t>Key-bound usage policy enforced in hardware</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bl>
    <w:p/>
    <w:p>
      <w:pPr>
        <w:pStyle w:val="Heading2"/>
      </w:pPr>
      <w:r>
        <w:rPr>
          <w:color w:val="1A3A5C"/>
        </w:rPr>
        <w:t>Protocol and ecosystem integration</w:t>
      </w:r>
    </w:p>
    <w:tbl>
      <w:tblPr>
        <w:tblStyle w:val="TableGrid"/>
        <w:tblW w:type="auto" w:w="0"/>
        <w:tblLayout w:type="fixed"/>
        <w:tblLook w:firstColumn="1" w:firstRow="1" w:lastColumn="0" w:lastRow="0" w:noHBand="0" w:noVBand="1" w:val="04A0"/>
        <w:tblLayout w:type="fixed"/>
      </w:tblPr>
      <w:tblGrid>
        <w:gridCol w:w="6177"/>
        <w:gridCol w:w="720"/>
        <w:gridCol w:w="720"/>
        <w:gridCol w:w="720"/>
        <w:gridCol w:w="720"/>
        <w:gridCol w:w="720"/>
        <w:gridCol w:w="720"/>
        <w:gridCol w:w="720"/>
        <w:gridCol w:w="720"/>
        <w:gridCol w:w="720"/>
        <w:gridCol w:w="720"/>
        <w:gridCol w:w="720"/>
        <w:gridCol w:w="1152"/>
      </w:tblGrid>
      <w:tr>
        <w:tc>
          <w:tcPr>
            <w:tcW w:type="dxa" w:w="6178"/>
            <w:shd w:fill="1A3A5C" w:val="clear"/>
          </w:tcPr>
          <w:p>
            <w:pPr>
              <w:jc w:val="left"/>
            </w:pPr>
            <w:r>
              <w:rPr>
                <w:b/>
                <w:color w:val="FFFFFF"/>
                <w:sz w:val="16"/>
              </w:rPr>
              <w:t>Requirement</w:t>
            </w:r>
          </w:p>
        </w:tc>
        <w:tc>
          <w:tcPr>
            <w:tcW w:type="dxa" w:w="720"/>
            <w:shd w:fill="1A3A5C" w:val="clear"/>
          </w:tcPr>
          <w:p>
            <w:pPr>
              <w:jc w:val="center"/>
            </w:pPr>
            <w:r>
              <w:rPr>
                <w:b/>
                <w:color w:val="FFFFFF"/>
                <w:sz w:val="16"/>
              </w:rPr>
              <w:t>THA</w:t>
            </w:r>
          </w:p>
        </w:tc>
        <w:tc>
          <w:tcPr>
            <w:tcW w:type="dxa" w:w="720"/>
            <w:shd w:fill="1A3A5C" w:val="clear"/>
          </w:tcPr>
          <w:p>
            <w:pPr>
              <w:jc w:val="center"/>
            </w:pPr>
            <w:r>
              <w:rPr>
                <w:b/>
                <w:color w:val="FFFFFF"/>
                <w:sz w:val="16"/>
              </w:rPr>
              <w:t>FOR</w:t>
            </w:r>
          </w:p>
        </w:tc>
        <w:tc>
          <w:tcPr>
            <w:tcW w:type="dxa" w:w="720"/>
            <w:shd w:fill="1A3A5C" w:val="clear"/>
          </w:tcPr>
          <w:p>
            <w:pPr>
              <w:jc w:val="center"/>
            </w:pPr>
            <w:r>
              <w:rPr>
                <w:b/>
                <w:color w:val="FFFFFF"/>
                <w:sz w:val="16"/>
              </w:rPr>
              <w:t>ENT</w:t>
            </w:r>
          </w:p>
        </w:tc>
        <w:tc>
          <w:tcPr>
            <w:tcW w:type="dxa" w:w="720"/>
            <w:shd w:fill="1A3A5C" w:val="clear"/>
          </w:tcPr>
          <w:p>
            <w:pPr>
              <w:jc w:val="center"/>
            </w:pPr>
            <w:r>
              <w:rPr>
                <w:b/>
                <w:color w:val="FFFFFF"/>
                <w:sz w:val="16"/>
              </w:rPr>
              <w:t>UTI</w:t>
            </w:r>
          </w:p>
        </w:tc>
        <w:tc>
          <w:tcPr>
            <w:tcW w:type="dxa" w:w="720"/>
            <w:shd w:fill="1A3A5C" w:val="clear"/>
          </w:tcPr>
          <w:p>
            <w:pPr>
              <w:jc w:val="center"/>
            </w:pPr>
            <w:r>
              <w:rPr>
                <w:b/>
                <w:color w:val="FFFFFF"/>
                <w:sz w:val="16"/>
              </w:rPr>
              <w:t>BLO</w:t>
            </w:r>
          </w:p>
        </w:tc>
        <w:tc>
          <w:tcPr>
            <w:tcW w:type="dxa" w:w="720"/>
            <w:shd w:fill="1A3A5C" w:val="clear"/>
          </w:tcPr>
          <w:p>
            <w:pPr>
              <w:jc w:val="center"/>
            </w:pPr>
            <w:r>
              <w:rPr>
                <w:b/>
                <w:color w:val="FFFFFF"/>
                <w:sz w:val="16"/>
              </w:rPr>
              <w:t>COS</w:t>
            </w:r>
          </w:p>
        </w:tc>
        <w:tc>
          <w:tcPr>
            <w:tcW w:type="dxa" w:w="720"/>
            <w:shd w:fill="1A3A5C" w:val="clear"/>
          </w:tcPr>
          <w:p>
            <w:pPr>
              <w:jc w:val="center"/>
            </w:pPr>
            <w:r>
              <w:rPr>
                <w:b/>
                <w:color w:val="FFFFFF"/>
                <w:sz w:val="16"/>
              </w:rPr>
              <w:t>SEC</w:t>
            </w:r>
          </w:p>
        </w:tc>
        <w:tc>
          <w:tcPr>
            <w:tcW w:type="dxa" w:w="720"/>
            <w:shd w:fill="1A3A5C" w:val="clear"/>
          </w:tcPr>
          <w:p>
            <w:pPr>
              <w:jc w:val="center"/>
            </w:pPr>
            <w:r>
              <w:rPr>
                <w:b/>
                <w:color w:val="FFFFFF"/>
                <w:sz w:val="16"/>
              </w:rPr>
              <w:t>VLT</w:t>
            </w:r>
          </w:p>
        </w:tc>
        <w:tc>
          <w:tcPr>
            <w:tcW w:type="dxa" w:w="720"/>
            <w:shd w:fill="1A3A5C" w:val="clear"/>
          </w:tcPr>
          <w:p>
            <w:pPr>
              <w:jc w:val="center"/>
            </w:pPr>
            <w:r>
              <w:rPr>
                <w:b/>
                <w:color w:val="FFFFFF"/>
                <w:sz w:val="16"/>
              </w:rPr>
              <w:t>CLD</w:t>
            </w:r>
          </w:p>
        </w:tc>
        <w:tc>
          <w:tcPr>
            <w:tcW w:type="dxa" w:w="720"/>
            <w:shd w:fill="1A3A5C" w:val="clear"/>
          </w:tcPr>
          <w:p>
            <w:pPr>
              <w:jc w:val="center"/>
            </w:pPr>
            <w:r>
              <w:rPr>
                <w:b/>
                <w:color w:val="FFFFFF"/>
                <w:sz w:val="16"/>
              </w:rPr>
              <w:t>STD</w:t>
            </w:r>
          </w:p>
        </w:tc>
        <w:tc>
          <w:tcPr>
            <w:tcW w:type="dxa" w:w="720"/>
            <w:shd w:fill="1A3A5C" w:val="clear"/>
          </w:tcPr>
          <w:p>
            <w:pPr>
              <w:jc w:val="center"/>
            </w:pPr>
            <w:r>
              <w:rPr>
                <w:b/>
                <w:color w:val="FFFFFF"/>
                <w:sz w:val="16"/>
              </w:rPr>
              <w:t>CAT</w:t>
            </w:r>
          </w:p>
        </w:tc>
        <w:tc>
          <w:tcPr>
            <w:tcW w:type="dxa" w:w="1152"/>
            <w:shd w:fill="1A3A5C" w:val="clear"/>
          </w:tcPr>
          <w:p>
            <w:pPr>
              <w:jc w:val="center"/>
            </w:pPr>
            <w:r>
              <w:rPr>
                <w:b/>
                <w:color w:val="FFFFFF"/>
                <w:sz w:val="16"/>
              </w:rPr>
              <w:t>Status</w:t>
            </w:r>
          </w:p>
        </w:tc>
      </w:tr>
      <w:tr>
        <w:tc>
          <w:tcPr>
            <w:tcW w:type="dxa" w:w="6178"/>
            <w:shd w:fill="EEF4FA" w:val="clear"/>
          </w:tcPr>
          <w:p>
            <w:r>
              <w:rPr>
                <w:sz w:val="16"/>
              </w:rPr>
              <w:t>KMIP server</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KMIP interoperability certification</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B3261E"/>
                <w:sz w:val="15"/>
              </w:rPr>
              <w:t>Gap</w:t>
            </w:r>
          </w:p>
        </w:tc>
      </w:tr>
      <w:tr>
        <w:tc>
          <w:tcPr>
            <w:tcW w:type="dxa" w:w="6178"/>
            <w:shd w:fill="EEF4FA" w:val="clear"/>
          </w:tcPr>
          <w:p>
            <w:r>
              <w:rPr>
                <w:sz w:val="16"/>
              </w:rPr>
              <w:t>KMIP 3.0</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PKCS#11 provider for applications</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B3261E"/>
                <w:sz w:val="15"/>
              </w:rPr>
              <w:t>Gap</w:t>
            </w:r>
          </w:p>
        </w:tc>
      </w:tr>
      <w:tr>
        <w:tc>
          <w:tcPr>
            <w:tcW w:type="dxa" w:w="6178"/>
            <w:shd w:fill="EEF4FA" w:val="clear"/>
          </w:tcPr>
          <w:p>
            <w:r>
              <w:rPr>
                <w:sz w:val="16"/>
              </w:rPr>
              <w:t>REST / JSON API</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Cloud BYOK (AWS, Azure, GCP)</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B3261E"/>
                <w:sz w:val="15"/>
              </w:rPr>
              <w:t>Gap</w:t>
            </w:r>
          </w:p>
        </w:tc>
      </w:tr>
      <w:tr>
        <w:tc>
          <w:tcPr>
            <w:tcW w:type="dxa" w:w="6178"/>
            <w:shd w:fill="EEF4FA" w:val="clear"/>
          </w:tcPr>
          <w:p>
            <w:r>
              <w:rPr>
                <w:sz w:val="16"/>
              </w:rPr>
              <w:t>Cloud EKM / XKS / hold-your-own-key</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Database TDE integration</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r>
        <w:tc>
          <w:tcPr>
            <w:tcW w:type="dxa" w:w="6178"/>
            <w:shd w:fill="EEF4FA" w:val="clear"/>
          </w:tcPr>
          <w:p>
            <w:r>
              <w:rPr>
                <w:sz w:val="16"/>
              </w:rPr>
              <w:t>Storage, backup and VM integrations</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8F5610"/>
                <w:sz w:val="15"/>
              </w:rPr>
              <w:t>Partial</w:t>
            </w:r>
          </w:p>
        </w:tc>
      </w:tr>
      <w:tr>
        <w:tc>
          <w:tcPr>
            <w:tcW w:type="dxa" w:w="6178"/>
            <w:shd w:fill="FFFFFF" w:val="clear"/>
          </w:tcPr>
          <w:p>
            <w:r>
              <w:rPr>
                <w:sz w:val="16"/>
              </w:rPr>
              <w:t>Secrets management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r>
        <w:tc>
          <w:tcPr>
            <w:tcW w:type="dxa" w:w="6178"/>
            <w:shd w:fill="EEF4FA" w:val="clear"/>
          </w:tcPr>
          <w:p>
            <w:r>
              <w:rPr>
                <w:sz w:val="16"/>
              </w:rPr>
              <w:t>Tokenization / format-preserving encryption</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Certificate lifecycle</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r>
        <w:tc>
          <w:tcPr>
            <w:tcW w:type="dxa" w:w="6178"/>
            <w:shd w:fill="EEF4FA" w:val="clear"/>
          </w:tcPr>
          <w:p>
            <w:r>
              <w:rPr>
                <w:sz w:val="16"/>
              </w:rPr>
              <w:t>Encryption as a service (data-plane API)</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8F5610"/>
                <w:sz w:val="15"/>
              </w:rPr>
              <w:t>Partial</w:t>
            </w:r>
          </w:p>
        </w:tc>
      </w:tr>
      <w:tr>
        <w:tc>
          <w:tcPr>
            <w:tcW w:type="dxa" w:w="6178"/>
            <w:shd w:fill="FFFFFF" w:val="clear"/>
          </w:tcPr>
          <w:p>
            <w:r>
              <w:rPr>
                <w:sz w:val="16"/>
              </w:rPr>
              <w:t>KMIP JSON and XML encodings</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B3261E"/>
                <w:sz w:val="15"/>
              </w:rPr>
              <w:t>Gap</w:t>
            </w:r>
          </w:p>
        </w:tc>
      </w:tr>
      <w:tr>
        <w:tc>
          <w:tcPr>
            <w:tcW w:type="dxa" w:w="6178"/>
            <w:shd w:fill="EEF4FA" w:val="clear"/>
          </w:tcPr>
          <w:p>
            <w:r>
              <w:rPr>
                <w:sz w:val="16"/>
              </w:rPr>
              <w:t>OpenAPI specification and generated clients</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bl>
    <w:p/>
    <w:p>
      <w:pPr>
        <w:pStyle w:val="Heading2"/>
      </w:pPr>
      <w:r>
        <w:rPr>
          <w:color w:val="1A3A5C"/>
        </w:rPr>
        <w:t>Identity and access control</w:t>
      </w:r>
    </w:p>
    <w:tbl>
      <w:tblPr>
        <w:tblStyle w:val="TableGrid"/>
        <w:tblW w:type="auto" w:w="0"/>
        <w:tblLayout w:type="fixed"/>
        <w:tblLook w:firstColumn="1" w:firstRow="1" w:lastColumn="0" w:lastRow="0" w:noHBand="0" w:noVBand="1" w:val="04A0"/>
        <w:tblLayout w:type="fixed"/>
      </w:tblPr>
      <w:tblGrid>
        <w:gridCol w:w="6177"/>
        <w:gridCol w:w="720"/>
        <w:gridCol w:w="720"/>
        <w:gridCol w:w="720"/>
        <w:gridCol w:w="720"/>
        <w:gridCol w:w="720"/>
        <w:gridCol w:w="720"/>
        <w:gridCol w:w="720"/>
        <w:gridCol w:w="720"/>
        <w:gridCol w:w="720"/>
        <w:gridCol w:w="720"/>
        <w:gridCol w:w="720"/>
        <w:gridCol w:w="1152"/>
      </w:tblGrid>
      <w:tr>
        <w:tc>
          <w:tcPr>
            <w:tcW w:type="dxa" w:w="6178"/>
            <w:shd w:fill="1A3A5C" w:val="clear"/>
          </w:tcPr>
          <w:p>
            <w:pPr>
              <w:jc w:val="left"/>
            </w:pPr>
            <w:r>
              <w:rPr>
                <w:b/>
                <w:color w:val="FFFFFF"/>
                <w:sz w:val="16"/>
              </w:rPr>
              <w:t>Requirement</w:t>
            </w:r>
          </w:p>
        </w:tc>
        <w:tc>
          <w:tcPr>
            <w:tcW w:type="dxa" w:w="720"/>
            <w:shd w:fill="1A3A5C" w:val="clear"/>
          </w:tcPr>
          <w:p>
            <w:pPr>
              <w:jc w:val="center"/>
            </w:pPr>
            <w:r>
              <w:rPr>
                <w:b/>
                <w:color w:val="FFFFFF"/>
                <w:sz w:val="16"/>
              </w:rPr>
              <w:t>THA</w:t>
            </w:r>
          </w:p>
        </w:tc>
        <w:tc>
          <w:tcPr>
            <w:tcW w:type="dxa" w:w="720"/>
            <w:shd w:fill="1A3A5C" w:val="clear"/>
          </w:tcPr>
          <w:p>
            <w:pPr>
              <w:jc w:val="center"/>
            </w:pPr>
            <w:r>
              <w:rPr>
                <w:b/>
                <w:color w:val="FFFFFF"/>
                <w:sz w:val="16"/>
              </w:rPr>
              <w:t>FOR</w:t>
            </w:r>
          </w:p>
        </w:tc>
        <w:tc>
          <w:tcPr>
            <w:tcW w:type="dxa" w:w="720"/>
            <w:shd w:fill="1A3A5C" w:val="clear"/>
          </w:tcPr>
          <w:p>
            <w:pPr>
              <w:jc w:val="center"/>
            </w:pPr>
            <w:r>
              <w:rPr>
                <w:b/>
                <w:color w:val="FFFFFF"/>
                <w:sz w:val="16"/>
              </w:rPr>
              <w:t>ENT</w:t>
            </w:r>
          </w:p>
        </w:tc>
        <w:tc>
          <w:tcPr>
            <w:tcW w:type="dxa" w:w="720"/>
            <w:shd w:fill="1A3A5C" w:val="clear"/>
          </w:tcPr>
          <w:p>
            <w:pPr>
              <w:jc w:val="center"/>
            </w:pPr>
            <w:r>
              <w:rPr>
                <w:b/>
                <w:color w:val="FFFFFF"/>
                <w:sz w:val="16"/>
              </w:rPr>
              <w:t>UTI</w:t>
            </w:r>
          </w:p>
        </w:tc>
        <w:tc>
          <w:tcPr>
            <w:tcW w:type="dxa" w:w="720"/>
            <w:shd w:fill="1A3A5C" w:val="clear"/>
          </w:tcPr>
          <w:p>
            <w:pPr>
              <w:jc w:val="center"/>
            </w:pPr>
            <w:r>
              <w:rPr>
                <w:b/>
                <w:color w:val="FFFFFF"/>
                <w:sz w:val="16"/>
              </w:rPr>
              <w:t>BLO</w:t>
            </w:r>
          </w:p>
        </w:tc>
        <w:tc>
          <w:tcPr>
            <w:tcW w:type="dxa" w:w="720"/>
            <w:shd w:fill="1A3A5C" w:val="clear"/>
          </w:tcPr>
          <w:p>
            <w:pPr>
              <w:jc w:val="center"/>
            </w:pPr>
            <w:r>
              <w:rPr>
                <w:b/>
                <w:color w:val="FFFFFF"/>
                <w:sz w:val="16"/>
              </w:rPr>
              <w:t>COS</w:t>
            </w:r>
          </w:p>
        </w:tc>
        <w:tc>
          <w:tcPr>
            <w:tcW w:type="dxa" w:w="720"/>
            <w:shd w:fill="1A3A5C" w:val="clear"/>
          </w:tcPr>
          <w:p>
            <w:pPr>
              <w:jc w:val="center"/>
            </w:pPr>
            <w:r>
              <w:rPr>
                <w:b/>
                <w:color w:val="FFFFFF"/>
                <w:sz w:val="16"/>
              </w:rPr>
              <w:t>SEC</w:t>
            </w:r>
          </w:p>
        </w:tc>
        <w:tc>
          <w:tcPr>
            <w:tcW w:type="dxa" w:w="720"/>
            <w:shd w:fill="1A3A5C" w:val="clear"/>
          </w:tcPr>
          <w:p>
            <w:pPr>
              <w:jc w:val="center"/>
            </w:pPr>
            <w:r>
              <w:rPr>
                <w:b/>
                <w:color w:val="FFFFFF"/>
                <w:sz w:val="16"/>
              </w:rPr>
              <w:t>VLT</w:t>
            </w:r>
          </w:p>
        </w:tc>
        <w:tc>
          <w:tcPr>
            <w:tcW w:type="dxa" w:w="720"/>
            <w:shd w:fill="1A3A5C" w:val="clear"/>
          </w:tcPr>
          <w:p>
            <w:pPr>
              <w:jc w:val="center"/>
            </w:pPr>
            <w:r>
              <w:rPr>
                <w:b/>
                <w:color w:val="FFFFFF"/>
                <w:sz w:val="16"/>
              </w:rPr>
              <w:t>CLD</w:t>
            </w:r>
          </w:p>
        </w:tc>
        <w:tc>
          <w:tcPr>
            <w:tcW w:type="dxa" w:w="720"/>
            <w:shd w:fill="1A3A5C" w:val="clear"/>
          </w:tcPr>
          <w:p>
            <w:pPr>
              <w:jc w:val="center"/>
            </w:pPr>
            <w:r>
              <w:rPr>
                <w:b/>
                <w:color w:val="FFFFFF"/>
                <w:sz w:val="16"/>
              </w:rPr>
              <w:t>STD</w:t>
            </w:r>
          </w:p>
        </w:tc>
        <w:tc>
          <w:tcPr>
            <w:tcW w:type="dxa" w:w="720"/>
            <w:shd w:fill="1A3A5C" w:val="clear"/>
          </w:tcPr>
          <w:p>
            <w:pPr>
              <w:jc w:val="center"/>
            </w:pPr>
            <w:r>
              <w:rPr>
                <w:b/>
                <w:color w:val="FFFFFF"/>
                <w:sz w:val="16"/>
              </w:rPr>
              <w:t>CAT</w:t>
            </w:r>
          </w:p>
        </w:tc>
        <w:tc>
          <w:tcPr>
            <w:tcW w:type="dxa" w:w="1152"/>
            <w:shd w:fill="1A3A5C" w:val="clear"/>
          </w:tcPr>
          <w:p>
            <w:pPr>
              <w:jc w:val="center"/>
            </w:pPr>
            <w:r>
              <w:rPr>
                <w:b/>
                <w:color w:val="FFFFFF"/>
                <w:sz w:val="16"/>
              </w:rPr>
              <w:t>Status</w:t>
            </w:r>
          </w:p>
        </w:tc>
      </w:tr>
      <w:tr>
        <w:tc>
          <w:tcPr>
            <w:tcW w:type="dxa" w:w="6178"/>
            <w:shd w:fill="EEF4FA" w:val="clear"/>
          </w:tcPr>
          <w:p>
            <w:r>
              <w:rPr>
                <w:sz w:val="16"/>
              </w:rPr>
              <w:t>Per-identity authentication</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Enterprise IdP — LDAP/AD, SAML, OIDC</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B3261E"/>
                <w:sz w:val="15"/>
              </w:rPr>
              <w:t>Gap</w:t>
            </w:r>
          </w:p>
        </w:tc>
      </w:tr>
      <w:tr>
        <w:tc>
          <w:tcPr>
            <w:tcW w:type="dxa" w:w="6178"/>
            <w:shd w:fill="EEF4FA" w:val="clear"/>
          </w:tcPr>
          <w:p>
            <w:r>
              <w:rPr>
                <w:sz w:val="16"/>
              </w:rPr>
              <w:t>mTLS certificate identity</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API keys / service accounts</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B3261E"/>
                <w:sz w:val="15"/>
              </w:rPr>
              <w:t>Gap</w:t>
            </w:r>
          </w:p>
        </w:tc>
      </w:tr>
      <w:tr>
        <w:tc>
          <w:tcPr>
            <w:tcW w:type="dxa" w:w="6178"/>
            <w:shd w:fill="EEF4FA" w:val="clear"/>
          </w:tcPr>
          <w:p>
            <w:r>
              <w:rPr>
                <w:sz w:val="16"/>
              </w:rPr>
              <w:t>Role-based access control</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Groups</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1E802E"/>
                <w:sz w:val="15"/>
              </w:rPr>
              <w:t>Covered</w:t>
            </w:r>
          </w:p>
        </w:tc>
      </w:tr>
      <w:tr>
        <w:tc>
          <w:tcPr>
            <w:tcW w:type="dxa" w:w="6178"/>
            <w:shd w:fill="EEF4FA" w:val="clear"/>
          </w:tcPr>
          <w:p>
            <w:r>
              <w:rPr>
                <w:sz w:val="16"/>
              </w:rPr>
              <w:t>Per-object access grants</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Attribute or policy-based access</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B3261E"/>
                <w:sz w:val="15"/>
              </w:rPr>
              <w:t>Gap</w:t>
            </w:r>
          </w:p>
        </w:tc>
      </w:tr>
      <w:tr>
        <w:tc>
          <w:tcPr>
            <w:tcW w:type="dxa" w:w="6178"/>
            <w:shd w:fill="EEF4FA" w:val="clear"/>
          </w:tcPr>
          <w:p>
            <w:r>
              <w:rPr>
                <w:sz w:val="16"/>
              </w:rPr>
              <w:t>Dual control / quorum approval</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Separation of duties</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r>
        <w:tc>
          <w:tcPr>
            <w:tcW w:type="dxa" w:w="6178"/>
            <w:shd w:fill="EEF4FA" w:val="clear"/>
          </w:tcPr>
          <w:p>
            <w:r>
              <w:rPr>
                <w:sz w:val="16"/>
              </w:rPr>
              <w:t>Multi-tenancy and namespaces</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Per-tenant quotas</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B3261E"/>
                <w:sz w:val="15"/>
              </w:rPr>
              <w:t>Gap</w:t>
            </w:r>
          </w:p>
        </w:tc>
      </w:tr>
      <w:tr>
        <w:tc>
          <w:tcPr>
            <w:tcW w:type="dxa" w:w="6178"/>
            <w:shd w:fill="EEF4FA" w:val="clear"/>
          </w:tcPr>
          <w:p>
            <w:r>
              <w:rPr>
                <w:sz w:val="16"/>
              </w:rPr>
              <w:t>Connection and rate limiting</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bl>
    <w:p/>
    <w:p>
      <w:pPr>
        <w:pStyle w:val="Heading2"/>
      </w:pPr>
      <w:r>
        <w:rPr>
          <w:color w:val="1A3A5C"/>
        </w:rPr>
        <w:t>Audit, compliance and assurance</w:t>
      </w:r>
    </w:p>
    <w:tbl>
      <w:tblPr>
        <w:tblStyle w:val="TableGrid"/>
        <w:tblW w:type="auto" w:w="0"/>
        <w:tblLayout w:type="fixed"/>
        <w:tblLook w:firstColumn="1" w:firstRow="1" w:lastColumn="0" w:lastRow="0" w:noHBand="0" w:noVBand="1" w:val="04A0"/>
        <w:tblLayout w:type="fixed"/>
      </w:tblPr>
      <w:tblGrid>
        <w:gridCol w:w="6177"/>
        <w:gridCol w:w="720"/>
        <w:gridCol w:w="720"/>
        <w:gridCol w:w="720"/>
        <w:gridCol w:w="720"/>
        <w:gridCol w:w="720"/>
        <w:gridCol w:w="720"/>
        <w:gridCol w:w="720"/>
        <w:gridCol w:w="720"/>
        <w:gridCol w:w="720"/>
        <w:gridCol w:w="720"/>
        <w:gridCol w:w="720"/>
        <w:gridCol w:w="1152"/>
      </w:tblGrid>
      <w:tr>
        <w:tc>
          <w:tcPr>
            <w:tcW w:type="dxa" w:w="6178"/>
            <w:shd w:fill="1A3A5C" w:val="clear"/>
          </w:tcPr>
          <w:p>
            <w:pPr>
              <w:jc w:val="left"/>
            </w:pPr>
            <w:r>
              <w:rPr>
                <w:b/>
                <w:color w:val="FFFFFF"/>
                <w:sz w:val="16"/>
              </w:rPr>
              <w:t>Requirement</w:t>
            </w:r>
          </w:p>
        </w:tc>
        <w:tc>
          <w:tcPr>
            <w:tcW w:type="dxa" w:w="720"/>
            <w:shd w:fill="1A3A5C" w:val="clear"/>
          </w:tcPr>
          <w:p>
            <w:pPr>
              <w:jc w:val="center"/>
            </w:pPr>
            <w:r>
              <w:rPr>
                <w:b/>
                <w:color w:val="FFFFFF"/>
                <w:sz w:val="16"/>
              </w:rPr>
              <w:t>THA</w:t>
            </w:r>
          </w:p>
        </w:tc>
        <w:tc>
          <w:tcPr>
            <w:tcW w:type="dxa" w:w="720"/>
            <w:shd w:fill="1A3A5C" w:val="clear"/>
          </w:tcPr>
          <w:p>
            <w:pPr>
              <w:jc w:val="center"/>
            </w:pPr>
            <w:r>
              <w:rPr>
                <w:b/>
                <w:color w:val="FFFFFF"/>
                <w:sz w:val="16"/>
              </w:rPr>
              <w:t>FOR</w:t>
            </w:r>
          </w:p>
        </w:tc>
        <w:tc>
          <w:tcPr>
            <w:tcW w:type="dxa" w:w="720"/>
            <w:shd w:fill="1A3A5C" w:val="clear"/>
          </w:tcPr>
          <w:p>
            <w:pPr>
              <w:jc w:val="center"/>
            </w:pPr>
            <w:r>
              <w:rPr>
                <w:b/>
                <w:color w:val="FFFFFF"/>
                <w:sz w:val="16"/>
              </w:rPr>
              <w:t>ENT</w:t>
            </w:r>
          </w:p>
        </w:tc>
        <w:tc>
          <w:tcPr>
            <w:tcW w:type="dxa" w:w="720"/>
            <w:shd w:fill="1A3A5C" w:val="clear"/>
          </w:tcPr>
          <w:p>
            <w:pPr>
              <w:jc w:val="center"/>
            </w:pPr>
            <w:r>
              <w:rPr>
                <w:b/>
                <w:color w:val="FFFFFF"/>
                <w:sz w:val="16"/>
              </w:rPr>
              <w:t>UTI</w:t>
            </w:r>
          </w:p>
        </w:tc>
        <w:tc>
          <w:tcPr>
            <w:tcW w:type="dxa" w:w="720"/>
            <w:shd w:fill="1A3A5C" w:val="clear"/>
          </w:tcPr>
          <w:p>
            <w:pPr>
              <w:jc w:val="center"/>
            </w:pPr>
            <w:r>
              <w:rPr>
                <w:b/>
                <w:color w:val="FFFFFF"/>
                <w:sz w:val="16"/>
              </w:rPr>
              <w:t>BLO</w:t>
            </w:r>
          </w:p>
        </w:tc>
        <w:tc>
          <w:tcPr>
            <w:tcW w:type="dxa" w:w="720"/>
            <w:shd w:fill="1A3A5C" w:val="clear"/>
          </w:tcPr>
          <w:p>
            <w:pPr>
              <w:jc w:val="center"/>
            </w:pPr>
            <w:r>
              <w:rPr>
                <w:b/>
                <w:color w:val="FFFFFF"/>
                <w:sz w:val="16"/>
              </w:rPr>
              <w:t>COS</w:t>
            </w:r>
          </w:p>
        </w:tc>
        <w:tc>
          <w:tcPr>
            <w:tcW w:type="dxa" w:w="720"/>
            <w:shd w:fill="1A3A5C" w:val="clear"/>
          </w:tcPr>
          <w:p>
            <w:pPr>
              <w:jc w:val="center"/>
            </w:pPr>
            <w:r>
              <w:rPr>
                <w:b/>
                <w:color w:val="FFFFFF"/>
                <w:sz w:val="16"/>
              </w:rPr>
              <w:t>SEC</w:t>
            </w:r>
          </w:p>
        </w:tc>
        <w:tc>
          <w:tcPr>
            <w:tcW w:type="dxa" w:w="720"/>
            <w:shd w:fill="1A3A5C" w:val="clear"/>
          </w:tcPr>
          <w:p>
            <w:pPr>
              <w:jc w:val="center"/>
            </w:pPr>
            <w:r>
              <w:rPr>
                <w:b/>
                <w:color w:val="FFFFFF"/>
                <w:sz w:val="16"/>
              </w:rPr>
              <w:t>VLT</w:t>
            </w:r>
          </w:p>
        </w:tc>
        <w:tc>
          <w:tcPr>
            <w:tcW w:type="dxa" w:w="720"/>
            <w:shd w:fill="1A3A5C" w:val="clear"/>
          </w:tcPr>
          <w:p>
            <w:pPr>
              <w:jc w:val="center"/>
            </w:pPr>
            <w:r>
              <w:rPr>
                <w:b/>
                <w:color w:val="FFFFFF"/>
                <w:sz w:val="16"/>
              </w:rPr>
              <w:t>CLD</w:t>
            </w:r>
          </w:p>
        </w:tc>
        <w:tc>
          <w:tcPr>
            <w:tcW w:type="dxa" w:w="720"/>
            <w:shd w:fill="1A3A5C" w:val="clear"/>
          </w:tcPr>
          <w:p>
            <w:pPr>
              <w:jc w:val="center"/>
            </w:pPr>
            <w:r>
              <w:rPr>
                <w:b/>
                <w:color w:val="FFFFFF"/>
                <w:sz w:val="16"/>
              </w:rPr>
              <w:t>STD</w:t>
            </w:r>
          </w:p>
        </w:tc>
        <w:tc>
          <w:tcPr>
            <w:tcW w:type="dxa" w:w="720"/>
            <w:shd w:fill="1A3A5C" w:val="clear"/>
          </w:tcPr>
          <w:p>
            <w:pPr>
              <w:jc w:val="center"/>
            </w:pPr>
            <w:r>
              <w:rPr>
                <w:b/>
                <w:color w:val="FFFFFF"/>
                <w:sz w:val="16"/>
              </w:rPr>
              <w:t>CAT</w:t>
            </w:r>
          </w:p>
        </w:tc>
        <w:tc>
          <w:tcPr>
            <w:tcW w:type="dxa" w:w="1152"/>
            <w:shd w:fill="1A3A5C" w:val="clear"/>
          </w:tcPr>
          <w:p>
            <w:pPr>
              <w:jc w:val="center"/>
            </w:pPr>
            <w:r>
              <w:rPr>
                <w:b/>
                <w:color w:val="FFFFFF"/>
                <w:sz w:val="16"/>
              </w:rPr>
              <w:t>Status</w:t>
            </w:r>
          </w:p>
        </w:tc>
      </w:tr>
      <w:tr>
        <w:tc>
          <w:tcPr>
            <w:tcW w:type="dxa" w:w="6178"/>
            <w:shd w:fill="EEF4FA" w:val="clear"/>
          </w:tcPr>
          <w:p>
            <w:r>
              <w:rPr>
                <w:sz w:val="16"/>
              </w:rPr>
              <w:t>Tamper-evident audit log</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External audit anchoring</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8F5610"/>
                <w:sz w:val="20"/>
              </w:rPr>
              <w:t>●</w:t>
            </w:r>
          </w:p>
        </w:tc>
        <w:tc>
          <w:tcPr>
            <w:tcW w:type="dxa" w:w="1152"/>
            <w:shd w:fill="FFFFFF" w:val="clear"/>
          </w:tcPr>
          <w:p>
            <w:pPr>
              <w:jc w:val="center"/>
            </w:pPr>
            <w:r>
              <w:rPr>
                <w:b/>
                <w:color w:val="B3261E"/>
                <w:sz w:val="15"/>
              </w:rPr>
              <w:t>Gap</w:t>
            </w:r>
          </w:p>
        </w:tc>
      </w:tr>
      <w:tr>
        <w:tc>
          <w:tcPr>
            <w:tcW w:type="dxa" w:w="6178"/>
            <w:shd w:fill="EEF4FA" w:val="clear"/>
          </w:tcPr>
          <w:p>
            <w:r>
              <w:rPr>
                <w:sz w:val="16"/>
              </w:rPr>
              <w:t>SIEM integration</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Retention and archival</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1E802E"/>
                <w:sz w:val="15"/>
              </w:rPr>
              <w:t>Covered</w:t>
            </w:r>
          </w:p>
        </w:tc>
      </w:tr>
      <w:tr>
        <w:tc>
          <w:tcPr>
            <w:tcW w:type="dxa" w:w="6178"/>
            <w:shd w:fill="EEF4FA" w:val="clear"/>
          </w:tcPr>
          <w:p>
            <w:r>
              <w:rPr>
                <w:sz w:val="16"/>
              </w:rPr>
              <w:t>FIPS 140-2/3 validated HSM</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Common Criteria / eIDAS</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B3261E"/>
                <w:sz w:val="15"/>
              </w:rPr>
              <w:t>Gap</w:t>
            </w:r>
          </w:p>
        </w:tc>
      </w:tr>
      <w:tr>
        <w:tc>
          <w:tcPr>
            <w:tcW w:type="dxa" w:w="6178"/>
            <w:shd w:fill="EEF4FA" w:val="clear"/>
          </w:tcPr>
          <w:p>
            <w:r>
              <w:rPr>
                <w:sz w:val="16"/>
              </w:rPr>
              <w:t>Compliance reporting</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Key inventory and discovery</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r>
        <w:tc>
          <w:tcPr>
            <w:tcW w:type="dxa" w:w="6178"/>
            <w:shd w:fill="EEF4FA" w:val="clear"/>
          </w:tcPr>
          <w:p>
            <w:r>
              <w:rPr>
                <w:sz w:val="16"/>
              </w:rPr>
              <w:t>Cryptoperiod policy alignment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Crypto-agility reporting</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r>
        <w:tc>
          <w:tcPr>
            <w:tcW w:type="dxa" w:w="6178"/>
            <w:shd w:fill="EEF4FA" w:val="clear"/>
          </w:tcPr>
          <w:p>
            <w:r>
              <w:rPr>
                <w:sz w:val="16"/>
              </w:rPr>
              <w:t>Certificate discovery and expiry monitoring</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bl>
    <w:p/>
    <w:p>
      <w:pPr>
        <w:pStyle w:val="Heading2"/>
      </w:pPr>
      <w:r>
        <w:rPr>
          <w:color w:val="1A3A5C"/>
        </w:rPr>
        <w:t>Availability, scale and recovery</w:t>
      </w:r>
    </w:p>
    <w:tbl>
      <w:tblPr>
        <w:tblStyle w:val="TableGrid"/>
        <w:tblW w:type="auto" w:w="0"/>
        <w:tblLayout w:type="fixed"/>
        <w:tblLook w:firstColumn="1" w:firstRow="1" w:lastColumn="0" w:lastRow="0" w:noHBand="0" w:noVBand="1" w:val="04A0"/>
        <w:tblLayout w:type="fixed"/>
      </w:tblPr>
      <w:tblGrid>
        <w:gridCol w:w="6177"/>
        <w:gridCol w:w="720"/>
        <w:gridCol w:w="720"/>
        <w:gridCol w:w="720"/>
        <w:gridCol w:w="720"/>
        <w:gridCol w:w="720"/>
        <w:gridCol w:w="720"/>
        <w:gridCol w:w="720"/>
        <w:gridCol w:w="720"/>
        <w:gridCol w:w="720"/>
        <w:gridCol w:w="720"/>
        <w:gridCol w:w="720"/>
        <w:gridCol w:w="1152"/>
      </w:tblGrid>
      <w:tr>
        <w:tc>
          <w:tcPr>
            <w:tcW w:type="dxa" w:w="6178"/>
            <w:shd w:fill="1A3A5C" w:val="clear"/>
          </w:tcPr>
          <w:p>
            <w:pPr>
              <w:jc w:val="left"/>
            </w:pPr>
            <w:r>
              <w:rPr>
                <w:b/>
                <w:color w:val="FFFFFF"/>
                <w:sz w:val="16"/>
              </w:rPr>
              <w:t>Requirement</w:t>
            </w:r>
          </w:p>
        </w:tc>
        <w:tc>
          <w:tcPr>
            <w:tcW w:type="dxa" w:w="720"/>
            <w:shd w:fill="1A3A5C" w:val="clear"/>
          </w:tcPr>
          <w:p>
            <w:pPr>
              <w:jc w:val="center"/>
            </w:pPr>
            <w:r>
              <w:rPr>
                <w:b/>
                <w:color w:val="FFFFFF"/>
                <w:sz w:val="16"/>
              </w:rPr>
              <w:t>THA</w:t>
            </w:r>
          </w:p>
        </w:tc>
        <w:tc>
          <w:tcPr>
            <w:tcW w:type="dxa" w:w="720"/>
            <w:shd w:fill="1A3A5C" w:val="clear"/>
          </w:tcPr>
          <w:p>
            <w:pPr>
              <w:jc w:val="center"/>
            </w:pPr>
            <w:r>
              <w:rPr>
                <w:b/>
                <w:color w:val="FFFFFF"/>
                <w:sz w:val="16"/>
              </w:rPr>
              <w:t>FOR</w:t>
            </w:r>
          </w:p>
        </w:tc>
        <w:tc>
          <w:tcPr>
            <w:tcW w:type="dxa" w:w="720"/>
            <w:shd w:fill="1A3A5C" w:val="clear"/>
          </w:tcPr>
          <w:p>
            <w:pPr>
              <w:jc w:val="center"/>
            </w:pPr>
            <w:r>
              <w:rPr>
                <w:b/>
                <w:color w:val="FFFFFF"/>
                <w:sz w:val="16"/>
              </w:rPr>
              <w:t>ENT</w:t>
            </w:r>
          </w:p>
        </w:tc>
        <w:tc>
          <w:tcPr>
            <w:tcW w:type="dxa" w:w="720"/>
            <w:shd w:fill="1A3A5C" w:val="clear"/>
          </w:tcPr>
          <w:p>
            <w:pPr>
              <w:jc w:val="center"/>
            </w:pPr>
            <w:r>
              <w:rPr>
                <w:b/>
                <w:color w:val="FFFFFF"/>
                <w:sz w:val="16"/>
              </w:rPr>
              <w:t>UTI</w:t>
            </w:r>
          </w:p>
        </w:tc>
        <w:tc>
          <w:tcPr>
            <w:tcW w:type="dxa" w:w="720"/>
            <w:shd w:fill="1A3A5C" w:val="clear"/>
          </w:tcPr>
          <w:p>
            <w:pPr>
              <w:jc w:val="center"/>
            </w:pPr>
            <w:r>
              <w:rPr>
                <w:b/>
                <w:color w:val="FFFFFF"/>
                <w:sz w:val="16"/>
              </w:rPr>
              <w:t>BLO</w:t>
            </w:r>
          </w:p>
        </w:tc>
        <w:tc>
          <w:tcPr>
            <w:tcW w:type="dxa" w:w="720"/>
            <w:shd w:fill="1A3A5C" w:val="clear"/>
          </w:tcPr>
          <w:p>
            <w:pPr>
              <w:jc w:val="center"/>
            </w:pPr>
            <w:r>
              <w:rPr>
                <w:b/>
                <w:color w:val="FFFFFF"/>
                <w:sz w:val="16"/>
              </w:rPr>
              <w:t>COS</w:t>
            </w:r>
          </w:p>
        </w:tc>
        <w:tc>
          <w:tcPr>
            <w:tcW w:type="dxa" w:w="720"/>
            <w:shd w:fill="1A3A5C" w:val="clear"/>
          </w:tcPr>
          <w:p>
            <w:pPr>
              <w:jc w:val="center"/>
            </w:pPr>
            <w:r>
              <w:rPr>
                <w:b/>
                <w:color w:val="FFFFFF"/>
                <w:sz w:val="16"/>
              </w:rPr>
              <w:t>SEC</w:t>
            </w:r>
          </w:p>
        </w:tc>
        <w:tc>
          <w:tcPr>
            <w:tcW w:type="dxa" w:w="720"/>
            <w:shd w:fill="1A3A5C" w:val="clear"/>
          </w:tcPr>
          <w:p>
            <w:pPr>
              <w:jc w:val="center"/>
            </w:pPr>
            <w:r>
              <w:rPr>
                <w:b/>
                <w:color w:val="FFFFFF"/>
                <w:sz w:val="16"/>
              </w:rPr>
              <w:t>VLT</w:t>
            </w:r>
          </w:p>
        </w:tc>
        <w:tc>
          <w:tcPr>
            <w:tcW w:type="dxa" w:w="720"/>
            <w:shd w:fill="1A3A5C" w:val="clear"/>
          </w:tcPr>
          <w:p>
            <w:pPr>
              <w:jc w:val="center"/>
            </w:pPr>
            <w:r>
              <w:rPr>
                <w:b/>
                <w:color w:val="FFFFFF"/>
                <w:sz w:val="16"/>
              </w:rPr>
              <w:t>CLD</w:t>
            </w:r>
          </w:p>
        </w:tc>
        <w:tc>
          <w:tcPr>
            <w:tcW w:type="dxa" w:w="720"/>
            <w:shd w:fill="1A3A5C" w:val="clear"/>
          </w:tcPr>
          <w:p>
            <w:pPr>
              <w:jc w:val="center"/>
            </w:pPr>
            <w:r>
              <w:rPr>
                <w:b/>
                <w:color w:val="FFFFFF"/>
                <w:sz w:val="16"/>
              </w:rPr>
              <w:t>STD</w:t>
            </w:r>
          </w:p>
        </w:tc>
        <w:tc>
          <w:tcPr>
            <w:tcW w:type="dxa" w:w="720"/>
            <w:shd w:fill="1A3A5C" w:val="clear"/>
          </w:tcPr>
          <w:p>
            <w:pPr>
              <w:jc w:val="center"/>
            </w:pPr>
            <w:r>
              <w:rPr>
                <w:b/>
                <w:color w:val="FFFFFF"/>
                <w:sz w:val="16"/>
              </w:rPr>
              <w:t>CAT</w:t>
            </w:r>
          </w:p>
        </w:tc>
        <w:tc>
          <w:tcPr>
            <w:tcW w:type="dxa" w:w="1152"/>
            <w:shd w:fill="1A3A5C" w:val="clear"/>
          </w:tcPr>
          <w:p>
            <w:pPr>
              <w:jc w:val="center"/>
            </w:pPr>
            <w:r>
              <w:rPr>
                <w:b/>
                <w:color w:val="FFFFFF"/>
                <w:sz w:val="16"/>
              </w:rPr>
              <w:t>Status</w:t>
            </w:r>
          </w:p>
        </w:tc>
      </w:tr>
      <w:tr>
        <w:tc>
          <w:tcPr>
            <w:tcW w:type="dxa" w:w="6178"/>
            <w:shd w:fill="EEF4FA" w:val="clear"/>
          </w:tcPr>
          <w:p>
            <w:r>
              <w:rPr>
                <w:sz w:val="16"/>
              </w:rPr>
              <w:t>HA clustering</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Multi-site replication and DR</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B3261E"/>
                <w:sz w:val="15"/>
              </w:rPr>
              <w:t>Gap</w:t>
            </w:r>
          </w:p>
        </w:tc>
      </w:tr>
      <w:tr>
        <w:tc>
          <w:tcPr>
            <w:tcW w:type="dxa" w:w="6178"/>
            <w:shd w:fill="EEF4FA" w:val="clear"/>
          </w:tcPr>
          <w:p>
            <w:r>
              <w:rPr>
                <w:sz w:val="16"/>
              </w:rPr>
              <w:t>HSM failover and pooling</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Horizontal throughput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r>
        <w:tc>
          <w:tcPr>
            <w:tcW w:type="dxa" w:w="6178"/>
            <w:shd w:fill="EEF4FA" w:val="clear"/>
          </w:tcPr>
          <w:p>
            <w:r>
              <w:rPr>
                <w:sz w:val="16"/>
              </w:rPr>
              <w:t>Enterprise database backend</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Scheduled and offsite backup</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r>
        <w:tc>
          <w:tcPr>
            <w:tcW w:type="dxa" w:w="6178"/>
            <w:shd w:fill="EEF4FA" w:val="clear"/>
          </w:tcPr>
          <w:p>
            <w:r>
              <w:rPr>
                <w:sz w:val="16"/>
              </w:rPr>
              <w:t>Restore that proves itself</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Zero-downtime certificate rotation</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8F5610"/>
                <w:sz w:val="20"/>
              </w:rPr>
              <w:t>●</w:t>
            </w:r>
          </w:p>
        </w:tc>
        <w:tc>
          <w:tcPr>
            <w:tcW w:type="dxa" w:w="1152"/>
            <w:shd w:fill="FFFFFF" w:val="clear"/>
          </w:tcPr>
          <w:p>
            <w:pPr>
              <w:jc w:val="center"/>
            </w:pPr>
            <w:r>
              <w:rPr>
                <w:b/>
                <w:color w:val="1E802E"/>
                <w:sz w:val="15"/>
              </w:rPr>
              <w:t>Covered</w:t>
            </w:r>
          </w:p>
        </w:tc>
      </w:tr>
      <w:tr>
        <w:tc>
          <w:tcPr>
            <w:tcW w:type="dxa" w:w="6178"/>
            <w:shd w:fill="EEF4FA" w:val="clear"/>
          </w:tcPr>
          <w:p>
            <w:r>
              <w:rPr>
                <w:sz w:val="16"/>
              </w:rPr>
              <w:t>Rolling upgrades</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8F5610"/>
                <w:sz w:val="20"/>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Kubernetes / container deployment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r>
        <w:tc>
          <w:tcPr>
            <w:tcW w:type="dxa" w:w="6178"/>
            <w:shd w:fill="EEF4FA" w:val="clear"/>
          </w:tcPr>
          <w:p>
            <w:r>
              <w:rPr>
                <w:sz w:val="16"/>
              </w:rPr>
              <w:t>Confidential computing deployment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bl>
    <w:p/>
    <w:p>
      <w:pPr>
        <w:pStyle w:val="Heading2"/>
      </w:pPr>
      <w:r>
        <w:rPr>
          <w:color w:val="1A3A5C"/>
        </w:rPr>
        <w:t>Operations and observability</w:t>
      </w:r>
    </w:p>
    <w:tbl>
      <w:tblPr>
        <w:tblStyle w:val="TableGrid"/>
        <w:tblW w:type="auto" w:w="0"/>
        <w:tblLayout w:type="fixed"/>
        <w:tblLook w:firstColumn="1" w:firstRow="1" w:lastColumn="0" w:lastRow="0" w:noHBand="0" w:noVBand="1" w:val="04A0"/>
        <w:tblLayout w:type="fixed"/>
      </w:tblPr>
      <w:tblGrid>
        <w:gridCol w:w="6177"/>
        <w:gridCol w:w="720"/>
        <w:gridCol w:w="720"/>
        <w:gridCol w:w="720"/>
        <w:gridCol w:w="720"/>
        <w:gridCol w:w="720"/>
        <w:gridCol w:w="720"/>
        <w:gridCol w:w="720"/>
        <w:gridCol w:w="720"/>
        <w:gridCol w:w="720"/>
        <w:gridCol w:w="720"/>
        <w:gridCol w:w="720"/>
        <w:gridCol w:w="1152"/>
      </w:tblGrid>
      <w:tr>
        <w:tc>
          <w:tcPr>
            <w:tcW w:type="dxa" w:w="6178"/>
            <w:shd w:fill="1A3A5C" w:val="clear"/>
          </w:tcPr>
          <w:p>
            <w:pPr>
              <w:jc w:val="left"/>
            </w:pPr>
            <w:r>
              <w:rPr>
                <w:b/>
                <w:color w:val="FFFFFF"/>
                <w:sz w:val="16"/>
              </w:rPr>
              <w:t>Requirement</w:t>
            </w:r>
          </w:p>
        </w:tc>
        <w:tc>
          <w:tcPr>
            <w:tcW w:type="dxa" w:w="720"/>
            <w:shd w:fill="1A3A5C" w:val="clear"/>
          </w:tcPr>
          <w:p>
            <w:pPr>
              <w:jc w:val="center"/>
            </w:pPr>
            <w:r>
              <w:rPr>
                <w:b/>
                <w:color w:val="FFFFFF"/>
                <w:sz w:val="16"/>
              </w:rPr>
              <w:t>THA</w:t>
            </w:r>
          </w:p>
        </w:tc>
        <w:tc>
          <w:tcPr>
            <w:tcW w:type="dxa" w:w="720"/>
            <w:shd w:fill="1A3A5C" w:val="clear"/>
          </w:tcPr>
          <w:p>
            <w:pPr>
              <w:jc w:val="center"/>
            </w:pPr>
            <w:r>
              <w:rPr>
                <w:b/>
                <w:color w:val="FFFFFF"/>
                <w:sz w:val="16"/>
              </w:rPr>
              <w:t>FOR</w:t>
            </w:r>
          </w:p>
        </w:tc>
        <w:tc>
          <w:tcPr>
            <w:tcW w:type="dxa" w:w="720"/>
            <w:shd w:fill="1A3A5C" w:val="clear"/>
          </w:tcPr>
          <w:p>
            <w:pPr>
              <w:jc w:val="center"/>
            </w:pPr>
            <w:r>
              <w:rPr>
                <w:b/>
                <w:color w:val="FFFFFF"/>
                <w:sz w:val="16"/>
              </w:rPr>
              <w:t>ENT</w:t>
            </w:r>
          </w:p>
        </w:tc>
        <w:tc>
          <w:tcPr>
            <w:tcW w:type="dxa" w:w="720"/>
            <w:shd w:fill="1A3A5C" w:val="clear"/>
          </w:tcPr>
          <w:p>
            <w:pPr>
              <w:jc w:val="center"/>
            </w:pPr>
            <w:r>
              <w:rPr>
                <w:b/>
                <w:color w:val="FFFFFF"/>
                <w:sz w:val="16"/>
              </w:rPr>
              <w:t>UTI</w:t>
            </w:r>
          </w:p>
        </w:tc>
        <w:tc>
          <w:tcPr>
            <w:tcW w:type="dxa" w:w="720"/>
            <w:shd w:fill="1A3A5C" w:val="clear"/>
          </w:tcPr>
          <w:p>
            <w:pPr>
              <w:jc w:val="center"/>
            </w:pPr>
            <w:r>
              <w:rPr>
                <w:b/>
                <w:color w:val="FFFFFF"/>
                <w:sz w:val="16"/>
              </w:rPr>
              <w:t>BLO</w:t>
            </w:r>
          </w:p>
        </w:tc>
        <w:tc>
          <w:tcPr>
            <w:tcW w:type="dxa" w:w="720"/>
            <w:shd w:fill="1A3A5C" w:val="clear"/>
          </w:tcPr>
          <w:p>
            <w:pPr>
              <w:jc w:val="center"/>
            </w:pPr>
            <w:r>
              <w:rPr>
                <w:b/>
                <w:color w:val="FFFFFF"/>
                <w:sz w:val="16"/>
              </w:rPr>
              <w:t>COS</w:t>
            </w:r>
          </w:p>
        </w:tc>
        <w:tc>
          <w:tcPr>
            <w:tcW w:type="dxa" w:w="720"/>
            <w:shd w:fill="1A3A5C" w:val="clear"/>
          </w:tcPr>
          <w:p>
            <w:pPr>
              <w:jc w:val="center"/>
            </w:pPr>
            <w:r>
              <w:rPr>
                <w:b/>
                <w:color w:val="FFFFFF"/>
                <w:sz w:val="16"/>
              </w:rPr>
              <w:t>SEC</w:t>
            </w:r>
          </w:p>
        </w:tc>
        <w:tc>
          <w:tcPr>
            <w:tcW w:type="dxa" w:w="720"/>
            <w:shd w:fill="1A3A5C" w:val="clear"/>
          </w:tcPr>
          <w:p>
            <w:pPr>
              <w:jc w:val="center"/>
            </w:pPr>
            <w:r>
              <w:rPr>
                <w:b/>
                <w:color w:val="FFFFFF"/>
                <w:sz w:val="16"/>
              </w:rPr>
              <w:t>VLT</w:t>
            </w:r>
          </w:p>
        </w:tc>
        <w:tc>
          <w:tcPr>
            <w:tcW w:type="dxa" w:w="720"/>
            <w:shd w:fill="1A3A5C" w:val="clear"/>
          </w:tcPr>
          <w:p>
            <w:pPr>
              <w:jc w:val="center"/>
            </w:pPr>
            <w:r>
              <w:rPr>
                <w:b/>
                <w:color w:val="FFFFFF"/>
                <w:sz w:val="16"/>
              </w:rPr>
              <w:t>CLD</w:t>
            </w:r>
          </w:p>
        </w:tc>
        <w:tc>
          <w:tcPr>
            <w:tcW w:type="dxa" w:w="720"/>
            <w:shd w:fill="1A3A5C" w:val="clear"/>
          </w:tcPr>
          <w:p>
            <w:pPr>
              <w:jc w:val="center"/>
            </w:pPr>
            <w:r>
              <w:rPr>
                <w:b/>
                <w:color w:val="FFFFFF"/>
                <w:sz w:val="16"/>
              </w:rPr>
              <w:t>STD</w:t>
            </w:r>
          </w:p>
        </w:tc>
        <w:tc>
          <w:tcPr>
            <w:tcW w:type="dxa" w:w="720"/>
            <w:shd w:fill="1A3A5C" w:val="clear"/>
          </w:tcPr>
          <w:p>
            <w:pPr>
              <w:jc w:val="center"/>
            </w:pPr>
            <w:r>
              <w:rPr>
                <w:b/>
                <w:color w:val="FFFFFF"/>
                <w:sz w:val="16"/>
              </w:rPr>
              <w:t>CAT</w:t>
            </w:r>
          </w:p>
        </w:tc>
        <w:tc>
          <w:tcPr>
            <w:tcW w:type="dxa" w:w="1152"/>
            <w:shd w:fill="1A3A5C" w:val="clear"/>
          </w:tcPr>
          <w:p>
            <w:pPr>
              <w:jc w:val="center"/>
            </w:pPr>
            <w:r>
              <w:rPr>
                <w:b/>
                <w:color w:val="FFFFFF"/>
                <w:sz w:val="16"/>
              </w:rPr>
              <w:t>Status</w:t>
            </w:r>
          </w:p>
        </w:tc>
      </w:tr>
      <w:tr>
        <w:tc>
          <w:tcPr>
            <w:tcW w:type="dxa" w:w="6178"/>
            <w:shd w:fill="EEF4FA" w:val="clear"/>
          </w:tcPr>
          <w:p>
            <w:r>
              <w:rPr>
                <w:sz w:val="16"/>
              </w:rPr>
              <w:t>Health and readiness probes</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8F5610"/>
                <w:sz w:val="20"/>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Metrics</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1E802E"/>
                <w:sz w:val="15"/>
              </w:rPr>
              <w:t>Covered</w:t>
            </w:r>
          </w:p>
        </w:tc>
      </w:tr>
      <w:tr>
        <w:tc>
          <w:tcPr>
            <w:tcW w:type="dxa" w:w="6178"/>
            <w:shd w:fill="EEF4FA" w:val="clear"/>
          </w:tcPr>
          <w:p>
            <w:r>
              <w:rPr>
                <w:sz w:val="16"/>
              </w:rPr>
              <w:t>Structured logging</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8F5610"/>
                <w:sz w:val="20"/>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Configuration-driven deployment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8F5610"/>
                <w:sz w:val="20"/>
              </w:rPr>
              <w:t>●</w:t>
            </w:r>
          </w:p>
        </w:tc>
        <w:tc>
          <w:tcPr>
            <w:tcW w:type="dxa" w:w="1152"/>
            <w:shd w:fill="FFFFFF" w:val="clear"/>
          </w:tcPr>
          <w:p>
            <w:pPr>
              <w:jc w:val="center"/>
            </w:pPr>
            <w:r>
              <w:rPr>
                <w:b/>
                <w:color w:val="1E802E"/>
                <w:sz w:val="15"/>
              </w:rPr>
              <w:t>Covered</w:t>
            </w:r>
          </w:p>
        </w:tc>
      </w:tr>
      <w:tr>
        <w:tc>
          <w:tcPr>
            <w:tcW w:type="dxa" w:w="6178"/>
            <w:shd w:fill="EEF4FA" w:val="clear"/>
          </w:tcPr>
          <w:p>
            <w:r>
              <w:rPr>
                <w:sz w:val="16"/>
              </w:rPr>
              <w:t>Administrative CLI</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Web console</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B3261E"/>
                <w:sz w:val="15"/>
              </w:rPr>
              <w:t>Gap</w:t>
            </w:r>
          </w:p>
        </w:tc>
      </w:tr>
      <w:tr>
        <w:tc>
          <w:tcPr>
            <w:tcW w:type="dxa" w:w="6178"/>
            <w:shd w:fill="EEF4FA" w:val="clear"/>
          </w:tcPr>
          <w:p>
            <w:r>
              <w:rPr>
                <w:sz w:val="16"/>
              </w:rPr>
              <w:t>Self-service developer portal</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r>
        <w:tc>
          <w:tcPr>
            <w:tcW w:type="dxa" w:w="6178"/>
            <w:shd w:fill="FFFFFF" w:val="clear"/>
          </w:tcPr>
          <w:p>
            <w:r>
              <w:rPr>
                <w:sz w:val="16"/>
              </w:rPr>
              <w:t>Alerting</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r>
        <w:tc>
          <w:tcPr>
            <w:tcW w:type="dxa" w:w="6178"/>
            <w:shd w:fill="EEF4FA" w:val="clear"/>
          </w:tcPr>
          <w:p>
            <w:r>
              <w:rPr>
                <w:sz w:val="16"/>
              </w:rPr>
              <w:t>Distributed tracing</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B3261E"/>
                <w:sz w:val="15"/>
              </w:rPr>
              <w:t>Gap</w:t>
            </w:r>
          </w:p>
        </w:tc>
      </w:tr>
    </w:tbl>
    <w:p/>
    <w:p>
      <w:pPr>
        <w:pStyle w:val="Heading2"/>
      </w:pPr>
      <w:r>
        <w:rPr>
          <w:color w:val="1A3A5C"/>
        </w:rPr>
        <w:t>Platform hardening</w:t>
      </w:r>
    </w:p>
    <w:tbl>
      <w:tblPr>
        <w:tblStyle w:val="TableGrid"/>
        <w:tblW w:type="auto" w:w="0"/>
        <w:tblLayout w:type="fixed"/>
        <w:tblLook w:firstColumn="1" w:firstRow="1" w:lastColumn="0" w:lastRow="0" w:noHBand="0" w:noVBand="1" w:val="04A0"/>
        <w:tblLayout w:type="fixed"/>
      </w:tblPr>
      <w:tblGrid>
        <w:gridCol w:w="6177"/>
        <w:gridCol w:w="720"/>
        <w:gridCol w:w="720"/>
        <w:gridCol w:w="720"/>
        <w:gridCol w:w="720"/>
        <w:gridCol w:w="720"/>
        <w:gridCol w:w="720"/>
        <w:gridCol w:w="720"/>
        <w:gridCol w:w="720"/>
        <w:gridCol w:w="720"/>
        <w:gridCol w:w="720"/>
        <w:gridCol w:w="720"/>
        <w:gridCol w:w="1152"/>
      </w:tblGrid>
      <w:tr>
        <w:tc>
          <w:tcPr>
            <w:tcW w:type="dxa" w:w="6178"/>
            <w:shd w:fill="1A3A5C" w:val="clear"/>
          </w:tcPr>
          <w:p>
            <w:pPr>
              <w:jc w:val="left"/>
            </w:pPr>
            <w:r>
              <w:rPr>
                <w:b/>
                <w:color w:val="FFFFFF"/>
                <w:sz w:val="16"/>
              </w:rPr>
              <w:t>Requirement</w:t>
            </w:r>
          </w:p>
        </w:tc>
        <w:tc>
          <w:tcPr>
            <w:tcW w:type="dxa" w:w="720"/>
            <w:shd w:fill="1A3A5C" w:val="clear"/>
          </w:tcPr>
          <w:p>
            <w:pPr>
              <w:jc w:val="center"/>
            </w:pPr>
            <w:r>
              <w:rPr>
                <w:b/>
                <w:color w:val="FFFFFF"/>
                <w:sz w:val="16"/>
              </w:rPr>
              <w:t>THA</w:t>
            </w:r>
          </w:p>
        </w:tc>
        <w:tc>
          <w:tcPr>
            <w:tcW w:type="dxa" w:w="720"/>
            <w:shd w:fill="1A3A5C" w:val="clear"/>
          </w:tcPr>
          <w:p>
            <w:pPr>
              <w:jc w:val="center"/>
            </w:pPr>
            <w:r>
              <w:rPr>
                <w:b/>
                <w:color w:val="FFFFFF"/>
                <w:sz w:val="16"/>
              </w:rPr>
              <w:t>FOR</w:t>
            </w:r>
          </w:p>
        </w:tc>
        <w:tc>
          <w:tcPr>
            <w:tcW w:type="dxa" w:w="720"/>
            <w:shd w:fill="1A3A5C" w:val="clear"/>
          </w:tcPr>
          <w:p>
            <w:pPr>
              <w:jc w:val="center"/>
            </w:pPr>
            <w:r>
              <w:rPr>
                <w:b/>
                <w:color w:val="FFFFFF"/>
                <w:sz w:val="16"/>
              </w:rPr>
              <w:t>ENT</w:t>
            </w:r>
          </w:p>
        </w:tc>
        <w:tc>
          <w:tcPr>
            <w:tcW w:type="dxa" w:w="720"/>
            <w:shd w:fill="1A3A5C" w:val="clear"/>
          </w:tcPr>
          <w:p>
            <w:pPr>
              <w:jc w:val="center"/>
            </w:pPr>
            <w:r>
              <w:rPr>
                <w:b/>
                <w:color w:val="FFFFFF"/>
                <w:sz w:val="16"/>
              </w:rPr>
              <w:t>UTI</w:t>
            </w:r>
          </w:p>
        </w:tc>
        <w:tc>
          <w:tcPr>
            <w:tcW w:type="dxa" w:w="720"/>
            <w:shd w:fill="1A3A5C" w:val="clear"/>
          </w:tcPr>
          <w:p>
            <w:pPr>
              <w:jc w:val="center"/>
            </w:pPr>
            <w:r>
              <w:rPr>
                <w:b/>
                <w:color w:val="FFFFFF"/>
                <w:sz w:val="16"/>
              </w:rPr>
              <w:t>BLO</w:t>
            </w:r>
          </w:p>
        </w:tc>
        <w:tc>
          <w:tcPr>
            <w:tcW w:type="dxa" w:w="720"/>
            <w:shd w:fill="1A3A5C" w:val="clear"/>
          </w:tcPr>
          <w:p>
            <w:pPr>
              <w:jc w:val="center"/>
            </w:pPr>
            <w:r>
              <w:rPr>
                <w:b/>
                <w:color w:val="FFFFFF"/>
                <w:sz w:val="16"/>
              </w:rPr>
              <w:t>COS</w:t>
            </w:r>
          </w:p>
        </w:tc>
        <w:tc>
          <w:tcPr>
            <w:tcW w:type="dxa" w:w="720"/>
            <w:shd w:fill="1A3A5C" w:val="clear"/>
          </w:tcPr>
          <w:p>
            <w:pPr>
              <w:jc w:val="center"/>
            </w:pPr>
            <w:r>
              <w:rPr>
                <w:b/>
                <w:color w:val="FFFFFF"/>
                <w:sz w:val="16"/>
              </w:rPr>
              <w:t>SEC</w:t>
            </w:r>
          </w:p>
        </w:tc>
        <w:tc>
          <w:tcPr>
            <w:tcW w:type="dxa" w:w="720"/>
            <w:shd w:fill="1A3A5C" w:val="clear"/>
          </w:tcPr>
          <w:p>
            <w:pPr>
              <w:jc w:val="center"/>
            </w:pPr>
            <w:r>
              <w:rPr>
                <w:b/>
                <w:color w:val="FFFFFF"/>
                <w:sz w:val="16"/>
              </w:rPr>
              <w:t>VLT</w:t>
            </w:r>
          </w:p>
        </w:tc>
        <w:tc>
          <w:tcPr>
            <w:tcW w:type="dxa" w:w="720"/>
            <w:shd w:fill="1A3A5C" w:val="clear"/>
          </w:tcPr>
          <w:p>
            <w:pPr>
              <w:jc w:val="center"/>
            </w:pPr>
            <w:r>
              <w:rPr>
                <w:b/>
                <w:color w:val="FFFFFF"/>
                <w:sz w:val="16"/>
              </w:rPr>
              <w:t>CLD</w:t>
            </w:r>
          </w:p>
        </w:tc>
        <w:tc>
          <w:tcPr>
            <w:tcW w:type="dxa" w:w="720"/>
            <w:shd w:fill="1A3A5C" w:val="clear"/>
          </w:tcPr>
          <w:p>
            <w:pPr>
              <w:jc w:val="center"/>
            </w:pPr>
            <w:r>
              <w:rPr>
                <w:b/>
                <w:color w:val="FFFFFF"/>
                <w:sz w:val="16"/>
              </w:rPr>
              <w:t>STD</w:t>
            </w:r>
          </w:p>
        </w:tc>
        <w:tc>
          <w:tcPr>
            <w:tcW w:type="dxa" w:w="720"/>
            <w:shd w:fill="1A3A5C" w:val="clear"/>
          </w:tcPr>
          <w:p>
            <w:pPr>
              <w:jc w:val="center"/>
            </w:pPr>
            <w:r>
              <w:rPr>
                <w:b/>
                <w:color w:val="FFFFFF"/>
                <w:sz w:val="16"/>
              </w:rPr>
              <w:t>CAT</w:t>
            </w:r>
          </w:p>
        </w:tc>
        <w:tc>
          <w:tcPr>
            <w:tcW w:type="dxa" w:w="1152"/>
            <w:shd w:fill="1A3A5C" w:val="clear"/>
          </w:tcPr>
          <w:p>
            <w:pPr>
              <w:jc w:val="center"/>
            </w:pPr>
            <w:r>
              <w:rPr>
                <w:b/>
                <w:color w:val="FFFFFF"/>
                <w:sz w:val="16"/>
              </w:rPr>
              <w:t>Status</w:t>
            </w:r>
          </w:p>
        </w:tc>
      </w:tr>
      <w:tr>
        <w:tc>
          <w:tcPr>
            <w:tcW w:type="dxa" w:w="6178"/>
            <w:shd w:fill="EEF4FA" w:val="clear"/>
          </w:tcPr>
          <w:p>
            <w:r>
              <w:rPr>
                <w:sz w:val="16"/>
              </w:rPr>
              <w:t>TLS enforced by default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8F5610"/>
                <w:sz w:val="20"/>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Metadata encrypted at rest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1E802E"/>
                <w:sz w:val="15"/>
              </w:rPr>
              <w:t>Covered</w:t>
            </w:r>
          </w:p>
        </w:tc>
      </w:tr>
      <w:tr>
        <w:tc>
          <w:tcPr>
            <w:tcW w:type="dxa" w:w="6178"/>
            <w:shd w:fill="EEF4FA" w:val="clear"/>
          </w:tcPr>
          <w:p>
            <w:r>
              <w:rPr>
                <w:sz w:val="16"/>
              </w:rPr>
              <w:t>Master key rotation</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720"/>
            <w:shd w:fill="EEF4FA" w:val="clear"/>
          </w:tcPr>
          <w:p>
            <w:pPr>
              <w:jc w:val="center"/>
            </w:pPr>
            <w:r>
              <w:rPr>
                <w:color w:val="2E6DA4"/>
                <w:sz w:val="20"/>
              </w:rPr>
              <w:t>●</w:t>
            </w:r>
          </w:p>
        </w:tc>
        <w:tc>
          <w:tcPr>
            <w:tcW w:type="dxa" w:w="720"/>
            <w:shd w:fill="EEF4FA" w:val="clear"/>
          </w:tcPr>
          <w:p>
            <w:pPr>
              <w:jc w:val="center"/>
            </w:pPr>
            <w:r>
              <w:rPr>
                <w:color w:val="C8D0D8"/>
                <w:sz w:val="16"/>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Non-extractable key enforcement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1E802E"/>
                <w:sz w:val="15"/>
              </w:rPr>
              <w:t>Covered</w:t>
            </w:r>
          </w:p>
        </w:tc>
      </w:tr>
      <w:tr>
        <w:tc>
          <w:tcPr>
            <w:tcW w:type="dxa" w:w="6178"/>
            <w:shd w:fill="EEF4FA" w:val="clear"/>
          </w:tcPr>
          <w:p>
            <w:r>
              <w:rPr>
                <w:sz w:val="16"/>
              </w:rPr>
              <w:t>Request bounds and DoS resistance</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8F5610"/>
                <w:sz w:val="20"/>
              </w:rPr>
              <w:t>●</w:t>
            </w:r>
          </w:p>
        </w:tc>
        <w:tc>
          <w:tcPr>
            <w:tcW w:type="dxa" w:w="1152"/>
            <w:shd w:fill="EEF4FA" w:val="clear"/>
          </w:tcPr>
          <w:p>
            <w:pPr>
              <w:jc w:val="center"/>
            </w:pPr>
            <w:r>
              <w:rPr>
                <w:b/>
                <w:color w:val="8F5610"/>
                <w:sz w:val="15"/>
              </w:rPr>
              <w:t>Partial</w:t>
            </w:r>
          </w:p>
        </w:tc>
      </w:tr>
      <w:tr>
        <w:tc>
          <w:tcPr>
            <w:tcW w:type="dxa" w:w="6178"/>
            <w:shd w:fill="FFFFFF" w:val="clear"/>
          </w:tcPr>
          <w:p>
            <w:r>
              <w:rPr>
                <w:sz w:val="16"/>
              </w:rPr>
              <w:t>Secrets kept out of configuration</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8F5610"/>
                <w:sz w:val="20"/>
              </w:rPr>
              <w:t>●</w:t>
            </w:r>
          </w:p>
        </w:tc>
        <w:tc>
          <w:tcPr>
            <w:tcW w:type="dxa" w:w="1152"/>
            <w:shd w:fill="FFFFFF" w:val="clear"/>
          </w:tcPr>
          <w:p>
            <w:pPr>
              <w:jc w:val="center"/>
            </w:pPr>
            <w:r>
              <w:rPr>
                <w:b/>
                <w:color w:val="1E802E"/>
                <w:sz w:val="15"/>
              </w:rPr>
              <w:t>Covered</w:t>
            </w:r>
          </w:p>
        </w:tc>
      </w:tr>
      <w:tr>
        <w:tc>
          <w:tcPr>
            <w:tcW w:type="dxa" w:w="6178"/>
            <w:shd w:fill="EEF4FA" w:val="clear"/>
          </w:tcPr>
          <w:p>
            <w:r>
              <w:rPr>
                <w:sz w:val="16"/>
              </w:rPr>
              <w:t>Hardened service</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C8D0D8"/>
                <w:sz w:val="16"/>
              </w:rPr>
              <w:t>·</w:t>
            </w:r>
          </w:p>
        </w:tc>
        <w:tc>
          <w:tcPr>
            <w:tcW w:type="dxa" w:w="720"/>
            <w:shd w:fill="EEF4FA" w:val="clear"/>
          </w:tcPr>
          <w:p>
            <w:pPr>
              <w:jc w:val="center"/>
            </w:pPr>
            <w:r>
              <w:rPr>
                <w:color w:val="8F5610"/>
                <w:sz w:val="20"/>
              </w:rPr>
              <w:t>●</w:t>
            </w:r>
          </w:p>
        </w:tc>
        <w:tc>
          <w:tcPr>
            <w:tcW w:type="dxa" w:w="1152"/>
            <w:shd w:fill="EEF4FA" w:val="clear"/>
          </w:tcPr>
          <w:p>
            <w:pPr>
              <w:jc w:val="center"/>
            </w:pPr>
            <w:r>
              <w:rPr>
                <w:b/>
                <w:color w:val="1E802E"/>
                <w:sz w:val="15"/>
              </w:rPr>
              <w:t>Covered</w:t>
            </w:r>
          </w:p>
        </w:tc>
      </w:tr>
      <w:tr>
        <w:tc>
          <w:tcPr>
            <w:tcW w:type="dxa" w:w="6178"/>
            <w:shd w:fill="FFFFFF" w:val="clear"/>
          </w:tcPr>
          <w:p>
            <w:r>
              <w:rPr>
                <w:sz w:val="16"/>
              </w:rPr>
              <w:t>Sealed startup with quorum unseal</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2E6DA4"/>
                <w:sz w:val="20"/>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720"/>
            <w:shd w:fill="FFFFFF" w:val="clear"/>
          </w:tcPr>
          <w:p>
            <w:pPr>
              <w:jc w:val="center"/>
            </w:pPr>
            <w:r>
              <w:rPr>
                <w:color w:val="C8D0D8"/>
                <w:sz w:val="16"/>
              </w:rPr>
              <w:t>·</w:t>
            </w:r>
          </w:p>
        </w:tc>
        <w:tc>
          <w:tcPr>
            <w:tcW w:type="dxa" w:w="1152"/>
            <w:shd w:fill="FFFFFF" w:val="clear"/>
          </w:tcPr>
          <w:p>
            <w:pPr>
              <w:jc w:val="center"/>
            </w:pPr>
            <w:r>
              <w:rPr>
                <w:b/>
                <w:color w:val="8F5610"/>
                <w:sz w:val="15"/>
              </w:rPr>
              <w:t>Partial</w:t>
            </w:r>
          </w:p>
        </w:tc>
      </w:tr>
    </w:tbl>
    <w:p/>
    <w:p>
      <w:r>
        <w:br w:type="page"/>
      </w:r>
    </w:p>
    <w:p>
      <w:pPr>
        <w:pStyle w:val="Heading1"/>
      </w:pPr>
      <w:r>
        <w:rPr>
          <w:color w:val="1A3A5C"/>
        </w:rPr>
        <w:t>What the columns add up to</w:t>
      </w:r>
    </w:p>
    <w:p>
      <w:r>
        <w:rPr>
          <w:b w:val="0"/>
          <w:i/>
          <w:sz w:val="19"/>
        </w:rPr>
        <w:t>Read this as a description of the research, not of the market. A source with few marks is one whose documentation I read less of, not a product with fewer features.</w:t>
      </w:r>
    </w:p>
    <w:p/>
    <w:tbl>
      <w:tblPr>
        <w:tblStyle w:val="TableGrid"/>
        <w:tblW w:type="auto" w:w="0"/>
        <w:tblLook w:firstColumn="1" w:firstRow="1" w:lastColumn="0" w:lastRow="0" w:noHBand="0" w:noVBand="1" w:val="04A0"/>
      </w:tblPr>
      <w:tblGrid>
        <w:gridCol w:w="3812"/>
        <w:gridCol w:w="3812"/>
        <w:gridCol w:w="3812"/>
        <w:gridCol w:w="3812"/>
      </w:tblGrid>
      <w:tr>
        <w:tc>
          <w:tcPr>
            <w:tcW w:type="dxa" w:w="3812"/>
            <w:shd w:fill="1A3A5C" w:val="clear"/>
          </w:tcPr>
          <w:p>
            <w:r>
              <w:rPr>
                <w:b/>
                <w:color w:val="FFFFFF"/>
                <w:sz w:val="18"/>
              </w:rPr>
              <w:t>Source</w:t>
            </w:r>
          </w:p>
        </w:tc>
        <w:tc>
          <w:tcPr>
            <w:tcW w:type="dxa" w:w="3812"/>
            <w:shd w:fill="1A3A5C" w:val="clear"/>
          </w:tcPr>
          <w:p>
            <w:r>
              <w:rPr>
                <w:b/>
                <w:color w:val="FFFFFF"/>
                <w:sz w:val="18"/>
              </w:rPr>
              <w:t>Requirements evidenced</w:t>
            </w:r>
          </w:p>
        </w:tc>
        <w:tc>
          <w:tcPr>
            <w:tcW w:type="dxa" w:w="3812"/>
            <w:shd w:fill="1A3A5C" w:val="clear"/>
          </w:tcPr>
          <w:p>
            <w:r>
              <w:rPr>
                <w:b/>
                <w:color w:val="FFFFFF"/>
                <w:sz w:val="18"/>
              </w:rPr>
              <w:t>Share of 82</w:t>
            </w:r>
          </w:p>
        </w:tc>
        <w:tc>
          <w:tcPr>
            <w:tcW w:type="dxa" w:w="3812"/>
            <w:shd w:fill="1A3A5C" w:val="clear"/>
          </w:tcPr>
          <w:p>
            <w:r>
              <w:rPr>
                <w:b/>
                <w:color w:val="FFFFFF"/>
                <w:sz w:val="18"/>
              </w:rPr>
              <w:t>Kind</w:t>
            </w:r>
          </w:p>
        </w:tc>
      </w:tr>
      <w:tr>
        <w:tc>
          <w:tcPr>
            <w:tcW w:type="dxa" w:w="7488"/>
            <w:shd w:fill="EEF4FA" w:val="clear"/>
          </w:tcPr>
          <w:p>
            <w:r>
              <w:rPr>
                <w:sz w:val="18"/>
              </w:rPr>
              <w:t>THA — Thales CipherTrust Manager</w:t>
            </w:r>
          </w:p>
        </w:tc>
        <w:tc>
          <w:tcPr>
            <w:tcW w:type="dxa" w:w="2592"/>
            <w:shd w:fill="EEF4FA" w:val="clear"/>
          </w:tcPr>
          <w:p>
            <w:r>
              <w:rPr>
                <w:sz w:val="18"/>
              </w:rPr>
              <w:t>26</w:t>
            </w:r>
          </w:p>
        </w:tc>
        <w:tc>
          <w:tcPr>
            <w:tcW w:type="dxa" w:w="2016"/>
            <w:shd w:fill="EEF4FA" w:val="clear"/>
          </w:tcPr>
          <w:p>
            <w:r>
              <w:rPr>
                <w:sz w:val="18"/>
              </w:rPr>
              <w:t>31 %</w:t>
            </w:r>
          </w:p>
        </w:tc>
        <w:tc>
          <w:tcPr>
            <w:tcW w:type="dxa" w:w="3154"/>
            <w:shd w:fill="EEF4FA" w:val="clear"/>
          </w:tcPr>
          <w:p>
            <w:r>
              <w:rPr>
                <w:sz w:val="18"/>
              </w:rPr>
              <w:t>Vendor documentation</w:t>
            </w:r>
          </w:p>
        </w:tc>
      </w:tr>
      <w:tr>
        <w:tc>
          <w:tcPr>
            <w:tcW w:type="dxa" w:w="7488"/>
            <w:shd w:fill="FFFFFF" w:val="clear"/>
          </w:tcPr>
          <w:p>
            <w:r>
              <w:rPr>
                <w:sz w:val="18"/>
              </w:rPr>
              <w:t>FOR — Fortanix Data Security Manager</w:t>
            </w:r>
          </w:p>
        </w:tc>
        <w:tc>
          <w:tcPr>
            <w:tcW w:type="dxa" w:w="2592"/>
            <w:shd w:fill="FFFFFF" w:val="clear"/>
          </w:tcPr>
          <w:p>
            <w:r>
              <w:rPr>
                <w:sz w:val="18"/>
              </w:rPr>
              <w:t>11</w:t>
            </w:r>
          </w:p>
        </w:tc>
        <w:tc>
          <w:tcPr>
            <w:tcW w:type="dxa" w:w="2016"/>
            <w:shd w:fill="FFFFFF" w:val="clear"/>
          </w:tcPr>
          <w:p>
            <w:r>
              <w:rPr>
                <w:sz w:val="18"/>
              </w:rPr>
              <w:t>13 %</w:t>
            </w:r>
          </w:p>
        </w:tc>
        <w:tc>
          <w:tcPr>
            <w:tcW w:type="dxa" w:w="3154"/>
            <w:shd w:fill="FFFFFF" w:val="clear"/>
          </w:tcPr>
          <w:p>
            <w:r>
              <w:rPr>
                <w:sz w:val="18"/>
              </w:rPr>
              <w:t>Vendor documentation</w:t>
            </w:r>
          </w:p>
        </w:tc>
      </w:tr>
      <w:tr>
        <w:tc>
          <w:tcPr>
            <w:tcW w:type="dxa" w:w="7488"/>
            <w:shd w:fill="EEF4FA" w:val="clear"/>
          </w:tcPr>
          <w:p>
            <w:r>
              <w:rPr>
                <w:sz w:val="18"/>
              </w:rPr>
              <w:t>ENT — Entrust KeyControl</w:t>
            </w:r>
          </w:p>
        </w:tc>
        <w:tc>
          <w:tcPr>
            <w:tcW w:type="dxa" w:w="2592"/>
            <w:shd w:fill="EEF4FA" w:val="clear"/>
          </w:tcPr>
          <w:p>
            <w:r>
              <w:rPr>
                <w:sz w:val="18"/>
              </w:rPr>
              <w:t>18</w:t>
            </w:r>
          </w:p>
        </w:tc>
        <w:tc>
          <w:tcPr>
            <w:tcW w:type="dxa" w:w="2016"/>
            <w:shd w:fill="EEF4FA" w:val="clear"/>
          </w:tcPr>
          <w:p>
            <w:r>
              <w:rPr>
                <w:sz w:val="18"/>
              </w:rPr>
              <w:t>21 %</w:t>
            </w:r>
          </w:p>
        </w:tc>
        <w:tc>
          <w:tcPr>
            <w:tcW w:type="dxa" w:w="3154"/>
            <w:shd w:fill="EEF4FA" w:val="clear"/>
          </w:tcPr>
          <w:p>
            <w:r>
              <w:rPr>
                <w:sz w:val="18"/>
              </w:rPr>
              <w:t>Vendor documentation</w:t>
            </w:r>
          </w:p>
        </w:tc>
      </w:tr>
      <w:tr>
        <w:tc>
          <w:tcPr>
            <w:tcW w:type="dxa" w:w="7488"/>
            <w:shd w:fill="FFFFFF" w:val="clear"/>
          </w:tcPr>
          <w:p>
            <w:r>
              <w:rPr>
                <w:sz w:val="18"/>
              </w:rPr>
              <w:t>UTI — Utimaco Enterprise Secure Key Manager</w:t>
            </w:r>
          </w:p>
        </w:tc>
        <w:tc>
          <w:tcPr>
            <w:tcW w:type="dxa" w:w="2592"/>
            <w:shd w:fill="FFFFFF" w:val="clear"/>
          </w:tcPr>
          <w:p>
            <w:r>
              <w:rPr>
                <w:sz w:val="18"/>
              </w:rPr>
              <w:t>16</w:t>
            </w:r>
          </w:p>
        </w:tc>
        <w:tc>
          <w:tcPr>
            <w:tcW w:type="dxa" w:w="2016"/>
            <w:shd w:fill="FFFFFF" w:val="clear"/>
          </w:tcPr>
          <w:p>
            <w:r>
              <w:rPr>
                <w:sz w:val="18"/>
              </w:rPr>
              <w:t>19 %</w:t>
            </w:r>
          </w:p>
        </w:tc>
        <w:tc>
          <w:tcPr>
            <w:tcW w:type="dxa" w:w="3154"/>
            <w:shd w:fill="FFFFFF" w:val="clear"/>
          </w:tcPr>
          <w:p>
            <w:r>
              <w:rPr>
                <w:sz w:val="18"/>
              </w:rPr>
              <w:t>Vendor documentation</w:t>
            </w:r>
          </w:p>
        </w:tc>
      </w:tr>
      <w:tr>
        <w:tc>
          <w:tcPr>
            <w:tcW w:type="dxa" w:w="7488"/>
            <w:shd w:fill="EEF4FA" w:val="clear"/>
          </w:tcPr>
          <w:p>
            <w:r>
              <w:rPr>
                <w:sz w:val="18"/>
              </w:rPr>
              <w:t>BLO — Bloombase KeyCastle</w:t>
            </w:r>
          </w:p>
        </w:tc>
        <w:tc>
          <w:tcPr>
            <w:tcW w:type="dxa" w:w="2592"/>
            <w:shd w:fill="EEF4FA" w:val="clear"/>
          </w:tcPr>
          <w:p>
            <w:r>
              <w:rPr>
                <w:sz w:val="18"/>
              </w:rPr>
              <w:t>16</w:t>
            </w:r>
          </w:p>
        </w:tc>
        <w:tc>
          <w:tcPr>
            <w:tcW w:type="dxa" w:w="2016"/>
            <w:shd w:fill="EEF4FA" w:val="clear"/>
          </w:tcPr>
          <w:p>
            <w:r>
              <w:rPr>
                <w:sz w:val="18"/>
              </w:rPr>
              <w:t>19 %</w:t>
            </w:r>
          </w:p>
        </w:tc>
        <w:tc>
          <w:tcPr>
            <w:tcW w:type="dxa" w:w="3154"/>
            <w:shd w:fill="EEF4FA" w:val="clear"/>
          </w:tcPr>
          <w:p>
            <w:r>
              <w:rPr>
                <w:sz w:val="18"/>
              </w:rPr>
              <w:t>Vendor documentation</w:t>
            </w:r>
          </w:p>
        </w:tc>
      </w:tr>
      <w:tr>
        <w:tc>
          <w:tcPr>
            <w:tcW w:type="dxa" w:w="7488"/>
            <w:shd w:fill="FFFFFF" w:val="clear"/>
          </w:tcPr>
          <w:p>
            <w:r>
              <w:rPr>
                <w:sz w:val="18"/>
              </w:rPr>
              <w:t>COS — Cosmian / Eviden KMS</w:t>
            </w:r>
          </w:p>
        </w:tc>
        <w:tc>
          <w:tcPr>
            <w:tcW w:type="dxa" w:w="2592"/>
            <w:shd w:fill="FFFFFF" w:val="clear"/>
          </w:tcPr>
          <w:p>
            <w:r>
              <w:rPr>
                <w:sz w:val="18"/>
              </w:rPr>
              <w:t>30</w:t>
            </w:r>
          </w:p>
        </w:tc>
        <w:tc>
          <w:tcPr>
            <w:tcW w:type="dxa" w:w="2016"/>
            <w:shd w:fill="FFFFFF" w:val="clear"/>
          </w:tcPr>
          <w:p>
            <w:r>
              <w:rPr>
                <w:sz w:val="18"/>
              </w:rPr>
              <w:t>36 %</w:t>
            </w:r>
          </w:p>
        </w:tc>
        <w:tc>
          <w:tcPr>
            <w:tcW w:type="dxa" w:w="3154"/>
            <w:shd w:fill="FFFFFF" w:val="clear"/>
          </w:tcPr>
          <w:p>
            <w:r>
              <w:rPr>
                <w:sz w:val="18"/>
              </w:rPr>
              <w:t>Vendor documentation</w:t>
            </w:r>
          </w:p>
        </w:tc>
      </w:tr>
      <w:tr>
        <w:tc>
          <w:tcPr>
            <w:tcW w:type="dxa" w:w="7488"/>
            <w:shd w:fill="EEF4FA" w:val="clear"/>
          </w:tcPr>
          <w:p>
            <w:r>
              <w:rPr>
                <w:sz w:val="18"/>
              </w:rPr>
              <w:t>SEC — Securosys CyberVault KMS</w:t>
            </w:r>
          </w:p>
        </w:tc>
        <w:tc>
          <w:tcPr>
            <w:tcW w:type="dxa" w:w="2592"/>
            <w:shd w:fill="EEF4FA" w:val="clear"/>
          </w:tcPr>
          <w:p>
            <w:r>
              <w:rPr>
                <w:sz w:val="18"/>
              </w:rPr>
              <w:t>27</w:t>
            </w:r>
          </w:p>
        </w:tc>
        <w:tc>
          <w:tcPr>
            <w:tcW w:type="dxa" w:w="2016"/>
            <w:shd w:fill="EEF4FA" w:val="clear"/>
          </w:tcPr>
          <w:p>
            <w:r>
              <w:rPr>
                <w:sz w:val="18"/>
              </w:rPr>
              <w:t>32 %</w:t>
            </w:r>
          </w:p>
        </w:tc>
        <w:tc>
          <w:tcPr>
            <w:tcW w:type="dxa" w:w="3154"/>
            <w:shd w:fill="EEF4FA" w:val="clear"/>
          </w:tcPr>
          <w:p>
            <w:r>
              <w:rPr>
                <w:sz w:val="18"/>
              </w:rPr>
              <w:t>Vendor documentation</w:t>
            </w:r>
          </w:p>
        </w:tc>
      </w:tr>
      <w:tr>
        <w:tc>
          <w:tcPr>
            <w:tcW w:type="dxa" w:w="7488"/>
            <w:shd w:fill="FFFFFF" w:val="clear"/>
          </w:tcPr>
          <w:p>
            <w:r>
              <w:rPr>
                <w:sz w:val="18"/>
              </w:rPr>
              <w:t>VLT — HashiCorp Vault</w:t>
            </w:r>
          </w:p>
        </w:tc>
        <w:tc>
          <w:tcPr>
            <w:tcW w:type="dxa" w:w="2592"/>
            <w:shd w:fill="FFFFFF" w:val="clear"/>
          </w:tcPr>
          <w:p>
            <w:r>
              <w:rPr>
                <w:sz w:val="18"/>
              </w:rPr>
              <w:t>30</w:t>
            </w:r>
          </w:p>
        </w:tc>
        <w:tc>
          <w:tcPr>
            <w:tcW w:type="dxa" w:w="2016"/>
            <w:shd w:fill="FFFFFF" w:val="clear"/>
          </w:tcPr>
          <w:p>
            <w:r>
              <w:rPr>
                <w:sz w:val="18"/>
              </w:rPr>
              <w:t>36 %</w:t>
            </w:r>
          </w:p>
        </w:tc>
        <w:tc>
          <w:tcPr>
            <w:tcW w:type="dxa" w:w="3154"/>
            <w:shd w:fill="FFFFFF" w:val="clear"/>
          </w:tcPr>
          <w:p>
            <w:r>
              <w:rPr>
                <w:sz w:val="18"/>
              </w:rPr>
              <w:t>Vendor documentation</w:t>
            </w:r>
          </w:p>
        </w:tc>
      </w:tr>
      <w:tr>
        <w:tc>
          <w:tcPr>
            <w:tcW w:type="dxa" w:w="7488"/>
            <w:shd w:fill="EEF4FA" w:val="clear"/>
          </w:tcPr>
          <w:p>
            <w:r>
              <w:rPr>
                <w:sz w:val="18"/>
              </w:rPr>
              <w:t>CLD — AWS KMS / Azure Managed HSM / Google Cloud KMS</w:t>
            </w:r>
          </w:p>
        </w:tc>
        <w:tc>
          <w:tcPr>
            <w:tcW w:type="dxa" w:w="2592"/>
            <w:shd w:fill="EEF4FA" w:val="clear"/>
          </w:tcPr>
          <w:p>
            <w:r>
              <w:rPr>
                <w:sz w:val="18"/>
              </w:rPr>
              <w:t>13</w:t>
            </w:r>
          </w:p>
        </w:tc>
        <w:tc>
          <w:tcPr>
            <w:tcW w:type="dxa" w:w="2016"/>
            <w:shd w:fill="EEF4FA" w:val="clear"/>
          </w:tcPr>
          <w:p>
            <w:r>
              <w:rPr>
                <w:sz w:val="18"/>
              </w:rPr>
              <w:t>15 %</w:t>
            </w:r>
          </w:p>
        </w:tc>
        <w:tc>
          <w:tcPr>
            <w:tcW w:type="dxa" w:w="3154"/>
            <w:shd w:fill="EEF4FA" w:val="clear"/>
          </w:tcPr>
          <w:p>
            <w:r>
              <w:rPr>
                <w:sz w:val="18"/>
              </w:rPr>
              <w:t>Vendor documentation</w:t>
            </w:r>
          </w:p>
        </w:tc>
      </w:tr>
      <w:tr>
        <w:tc>
          <w:tcPr>
            <w:tcW w:type="dxa" w:w="7488"/>
            <w:shd w:fill="FFFFFF" w:val="clear"/>
          </w:tcPr>
          <w:p>
            <w:r>
              <w:rPr>
                <w:sz w:val="18"/>
              </w:rPr>
              <w:t>STD — NIST SP 800-57, SP 800-152, OASIS KMIP 2.1 and 3.0</w:t>
            </w:r>
          </w:p>
        </w:tc>
        <w:tc>
          <w:tcPr>
            <w:tcW w:type="dxa" w:w="2592"/>
            <w:shd w:fill="FFFFFF" w:val="clear"/>
          </w:tcPr>
          <w:p>
            <w:r>
              <w:rPr>
                <w:sz w:val="18"/>
              </w:rPr>
              <w:t>26</w:t>
            </w:r>
          </w:p>
        </w:tc>
        <w:tc>
          <w:tcPr>
            <w:tcW w:type="dxa" w:w="2016"/>
            <w:shd w:fill="FFFFFF" w:val="clear"/>
          </w:tcPr>
          <w:p>
            <w:r>
              <w:rPr>
                <w:sz w:val="18"/>
              </w:rPr>
              <w:t>31 %</w:t>
            </w:r>
          </w:p>
        </w:tc>
        <w:tc>
          <w:tcPr>
            <w:tcW w:type="dxa" w:w="3154"/>
            <w:shd w:fill="FFFFFF" w:val="clear"/>
          </w:tcPr>
          <w:p>
            <w:r>
              <w:rPr>
                <w:sz w:val="18"/>
              </w:rPr>
              <w:t>Standard</w:t>
            </w:r>
          </w:p>
        </w:tc>
      </w:tr>
      <w:tr>
        <w:tc>
          <w:tcPr>
            <w:tcW w:type="dxa" w:w="7488"/>
            <w:shd w:fill="FBF3E3" w:val="clear"/>
          </w:tcPr>
          <w:p>
            <w:r>
              <w:rPr>
                <w:sz w:val="18"/>
              </w:rPr>
              <w:t>CAT — Category baseline — no source named it</w:t>
            </w:r>
          </w:p>
        </w:tc>
        <w:tc>
          <w:tcPr>
            <w:tcW w:type="dxa" w:w="2592"/>
            <w:shd w:fill="FBF3E3" w:val="clear"/>
          </w:tcPr>
          <w:p>
            <w:r>
              <w:rPr>
                <w:sz w:val="18"/>
              </w:rPr>
              <w:t>10</w:t>
            </w:r>
          </w:p>
        </w:tc>
        <w:tc>
          <w:tcPr>
            <w:tcW w:type="dxa" w:w="2016"/>
            <w:shd w:fill="FBF3E3" w:val="clear"/>
          </w:tcPr>
          <w:p>
            <w:r>
              <w:rPr>
                <w:sz w:val="18"/>
              </w:rPr>
              <w:t>12 %</w:t>
            </w:r>
          </w:p>
        </w:tc>
        <w:tc>
          <w:tcPr>
            <w:tcW w:type="dxa" w:w="3154"/>
            <w:shd w:fill="FBF3E3" w:val="clear"/>
          </w:tcPr>
          <w:p>
            <w:r>
              <w:rPr>
                <w:sz w:val="18"/>
              </w:rPr>
              <w:t>Category baseline</w:t>
            </w:r>
          </w:p>
        </w:tc>
      </w:tr>
    </w:tbl>
    <w:p/>
    <w:p>
      <w:r>
        <w:rPr>
          <w:b/>
          <w:i w:val="0"/>
          <w:color w:val="8F5610"/>
          <w:sz w:val="20"/>
        </w:rPr>
        <w:t>Requirements carried only by the category baseline: 10 of 82</w:t>
      </w:r>
    </w:p>
    <w:p>
      <w:r>
        <w:rPr>
          <w:b w:val="0"/>
          <w:i w:val="0"/>
          <w:sz w:val="19"/>
        </w:rPr>
        <w:t>These are the rows to challenge first if the requirement list is ever disputed. Each is defensible as ordinary practice, but none was named by a vendor or a standard in the research behind the matrix.</w:t>
      </w:r>
    </w:p>
    <w:p>
      <w:pPr>
        <w:pStyle w:val="ListBullet"/>
        <w:ind w:left="461"/>
      </w:pPr>
      <w:r>
        <w:rPr>
          <w:sz w:val="18"/>
        </w:rPr>
        <w:t>External audit anchoring</w:t>
      </w:r>
    </w:p>
    <w:p>
      <w:pPr>
        <w:pStyle w:val="ListBullet"/>
        <w:ind w:left="461"/>
      </w:pPr>
      <w:r>
        <w:rPr>
          <w:sz w:val="18"/>
        </w:rPr>
        <w:t>Zero-downtime certificate rotation</w:t>
      </w:r>
    </w:p>
    <w:p>
      <w:pPr>
        <w:pStyle w:val="ListBullet"/>
        <w:ind w:left="461"/>
      </w:pPr>
      <w:r>
        <w:rPr>
          <w:sz w:val="18"/>
        </w:rPr>
        <w:t>Rolling upgrades</w:t>
      </w:r>
    </w:p>
    <w:p>
      <w:pPr>
        <w:pStyle w:val="ListBullet"/>
        <w:ind w:left="461"/>
      </w:pPr>
      <w:r>
        <w:rPr>
          <w:sz w:val="18"/>
        </w:rPr>
        <w:t>Health and readiness probes</w:t>
      </w:r>
    </w:p>
    <w:p>
      <w:pPr>
        <w:pStyle w:val="ListBullet"/>
        <w:ind w:left="461"/>
      </w:pPr>
      <w:r>
        <w:rPr>
          <w:sz w:val="18"/>
        </w:rPr>
        <w:t>Structured logging</w:t>
      </w:r>
    </w:p>
    <w:p>
      <w:pPr>
        <w:pStyle w:val="ListBullet"/>
        <w:ind w:left="461"/>
      </w:pPr>
      <w:r>
        <w:rPr>
          <w:sz w:val="18"/>
        </w:rPr>
        <w:t>Configuration-driven deployment</w:t>
      </w:r>
    </w:p>
    <w:p>
      <w:pPr>
        <w:pStyle w:val="ListBullet"/>
        <w:ind w:left="461"/>
      </w:pPr>
      <w:r>
        <w:rPr>
          <w:sz w:val="18"/>
        </w:rPr>
        <w:t>TLS enforced by default</w:t>
      </w:r>
    </w:p>
    <w:p>
      <w:pPr>
        <w:pStyle w:val="ListBullet"/>
        <w:ind w:left="461"/>
      </w:pPr>
      <w:r>
        <w:rPr>
          <w:sz w:val="18"/>
        </w:rPr>
        <w:t>Request bounds and DoS resistance</w:t>
      </w:r>
    </w:p>
    <w:p>
      <w:pPr>
        <w:pStyle w:val="ListBullet"/>
        <w:ind w:left="461"/>
      </w:pPr>
      <w:r>
        <w:rPr>
          <w:sz w:val="18"/>
        </w:rPr>
        <w:t>Secrets kept out of configuration</w:t>
      </w:r>
    </w:p>
    <w:p>
      <w:pPr>
        <w:pStyle w:val="ListBullet"/>
        <w:ind w:left="461"/>
      </w:pPr>
      <w:r>
        <w:rPr>
          <w:sz w:val="18"/>
        </w:rPr>
        <w:t>Hardened service</w:t>
      </w:r>
    </w:p>
    <w:p/>
    <w:p>
      <w:r>
        <w:rPr>
          <w:b/>
          <w:i w:val="0"/>
          <w:color w:val="2E6DA4"/>
          <w:sz w:val="20"/>
        </w:rPr>
        <w:t>What would make this stronger</w:t>
      </w:r>
    </w:p>
    <w:p>
      <w:pPr>
        <w:pStyle w:val="ListBullet"/>
        <w:ind w:left="461"/>
      </w:pPr>
      <w:r>
        <w:rPr>
          <w:sz w:val="19"/>
        </w:rPr>
        <w:t>A hands-on evaluation of one or two products, which would turn this provenance table into a genuine capability comparison.</w:t>
      </w:r>
    </w:p>
    <w:p>
      <w:pPr>
        <w:pStyle w:val="ListBullet"/>
        <w:ind w:left="461"/>
      </w:pPr>
      <w:r>
        <w:rPr>
          <w:sz w:val="19"/>
        </w:rPr>
        <w:t>The vendors' administration guides rather than their marketing pages — the former say what a product does, the latter what it advertises.</w:t>
      </w:r>
    </w:p>
    <w:p>
      <w:pPr>
        <w:pStyle w:val="ListBullet"/>
        <w:ind w:left="461"/>
      </w:pPr>
      <w:r>
        <w:rPr>
          <w:sz w:val="19"/>
        </w:rPr>
        <w:t>An analyst grid, which would add an independent view of the category rather than each vendor's own.</w:t>
      </w:r>
    </w:p>
    <w:p>
      <w:pPr>
        <w:pStyle w:val="ListBullet"/>
        <w:ind w:left="461"/>
      </w:pPr>
      <w:r>
        <w:rPr>
          <w:sz w:val="19"/>
        </w:rPr>
        <w:t>Direct access to four of the vendors' documentation sites. Bloombase, Cosmian, Securosys and HashiCorp were researched through indexed summaries of their pages because the network policy where this document is built blocks all four domains — so their columns are thinner than the reading would otherwise support.</w:t>
      </w:r>
    </w:p>
    <w:p/>
    <w:p>
      <w:pPr>
        <w:jc w:val="center"/>
      </w:pPr>
      <w:r>
        <w:rPr>
          <w:color w:val="808080"/>
          <w:sz w:val="16"/>
        </w:rPr>
        <w:t>KMIP on PKCS#11 — requirement provenance — 12 September 2026</w:t>
      </w:r>
    </w:p>
    <w:sectPr w:rsidR="00FC693F" w:rsidRPr="0006063C" w:rsidSect="00034616">
      <w:pgSz w:w="16834" w:h="11909" w:orient="landscape"/>
      <w:pgMar w:top="792"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