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3A5C"/>
          <w:sz w:val="56"/>
        </w:rPr>
        <w:t>KMIP on PKCS#11</w:t>
      </w:r>
    </w:p>
    <w:p>
      <w:pPr>
        <w:jc w:val="center"/>
      </w:pPr>
      <w:r>
        <w:rPr>
          <w:color w:val="2E6DA4"/>
          <w:sz w:val="34"/>
        </w:rPr>
        <w:t>Enterprise KMS Gap Matrix</w:t>
      </w:r>
    </w:p>
    <w:p>
      <w:pPr>
        <w:jc w:val="center"/>
      </w:pPr>
      <w:r>
        <w:rPr>
          <w:color w:val="404040"/>
          <w:sz w:val="24"/>
        </w:rPr>
        <w:t>Market requirements, coverage, and the route for every gap</w:t>
      </w:r>
    </w:p>
    <w:p/>
    <w:tbl>
      <w:tblPr>
        <w:tblStyle w:val="TableGrid"/>
        <w:tblW w:type="auto" w:w="0"/>
        <w:tblLook w:firstColumn="1" w:firstRow="1" w:lastColumn="0" w:lastRow="0" w:noHBand="0" w:noVBand="1" w:val="04A0"/>
      </w:tblPr>
      <w:tblGrid>
        <w:gridCol w:w="4680"/>
        <w:gridCol w:w="4680"/>
      </w:tblGrid>
      <w:tr>
        <w:tc>
          <w:tcPr>
            <w:tcW w:type="dxa" w:w="2016"/>
            <w:shd w:fill="1A3A5C" w:val="clear"/>
          </w:tcPr>
          <w:p>
            <w:r>
              <w:rPr>
                <w:b/>
                <w:color w:val="FFFFFF"/>
                <w:sz w:val="18"/>
              </w:rPr>
              <w:t>Document</w:t>
            </w:r>
          </w:p>
        </w:tc>
        <w:tc>
          <w:tcPr>
            <w:tcW w:type="dxa" w:w="7344"/>
          </w:tcPr>
          <w:p>
            <w:r>
              <w:rPr>
                <w:sz w:val="18"/>
              </w:rPr>
              <w:t>Requirements assessment against the commercial KMS market</w:t>
            </w:r>
          </w:p>
        </w:tc>
      </w:tr>
      <w:tr>
        <w:tc>
          <w:tcPr>
            <w:tcW w:type="dxa" w:w="2016"/>
            <w:shd w:fill="1A3A5C" w:val="clear"/>
          </w:tcPr>
          <w:p>
            <w:r>
              <w:rPr>
                <w:b/>
                <w:color w:val="FFFFFF"/>
                <w:sz w:val="18"/>
              </w:rPr>
              <w:t>Assessed at</w:t>
            </w:r>
          </w:p>
        </w:tc>
        <w:tc>
          <w:tcPr>
            <w:tcW w:type="dxa" w:w="7344"/>
          </w:tcPr>
          <w:p>
            <w:r>
              <w:rPr>
                <w:sz w:val="18"/>
              </w:rPr>
              <w:t>2964dee — 816 tests green</w:t>
            </w:r>
          </w:p>
        </w:tc>
      </w:tr>
      <w:tr>
        <w:tc>
          <w:tcPr>
            <w:tcW w:type="dxa" w:w="2016"/>
            <w:shd w:fill="1A3A5C" w:val="clear"/>
          </w:tcPr>
          <w:p>
            <w:r>
              <w:rPr>
                <w:b/>
                <w:color w:val="FFFFFF"/>
                <w:sz w:val="18"/>
              </w:rPr>
              <w:t>Requirements from</w:t>
            </w:r>
          </w:p>
        </w:tc>
        <w:tc>
          <w:tcPr>
            <w:tcW w:type="dxa" w:w="7344"/>
          </w:tcPr>
          <w:p>
            <w:r>
              <w:rPr>
                <w:sz w:val="18"/>
              </w:rPr>
              <w:t>Thales CipherTrust Manager, Entrust KeyControl, Fortanix DSM, Utimaco ESKM, Bloombase KeyCastle, Cosmian/Eviden KMS, Securosys CyberVault KMS, HashiCorp Vault, AWS/Azure/GCP KMS; NIST SP 800-57 and SP 800-152</w:t>
            </w:r>
          </w:p>
        </w:tc>
      </w:tr>
      <w:tr>
        <w:tc>
          <w:tcPr>
            <w:tcW w:type="dxa" w:w="2016"/>
            <w:shd w:fill="1A3A5C" w:val="clear"/>
          </w:tcPr>
          <w:p>
            <w:r>
              <w:rPr>
                <w:b/>
                <w:color w:val="FFFFFF"/>
                <w:sz w:val="18"/>
              </w:rPr>
              <w:t>Features assessed</w:t>
            </w:r>
          </w:p>
        </w:tc>
        <w:tc>
          <w:tcPr>
            <w:tcW w:type="dxa" w:w="7344"/>
          </w:tcPr>
          <w:p>
            <w:r>
              <w:rPr>
                <w:sz w:val="18"/>
              </w:rPr>
              <w:t>82 across 7 domains</w:t>
            </w:r>
          </w:p>
        </w:tc>
      </w:tr>
      <w:tr>
        <w:tc>
          <w:tcPr>
            <w:tcW w:type="dxa" w:w="2016"/>
            <w:shd w:fill="1A3A5C" w:val="clear"/>
          </w:tcPr>
          <w:p>
            <w:r>
              <w:rPr>
                <w:b/>
                <w:color w:val="FFFFFF"/>
                <w:sz w:val="18"/>
              </w:rPr>
              <w:t>Result</w:t>
            </w:r>
          </w:p>
        </w:tc>
        <w:tc>
          <w:tcPr>
            <w:tcW w:type="dxa" w:w="7344"/>
          </w:tcPr>
          <w:p>
            <w:r>
              <w:rPr>
                <w:sz w:val="18"/>
              </w:rPr>
              <w:t>32 covered · 18 partial · 32 not covered · 23 need work outside KMIP</w:t>
            </w:r>
          </w:p>
        </w:tc>
      </w:tr>
      <w:tr>
        <w:tc>
          <w:tcPr>
            <w:tcW w:type="dxa" w:w="2016"/>
            <w:shd w:fill="1A3A5C" w:val="clear"/>
          </w:tcPr>
          <w:p>
            <w:r>
              <w:rPr>
                <w:b/>
                <w:color w:val="FFFFFF"/>
                <w:sz w:val="18"/>
              </w:rPr>
              <w:t>Date</w:t>
            </w:r>
          </w:p>
        </w:tc>
        <w:tc>
          <w:tcPr>
            <w:tcW w:type="dxa" w:w="7344"/>
          </w:tcPr>
          <w:p>
            <w:r>
              <w:rPr>
                <w:sz w:val="18"/>
              </w:rPr>
              <w:t>12 September 2026</w:t>
            </w:r>
          </w:p>
        </w:tc>
      </w:tr>
    </w:tbl>
    <w:p>
      <w:r>
        <w:br w:type="page"/>
      </w:r>
    </w:p>
    <w:p>
      <w:pPr>
        <w:pStyle w:val="Heading1"/>
      </w:pPr>
      <w:r>
        <w:rPr>
          <w:color w:val="1A3A5C"/>
        </w:rPr>
        <w:t>1  How to read this document</w:t>
      </w:r>
    </w:p>
    <w:p>
      <w:r>
        <w:rPr>
          <w:b w:val="0"/>
          <w:i w:val="0"/>
          <w:sz w:val="20"/>
        </w:rPr>
        <w:t>This is a buy-or-build assessment, not a feature advertisement. Each row names something a high-end key management platform is expected to do, says whether this project does it, and — where it does not — names the route that would actually close the gap.</w:t>
      </w:r>
    </w:p>
    <w:p/>
    <w:p>
      <w:r>
        <w:rPr>
          <w:b/>
          <w:i w:val="0"/>
          <w:color w:val="2E6DA4"/>
          <w:sz w:val="20"/>
        </w:rPr>
        <w:t>The four verdicts</w:t>
      </w:r>
    </w:p>
    <w:tbl>
      <w:tblPr>
        <w:tblStyle w:val="TableGrid"/>
        <w:tblW w:type="auto" w:w="0"/>
        <w:tblLook w:firstColumn="1" w:firstRow="1" w:lastColumn="0" w:lastRow="0" w:noHBand="0" w:noVBand="1" w:val="04A0"/>
      </w:tblPr>
      <w:tblGrid>
        <w:gridCol w:w="4680"/>
        <w:gridCol w:w="4680"/>
      </w:tblGrid>
      <w:tr>
        <w:tc>
          <w:tcPr>
            <w:tcW w:type="dxa" w:w="1728"/>
            <w:shd w:fill="1A3A5C" w:val="clear"/>
          </w:tcPr>
          <w:p>
            <w:r>
              <w:rPr>
                <w:b/>
                <w:color w:val="FFFFFF"/>
                <w:sz w:val="17"/>
              </w:rPr>
              <w:t>Verdict</w:t>
            </w:r>
          </w:p>
        </w:tc>
        <w:tc>
          <w:tcPr>
            <w:tcW w:type="dxa" w:w="7632"/>
            <w:shd w:fill="1A3A5C" w:val="clear"/>
          </w:tcPr>
          <w:p>
            <w:r>
              <w:rPr>
                <w:b/>
                <w:color w:val="FFFFFF"/>
                <w:sz w:val="17"/>
              </w:rPr>
              <w:t>Means</w:t>
            </w:r>
          </w:p>
        </w:tc>
      </w:tr>
      <w:tr>
        <w:tc>
          <w:tcPr>
            <w:tcW w:type="dxa" w:w="1728"/>
            <w:shd w:fill="EEF4FA" w:val="clear"/>
          </w:tcPr>
          <w:p>
            <w:r>
              <w:rPr>
                <w:sz w:val="17"/>
              </w:rPr>
              <w:t>Covered</w:t>
            </w:r>
          </w:p>
        </w:tc>
        <w:tc>
          <w:tcPr>
            <w:tcW w:type="dxa" w:w="7632"/>
            <w:shd w:fill="EEF4FA" w:val="clear"/>
          </w:tcPr>
          <w:p>
            <w:r>
              <w:rPr>
                <w:sz w:val="17"/>
              </w:rPr>
              <w:t>The capability exists and was demonstrated against a live token, with regression tests in the suite. It does not mean it matches a commercial product feature-for-feature at enterprise scale.</w:t>
            </w:r>
          </w:p>
        </w:tc>
      </w:tr>
      <w:tr>
        <w:tc>
          <w:tcPr>
            <w:tcW w:type="dxa" w:w="1728"/>
            <w:shd w:fill="FFFFFF" w:val="clear"/>
          </w:tcPr>
          <w:p>
            <w:r>
              <w:rPr>
                <w:sz w:val="17"/>
              </w:rPr>
              <w:t>Partial</w:t>
            </w:r>
          </w:p>
        </w:tc>
        <w:tc>
          <w:tcPr>
            <w:tcW w:type="dxa" w:w="7632"/>
            <w:shd w:fill="FFFFFF" w:val="clear"/>
          </w:tcPr>
          <w:p>
            <w:r>
              <w:rPr>
                <w:sz w:val="17"/>
              </w:rPr>
              <w:t>Something real is there, but an enterprise buyer would find a named limit. The route column says what the limit is.</w:t>
            </w:r>
          </w:p>
        </w:tc>
      </w:tr>
      <w:tr>
        <w:tc>
          <w:tcPr>
            <w:tcW w:type="dxa" w:w="1728"/>
            <w:shd w:fill="EEF4FA" w:val="clear"/>
          </w:tcPr>
          <w:p>
            <w:r>
              <w:rPr>
                <w:sz w:val="17"/>
              </w:rPr>
              <w:t>Not covered</w:t>
            </w:r>
          </w:p>
        </w:tc>
        <w:tc>
          <w:tcPr>
            <w:tcW w:type="dxa" w:w="7632"/>
            <w:shd w:fill="EEF4FA" w:val="clear"/>
          </w:tcPr>
          <w:p>
            <w:r>
              <w:rPr>
                <w:sz w:val="17"/>
              </w:rPr>
              <w:t>Absent. The route column says what building it would involve.</w:t>
            </w:r>
          </w:p>
        </w:tc>
      </w:tr>
      <w:tr>
        <w:tc>
          <w:tcPr>
            <w:tcW w:type="dxa" w:w="1728"/>
            <w:shd w:fill="FFFFFF" w:val="clear"/>
          </w:tcPr>
          <w:p>
            <w:r>
              <w:rPr>
                <w:sz w:val="17"/>
              </w:rPr>
              <w:t>Outside KMIP</w:t>
            </w:r>
          </w:p>
        </w:tc>
        <w:tc>
          <w:tcPr>
            <w:tcW w:type="dxa" w:w="7632"/>
            <w:shd w:fill="FFFFFF" w:val="clear"/>
          </w:tcPr>
          <w:p>
            <w:r>
              <w:rPr>
                <w:sz w:val="17"/>
              </w:rPr>
              <w:t>Not a verdict but a marker on the route: this gap cannot be closed by writing more KMIP, because the specification defines nothing for it.</w:t>
            </w:r>
          </w:p>
        </w:tc>
      </w:tr>
    </w:tbl>
    <w:p/>
    <w:p>
      <w:r>
        <w:rPr>
          <w:b w:val="0"/>
          <w:i w:val="0"/>
          <w:sz w:val="20"/>
        </w:rPr>
        <w:t>That last marker is the most useful thing on the page. KMIP standardises key objects and the operations on them — it does not standardise the service around them. Identity federation, tenancy, quorum workflow, reporting, cloud key import and SIEM export have no wire representation at all, which is why every commercial product bolts a REST administration plane onto its KMIP server. A KMIP layer is an interoperability surface, not a product.</w:t>
      </w:r>
    </w:p>
    <w:p/>
    <w:p>
      <w:r>
        <w:rPr>
          <w:b w:val="0"/>
          <w:i/>
          <w:sz w:val="18"/>
        </w:rPr>
        <w:t>Where a row says a capability belongs to the token rather than to this code — FIPS validation, certified entropy — that is a procurement decision, not an engineering backlog item, and is marked as such rather than quietly counted as a gap this project could close.</w:t>
      </w:r>
    </w:p>
    <w:p>
      <w:r>
        <w:br w:type="page"/>
      </w:r>
    </w:p>
    <w:p>
      <w:pPr>
        <w:pStyle w:val="Heading1"/>
      </w:pPr>
      <w:r>
        <w:rPr>
          <w:color w:val="1A3A5C"/>
        </w:rPr>
        <w:t>2  Summary</w:t>
      </w:r>
    </w:p>
    <w:p>
      <w:r>
        <w:rPr>
          <w:b w:val="0"/>
          <w:i w:val="0"/>
          <w:sz w:val="20"/>
        </w:rPr>
        <w:t>82 features were assessed. 32 are covered, 18 partially, and 32 are not covered at all. Of everything short of full coverage, 23 cannot be reached through the KMIP protocol.</w:t>
      </w:r>
    </w:p>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4176"/>
            <w:shd w:fill="1A3A5C" w:val="clear"/>
          </w:tcPr>
          <w:p>
            <w:r>
              <w:rPr>
                <w:b/>
                <w:color w:val="FFFFFF"/>
                <w:sz w:val="17"/>
              </w:rPr>
              <w:t>Domain</w:t>
            </w:r>
          </w:p>
        </w:tc>
        <w:tc>
          <w:tcPr>
            <w:tcW w:type="dxa" w:w="1296"/>
            <w:shd w:fill="1A3A5C" w:val="clear"/>
          </w:tcPr>
          <w:p>
            <w:r>
              <w:rPr>
                <w:b/>
                <w:color w:val="FFFFFF"/>
                <w:sz w:val="17"/>
              </w:rPr>
              <w:t>Features</w:t>
            </w:r>
          </w:p>
        </w:tc>
        <w:tc>
          <w:tcPr>
            <w:tcW w:type="dxa" w:w="1296"/>
            <w:shd w:fill="1A3A5C" w:val="clear"/>
          </w:tcPr>
          <w:p>
            <w:r>
              <w:rPr>
                <w:b/>
                <w:color w:val="FFFFFF"/>
                <w:sz w:val="17"/>
              </w:rPr>
              <w:t>Covered</w:t>
            </w:r>
          </w:p>
        </w:tc>
        <w:tc>
          <w:tcPr>
            <w:tcW w:type="dxa" w:w="1296"/>
            <w:shd w:fill="1A3A5C" w:val="clear"/>
          </w:tcPr>
          <w:p>
            <w:r>
              <w:rPr>
                <w:b/>
                <w:color w:val="FFFFFF"/>
                <w:sz w:val="17"/>
              </w:rPr>
              <w:t>Partial</w:t>
            </w:r>
          </w:p>
        </w:tc>
        <w:tc>
          <w:tcPr>
            <w:tcW w:type="dxa" w:w="1296"/>
            <w:shd w:fill="1A3A5C" w:val="clear"/>
          </w:tcPr>
          <w:p>
            <w:r>
              <w:rPr>
                <w:b/>
                <w:color w:val="FFFFFF"/>
                <w:sz w:val="17"/>
              </w:rPr>
              <w:t>Not covered</w:t>
            </w:r>
          </w:p>
        </w:tc>
      </w:tr>
      <w:tr>
        <w:tc>
          <w:tcPr>
            <w:tcW w:type="dxa" w:w="4176"/>
            <w:shd w:fill="EEF4FA" w:val="clear"/>
          </w:tcPr>
          <w:p>
            <w:r>
              <w:rPr>
                <w:sz w:val="17"/>
              </w:rPr>
              <w:t>Key lifecycle and cryptography</w:t>
            </w:r>
          </w:p>
        </w:tc>
        <w:tc>
          <w:tcPr>
            <w:tcW w:type="dxa" w:w="1296"/>
            <w:shd w:fill="EEF4FA" w:val="clear"/>
          </w:tcPr>
          <w:p>
            <w:r>
              <w:rPr>
                <w:sz w:val="17"/>
              </w:rPr>
              <w:t>15</w:t>
            </w:r>
          </w:p>
        </w:tc>
        <w:tc>
          <w:tcPr>
            <w:tcW w:type="dxa" w:w="1296"/>
            <w:shd w:fill="EEF4FA" w:val="clear"/>
          </w:tcPr>
          <w:p>
            <w:r>
              <w:rPr>
                <w:sz w:val="17"/>
              </w:rPr>
              <w:t>8</w:t>
            </w:r>
          </w:p>
        </w:tc>
        <w:tc>
          <w:tcPr>
            <w:tcW w:type="dxa" w:w="1296"/>
            <w:shd w:fill="EEF4FA" w:val="clear"/>
          </w:tcPr>
          <w:p>
            <w:r>
              <w:rPr>
                <w:sz w:val="17"/>
              </w:rPr>
              <w:t>4</w:t>
            </w:r>
          </w:p>
        </w:tc>
        <w:tc>
          <w:tcPr>
            <w:tcW w:type="dxa" w:w="1296"/>
            <w:shd w:fill="EEF4FA" w:val="clear"/>
          </w:tcPr>
          <w:p>
            <w:r>
              <w:rPr>
                <w:sz w:val="17"/>
              </w:rPr>
              <w:t>3</w:t>
            </w:r>
          </w:p>
        </w:tc>
      </w:tr>
      <w:tr>
        <w:tc>
          <w:tcPr>
            <w:tcW w:type="dxa" w:w="4176"/>
            <w:shd w:fill="FFFFFF" w:val="clear"/>
          </w:tcPr>
          <w:p>
            <w:r>
              <w:rPr>
                <w:sz w:val="17"/>
              </w:rPr>
              <w:t>Protocol and ecosystem integration</w:t>
            </w:r>
          </w:p>
        </w:tc>
        <w:tc>
          <w:tcPr>
            <w:tcW w:type="dxa" w:w="1296"/>
            <w:shd w:fill="FFFFFF" w:val="clear"/>
          </w:tcPr>
          <w:p>
            <w:r>
              <w:rPr>
                <w:sz w:val="17"/>
              </w:rPr>
              <w:t>15</w:t>
            </w:r>
          </w:p>
        </w:tc>
        <w:tc>
          <w:tcPr>
            <w:tcW w:type="dxa" w:w="1296"/>
            <w:shd w:fill="FFFFFF" w:val="clear"/>
          </w:tcPr>
          <w:p>
            <w:r>
              <w:rPr>
                <w:sz w:val="17"/>
              </w:rPr>
              <w:t>1</w:t>
            </w:r>
          </w:p>
        </w:tc>
        <w:tc>
          <w:tcPr>
            <w:tcW w:type="dxa" w:w="1296"/>
            <w:shd w:fill="FFFFFF" w:val="clear"/>
          </w:tcPr>
          <w:p>
            <w:r>
              <w:rPr>
                <w:sz w:val="17"/>
              </w:rPr>
              <w:t>5</w:t>
            </w:r>
          </w:p>
        </w:tc>
        <w:tc>
          <w:tcPr>
            <w:tcW w:type="dxa" w:w="1296"/>
            <w:shd w:fill="FFFFFF" w:val="clear"/>
          </w:tcPr>
          <w:p>
            <w:r>
              <w:rPr>
                <w:sz w:val="17"/>
              </w:rPr>
              <w:t>9</w:t>
            </w:r>
          </w:p>
        </w:tc>
      </w:tr>
      <w:tr>
        <w:tc>
          <w:tcPr>
            <w:tcW w:type="dxa" w:w="4176"/>
            <w:shd w:fill="EEF4FA" w:val="clear"/>
          </w:tcPr>
          <w:p>
            <w:r>
              <w:rPr>
                <w:sz w:val="17"/>
              </w:rPr>
              <w:t>Identity and access control</w:t>
            </w:r>
          </w:p>
        </w:tc>
        <w:tc>
          <w:tcPr>
            <w:tcW w:type="dxa" w:w="1296"/>
            <w:shd w:fill="EEF4FA" w:val="clear"/>
          </w:tcPr>
          <w:p>
            <w:r>
              <w:rPr>
                <w:sz w:val="17"/>
              </w:rPr>
              <w:t>13</w:t>
            </w:r>
          </w:p>
        </w:tc>
        <w:tc>
          <w:tcPr>
            <w:tcW w:type="dxa" w:w="1296"/>
            <w:shd w:fill="EEF4FA" w:val="clear"/>
          </w:tcPr>
          <w:p>
            <w:r>
              <w:rPr>
                <w:sz w:val="17"/>
              </w:rPr>
              <w:t>6</w:t>
            </w:r>
          </w:p>
        </w:tc>
        <w:tc>
          <w:tcPr>
            <w:tcW w:type="dxa" w:w="1296"/>
            <w:shd w:fill="EEF4FA" w:val="clear"/>
          </w:tcPr>
          <w:p>
            <w:r>
              <w:rPr>
                <w:sz w:val="17"/>
              </w:rPr>
              <w:t>1</w:t>
            </w:r>
          </w:p>
        </w:tc>
        <w:tc>
          <w:tcPr>
            <w:tcW w:type="dxa" w:w="1296"/>
            <w:shd w:fill="EEF4FA" w:val="clear"/>
          </w:tcPr>
          <w:p>
            <w:r>
              <w:rPr>
                <w:sz w:val="17"/>
              </w:rPr>
              <w:t>6</w:t>
            </w:r>
          </w:p>
        </w:tc>
      </w:tr>
      <w:tr>
        <w:tc>
          <w:tcPr>
            <w:tcW w:type="dxa" w:w="4176"/>
            <w:shd w:fill="FFFFFF" w:val="clear"/>
          </w:tcPr>
          <w:p>
            <w:r>
              <w:rPr>
                <w:sz w:val="17"/>
              </w:rPr>
              <w:t>Audit, compliance and assurance</w:t>
            </w:r>
          </w:p>
        </w:tc>
        <w:tc>
          <w:tcPr>
            <w:tcW w:type="dxa" w:w="1296"/>
            <w:shd w:fill="FFFFFF" w:val="clear"/>
          </w:tcPr>
          <w:p>
            <w:r>
              <w:rPr>
                <w:sz w:val="17"/>
              </w:rPr>
              <w:t>11</w:t>
            </w:r>
          </w:p>
        </w:tc>
        <w:tc>
          <w:tcPr>
            <w:tcW w:type="dxa" w:w="1296"/>
            <w:shd w:fill="FFFFFF" w:val="clear"/>
          </w:tcPr>
          <w:p>
            <w:r>
              <w:rPr>
                <w:sz w:val="17"/>
              </w:rPr>
              <w:t>3</w:t>
            </w:r>
          </w:p>
        </w:tc>
        <w:tc>
          <w:tcPr>
            <w:tcW w:type="dxa" w:w="1296"/>
            <w:shd w:fill="FFFFFF" w:val="clear"/>
          </w:tcPr>
          <w:p>
            <w:r>
              <w:rPr>
                <w:sz w:val="17"/>
              </w:rPr>
              <w:t>2</w:t>
            </w:r>
          </w:p>
        </w:tc>
        <w:tc>
          <w:tcPr>
            <w:tcW w:type="dxa" w:w="1296"/>
            <w:shd w:fill="FFFFFF" w:val="clear"/>
          </w:tcPr>
          <w:p>
            <w:r>
              <w:rPr>
                <w:sz w:val="17"/>
              </w:rPr>
              <w:t>6</w:t>
            </w:r>
          </w:p>
        </w:tc>
      </w:tr>
      <w:tr>
        <w:tc>
          <w:tcPr>
            <w:tcW w:type="dxa" w:w="4176"/>
            <w:shd w:fill="EEF4FA" w:val="clear"/>
          </w:tcPr>
          <w:p>
            <w:r>
              <w:rPr>
                <w:sz w:val="17"/>
              </w:rPr>
              <w:t>Availability, scale and recovery</w:t>
            </w:r>
          </w:p>
        </w:tc>
        <w:tc>
          <w:tcPr>
            <w:tcW w:type="dxa" w:w="1296"/>
            <w:shd w:fill="EEF4FA" w:val="clear"/>
          </w:tcPr>
          <w:p>
            <w:r>
              <w:rPr>
                <w:sz w:val="17"/>
              </w:rPr>
              <w:t>11</w:t>
            </w:r>
          </w:p>
        </w:tc>
        <w:tc>
          <w:tcPr>
            <w:tcW w:type="dxa" w:w="1296"/>
            <w:shd w:fill="EEF4FA" w:val="clear"/>
          </w:tcPr>
          <w:p>
            <w:r>
              <w:rPr>
                <w:sz w:val="17"/>
              </w:rPr>
              <w:t>3</w:t>
            </w:r>
          </w:p>
        </w:tc>
        <w:tc>
          <w:tcPr>
            <w:tcW w:type="dxa" w:w="1296"/>
            <w:shd w:fill="EEF4FA" w:val="clear"/>
          </w:tcPr>
          <w:p>
            <w:r>
              <w:rPr>
                <w:sz w:val="17"/>
              </w:rPr>
              <w:t>3</w:t>
            </w:r>
          </w:p>
        </w:tc>
        <w:tc>
          <w:tcPr>
            <w:tcW w:type="dxa" w:w="1296"/>
            <w:shd w:fill="EEF4FA" w:val="clear"/>
          </w:tcPr>
          <w:p>
            <w:r>
              <w:rPr>
                <w:sz w:val="17"/>
              </w:rPr>
              <w:t>5</w:t>
            </w:r>
          </w:p>
        </w:tc>
      </w:tr>
      <w:tr>
        <w:tc>
          <w:tcPr>
            <w:tcW w:type="dxa" w:w="4176"/>
            <w:shd w:fill="FFFFFF" w:val="clear"/>
          </w:tcPr>
          <w:p>
            <w:r>
              <w:rPr>
                <w:sz w:val="17"/>
              </w:rPr>
              <w:t>Operations and observability</w:t>
            </w:r>
          </w:p>
        </w:tc>
        <w:tc>
          <w:tcPr>
            <w:tcW w:type="dxa" w:w="1296"/>
            <w:shd w:fill="FFFFFF" w:val="clear"/>
          </w:tcPr>
          <w:p>
            <w:r>
              <w:rPr>
                <w:sz w:val="17"/>
              </w:rPr>
              <w:t>9</w:t>
            </w:r>
          </w:p>
        </w:tc>
        <w:tc>
          <w:tcPr>
            <w:tcW w:type="dxa" w:w="1296"/>
            <w:shd w:fill="FFFFFF" w:val="clear"/>
          </w:tcPr>
          <w:p>
            <w:r>
              <w:rPr>
                <w:sz w:val="17"/>
              </w:rPr>
              <w:t>5</w:t>
            </w:r>
          </w:p>
        </w:tc>
        <w:tc>
          <w:tcPr>
            <w:tcW w:type="dxa" w:w="1296"/>
            <w:shd w:fill="FFFFFF" w:val="clear"/>
          </w:tcPr>
          <w:p>
            <w:r>
              <w:rPr>
                <w:sz w:val="17"/>
              </w:rPr>
              <w:t>1</w:t>
            </w:r>
          </w:p>
        </w:tc>
        <w:tc>
          <w:tcPr>
            <w:tcW w:type="dxa" w:w="1296"/>
            <w:shd w:fill="FFFFFF" w:val="clear"/>
          </w:tcPr>
          <w:p>
            <w:r>
              <w:rPr>
                <w:sz w:val="17"/>
              </w:rPr>
              <w:t>3</w:t>
            </w:r>
          </w:p>
        </w:tc>
      </w:tr>
      <w:tr>
        <w:tc>
          <w:tcPr>
            <w:tcW w:type="dxa" w:w="4176"/>
            <w:shd w:fill="EEF4FA" w:val="clear"/>
          </w:tcPr>
          <w:p>
            <w:r>
              <w:rPr>
                <w:sz w:val="17"/>
              </w:rPr>
              <w:t>Platform hardening</w:t>
            </w:r>
          </w:p>
        </w:tc>
        <w:tc>
          <w:tcPr>
            <w:tcW w:type="dxa" w:w="1296"/>
            <w:shd w:fill="EEF4FA" w:val="clear"/>
          </w:tcPr>
          <w:p>
            <w:r>
              <w:rPr>
                <w:sz w:val="17"/>
              </w:rPr>
              <w:t>8</w:t>
            </w:r>
          </w:p>
        </w:tc>
        <w:tc>
          <w:tcPr>
            <w:tcW w:type="dxa" w:w="1296"/>
            <w:shd w:fill="EEF4FA" w:val="clear"/>
          </w:tcPr>
          <w:p>
            <w:r>
              <w:rPr>
                <w:sz w:val="17"/>
              </w:rPr>
              <w:t>6</w:t>
            </w:r>
          </w:p>
        </w:tc>
        <w:tc>
          <w:tcPr>
            <w:tcW w:type="dxa" w:w="1296"/>
            <w:shd w:fill="EEF4FA" w:val="clear"/>
          </w:tcPr>
          <w:p>
            <w:r>
              <w:rPr>
                <w:sz w:val="17"/>
              </w:rPr>
              <w:t>2</w:t>
            </w:r>
          </w:p>
        </w:tc>
        <w:tc>
          <w:tcPr>
            <w:tcW w:type="dxa" w:w="1296"/>
            <w:shd w:fill="EEF4FA" w:val="clear"/>
          </w:tcPr>
          <w:p>
            <w:r>
              <w:rPr>
                <w:sz w:val="17"/>
              </w:rPr>
              <w:t>0</w:t>
            </w:r>
          </w:p>
        </w:tc>
      </w:tr>
      <w:tr>
        <w:tc>
          <w:tcPr>
            <w:tcW w:type="dxa" w:w="4176"/>
            <w:shd w:fill="FFFFFF" w:val="clear"/>
          </w:tcPr>
          <w:p>
            <w:r>
              <w:rPr>
                <w:sz w:val="17"/>
              </w:rPr>
              <w:t>TOTAL</w:t>
            </w:r>
          </w:p>
        </w:tc>
        <w:tc>
          <w:tcPr>
            <w:tcW w:type="dxa" w:w="1296"/>
            <w:shd w:fill="FFFFFF" w:val="clear"/>
          </w:tcPr>
          <w:p>
            <w:r>
              <w:rPr>
                <w:sz w:val="17"/>
              </w:rPr>
              <w:t>82</w:t>
            </w:r>
          </w:p>
        </w:tc>
        <w:tc>
          <w:tcPr>
            <w:tcW w:type="dxa" w:w="1296"/>
            <w:shd w:fill="FFFFFF" w:val="clear"/>
          </w:tcPr>
          <w:p>
            <w:r>
              <w:rPr>
                <w:sz w:val="17"/>
              </w:rPr>
              <w:t>32</w:t>
            </w:r>
          </w:p>
        </w:tc>
        <w:tc>
          <w:tcPr>
            <w:tcW w:type="dxa" w:w="1296"/>
            <w:shd w:fill="FFFFFF" w:val="clear"/>
          </w:tcPr>
          <w:p>
            <w:r>
              <w:rPr>
                <w:sz w:val="17"/>
              </w:rPr>
              <w:t>18</w:t>
            </w:r>
          </w:p>
        </w:tc>
        <w:tc>
          <w:tcPr>
            <w:tcW w:type="dxa" w:w="1296"/>
            <w:shd w:fill="FFFFFF" w:val="clear"/>
          </w:tcPr>
          <w:p>
            <w:r>
              <w:rPr>
                <w:sz w:val="17"/>
              </w:rPr>
              <w:t>32</w:t>
            </w:r>
          </w:p>
        </w:tc>
      </w:tr>
    </w:tbl>
    <w:p/>
    <w:p>
      <w:r>
        <w:rPr>
          <w:b/>
          <w:i w:val="0"/>
          <w:color w:val="2E6DA4"/>
          <w:sz w:val="20"/>
        </w:rPr>
        <w:t>Where the project is strong</w:t>
      </w:r>
    </w:p>
    <w:p>
      <w:r>
        <w:rPr>
          <w:b w:val="0"/>
          <w:i w:val="0"/>
          <w:sz w:val="20"/>
        </w:rPr>
        <w:t>The cryptographic core and the platform hardening are close to complete, and several parts are done properly rather than nominally: the restore procedure proves a stored secret actually decrypts rather than assuming it, dual control is enforced in the store so the requester cannot self-approve however the approval arrives, and the audit chain names the exact row when verification fails.</w:t>
      </w:r>
    </w:p>
    <w:p/>
    <w:p>
      <w:r>
        <w:rPr>
          <w:b/>
          <w:i w:val="0"/>
          <w:color w:val="2E6DA4"/>
          <w:sz w:val="20"/>
        </w:rPr>
        <w:t>Where it is weak</w:t>
      </w:r>
    </w:p>
    <w:p>
      <w:r>
        <w:rPr>
          <w:b w:val="0"/>
          <w:i w:val="0"/>
          <w:sz w:val="20"/>
        </w:rPr>
        <w:t>Everything that makes a key server into a product an enterprise buys: no REST API, no console, no directory integration, no tenancy, no clustering, and no validated hardware. None of these are cryptographic shortcomings. They are the service around the cryptography, and that is a different body of work.</w:t>
      </w:r>
    </w:p>
    <w:p>
      <w:r>
        <w:br w:type="page"/>
      </w:r>
    </w:p>
    <w:p>
      <w:pPr>
        <w:pStyle w:val="Heading1"/>
      </w:pPr>
      <w:r>
        <w:rPr>
          <w:color w:val="1A3A5C"/>
        </w:rPr>
        <w:t>3  Key lifecycle and cryptography</w:t>
      </w:r>
    </w:p>
    <w:p>
      <w:r>
        <w:rPr>
          <w:b w:val="0"/>
          <w:i/>
          <w:color w:val="404040"/>
          <w:sz w:val="18"/>
        </w:rPr>
        <w:t>15 features — 8 covered, 4 partial, 3 not covered.</w:t>
      </w:r>
    </w:p>
    <w:tbl>
      <w:tblPr>
        <w:tblStyle w:val="TableGrid"/>
        <w:tblW w:type="auto" w:w="0"/>
        <w:tblLook w:firstColumn="1" w:firstRow="1" w:lastColumn="0" w:lastRow="0" w:noHBand="0" w:noVBand="1" w:val="04A0"/>
      </w:tblPr>
      <w:tblGrid>
        <w:gridCol w:w="2340"/>
        <w:gridCol w:w="2340"/>
        <w:gridCol w:w="2340"/>
        <w:gridCol w:w="2340"/>
      </w:tblGrid>
      <w:tr>
        <w:tc>
          <w:tcPr>
            <w:tcW w:type="dxa" w:w="1800"/>
            <w:shd w:fill="1A3A5C" w:val="clear"/>
          </w:tcPr>
          <w:p>
            <w:r>
              <w:rPr>
                <w:b/>
                <w:color w:val="FFFFFF"/>
                <w:sz w:val="17"/>
              </w:rPr>
              <w:t>Feature</w:t>
            </w:r>
          </w:p>
        </w:tc>
        <w:tc>
          <w:tcPr>
            <w:tcW w:type="dxa" w:w="2664"/>
            <w:shd w:fill="1A3A5C" w:val="clear"/>
          </w:tcPr>
          <w:p>
            <w:r>
              <w:rPr>
                <w:b/>
                <w:color w:val="FFFFFF"/>
                <w:sz w:val="17"/>
              </w:rPr>
              <w:t>What the market expects</w:t>
            </w:r>
          </w:p>
        </w:tc>
        <w:tc>
          <w:tcPr>
            <w:tcW w:type="dxa" w:w="1008"/>
            <w:shd w:fill="1A3A5C" w:val="clear"/>
          </w:tcPr>
          <w:p>
            <w:r>
              <w:rPr>
                <w:b/>
                <w:color w:val="FFFFFF"/>
                <w:sz w:val="17"/>
              </w:rPr>
              <w:t>Status</w:t>
            </w:r>
          </w:p>
        </w:tc>
        <w:tc>
          <w:tcPr>
            <w:tcW w:type="dxa" w:w="3888"/>
            <w:shd w:fill="1A3A5C" w:val="clear"/>
          </w:tcPr>
          <w:p>
            <w:r>
              <w:rPr>
                <w:b/>
                <w:color w:val="FFFFFF"/>
                <w:sz w:val="17"/>
              </w:rPr>
              <w:t>Route, if not covered here</w:t>
            </w:r>
          </w:p>
        </w:tc>
      </w:tr>
      <w:tr>
        <w:tc>
          <w:tcPr>
            <w:tcW w:type="dxa" w:w="1800"/>
            <w:shd w:fill="EEF4FA" w:val="clear"/>
          </w:tcPr>
          <w:p>
            <w:r>
              <w:rPr>
                <w:b/>
                <w:sz w:val="17"/>
              </w:rPr>
              <w:t>HSM-backed storage, keys never leave</w:t>
            </w:r>
          </w:p>
        </w:tc>
        <w:tc>
          <w:tcPr>
            <w:tcW w:type="dxa" w:w="2664"/>
            <w:shd w:fill="EEF4FA" w:val="clear"/>
          </w:tcPr>
          <w:p>
            <w:r>
              <w:rPr>
                <w:sz w:val="17"/>
              </w:rPr>
              <w:t>Key material generated and held in a certified token; the KMS holds references, not secrets.</w:t>
            </w:r>
          </w:p>
        </w:tc>
        <w:tc>
          <w:tcPr>
            <w:tcW w:type="dxa" w:w="1008"/>
            <w:shd w:fill="E2F0E7" w:val="clear"/>
          </w:tcPr>
          <w:p>
            <w:r>
              <w:rPr>
                <w:b/>
                <w:color w:val="1E802E"/>
                <w:sz w:val="17"/>
              </w:rPr>
              <w:t>Covered</w:t>
            </w:r>
          </w:p>
        </w:tc>
        <w:tc>
          <w:tcPr>
            <w:tcW w:type="dxa" w:w="3888"/>
            <w:shd w:fill="EEF4FA" w:val="clear"/>
          </w:tcPr>
          <w:p>
            <w:r>
              <w:rPr>
                <w:sz w:val="17"/>
              </w:rPr>
              <w:t>Every key is a PKCS#11 object; only pkcs11_shim/ imports the binding.</w:t>
            </w:r>
          </w:p>
        </w:tc>
      </w:tr>
      <w:tr>
        <w:tc>
          <w:tcPr>
            <w:tcW w:type="dxa" w:w="1800"/>
            <w:shd w:fill="FFFFFF" w:val="clear"/>
          </w:tcPr>
          <w:p>
            <w:r>
              <w:rPr>
                <w:b/>
                <w:sz w:val="17"/>
              </w:rPr>
              <w:t>Full lifecycle state machine</w:t>
            </w:r>
          </w:p>
        </w:tc>
        <w:tc>
          <w:tcPr>
            <w:tcW w:type="dxa" w:w="2664"/>
            <w:shd w:fill="FFFFFF" w:val="clear"/>
          </w:tcPr>
          <w:p>
            <w:r>
              <w:rPr>
                <w:sz w:val="17"/>
              </w:rPr>
              <w:t>Pre-Active → Active → Deactivated / Compromised → Destroyed, with state-gated usage.</w:t>
            </w:r>
          </w:p>
        </w:tc>
        <w:tc>
          <w:tcPr>
            <w:tcW w:type="dxa" w:w="1008"/>
            <w:shd w:fill="E2F0E7" w:val="clear"/>
          </w:tcPr>
          <w:p>
            <w:r>
              <w:rPr>
                <w:b/>
                <w:color w:val="1E802E"/>
                <w:sz w:val="17"/>
              </w:rPr>
              <w:t>Covered</w:t>
            </w:r>
          </w:p>
        </w:tc>
        <w:tc>
          <w:tcPr>
            <w:tcW w:type="dxa" w:w="3888"/>
            <w:shd w:fill="FFFFFF" w:val="clear"/>
          </w:tcPr>
          <w:p>
            <w:r>
              <w:rPr>
                <w:sz w:val="17"/>
              </w:rPr>
              <w:t>Enforced per operation. Decrypt stays legal on a Deactivated key so retiring one does not strand data.</w:t>
            </w:r>
          </w:p>
        </w:tc>
      </w:tr>
      <w:tr>
        <w:tc>
          <w:tcPr>
            <w:tcW w:type="dxa" w:w="1800"/>
            <w:shd w:fill="EEF4FA" w:val="clear"/>
          </w:tcPr>
          <w:p>
            <w:r>
              <w:rPr>
                <w:b/>
                <w:sz w:val="17"/>
              </w:rPr>
              <w:t>Cryptoperiod enforcement</w:t>
            </w:r>
          </w:p>
        </w:tc>
        <w:tc>
          <w:tcPr>
            <w:tcW w:type="dxa" w:w="2664"/>
            <w:shd w:fill="EEF4FA" w:val="clear"/>
          </w:tcPr>
          <w:p>
            <w:r>
              <w:rPr>
                <w:sz w:val="17"/>
              </w:rPr>
              <w:t>Keys deactivate on policy, not when someone remembers (NIST SP 800-57).</w:t>
            </w:r>
          </w:p>
        </w:tc>
        <w:tc>
          <w:tcPr>
            <w:tcW w:type="dxa" w:w="1008"/>
            <w:shd w:fill="E2F0E7" w:val="clear"/>
          </w:tcPr>
          <w:p>
            <w:r>
              <w:rPr>
                <w:b/>
                <w:color w:val="1E802E"/>
                <w:sz w:val="17"/>
              </w:rPr>
              <w:t>Covered</w:t>
            </w:r>
          </w:p>
        </w:tc>
        <w:tc>
          <w:tcPr>
            <w:tcW w:type="dxa" w:w="3888"/>
            <w:shd w:fill="EEF4FA" w:val="clear"/>
          </w:tcPr>
          <w:p>
            <w:r>
              <w:rPr>
                <w:sz w:val="17"/>
              </w:rPr>
              <w:t>Background scheduler; every action audited as system:scheduler.</w:t>
            </w:r>
          </w:p>
        </w:tc>
      </w:tr>
      <w:tr>
        <w:tc>
          <w:tcPr>
            <w:tcW w:type="dxa" w:w="1800"/>
            <w:shd w:fill="FFFFFF" w:val="clear"/>
          </w:tcPr>
          <w:p>
            <w:r>
              <w:rPr>
                <w:b/>
                <w:sz w:val="17"/>
              </w:rPr>
              <w:t>Automatic rotation</w:t>
            </w:r>
          </w:p>
        </w:tc>
        <w:tc>
          <w:tcPr>
            <w:tcW w:type="dxa" w:w="2664"/>
            <w:shd w:fill="FFFFFF" w:val="clear"/>
          </w:tcPr>
          <w:p>
            <w:r>
              <w:rPr>
                <w:sz w:val="17"/>
              </w:rPr>
              <w:t>Expiring keys replaced automatically, with lineage preserved.</w:t>
            </w:r>
          </w:p>
        </w:tc>
        <w:tc>
          <w:tcPr>
            <w:tcW w:type="dxa" w:w="1008"/>
            <w:shd w:fill="F7EDDC" w:val="clear"/>
          </w:tcPr>
          <w:p>
            <w:r>
              <w:rPr>
                <w:b/>
                <w:color w:val="8F5610"/>
                <w:sz w:val="17"/>
              </w:rPr>
              <w:t>Partial</w:t>
            </w:r>
          </w:p>
        </w:tc>
        <w:tc>
          <w:tcPr>
            <w:tcW w:type="dxa" w:w="3888"/>
            <w:shd w:fill="FFFFFF" w:val="clear"/>
          </w:tcPr>
          <w:p>
            <w:r>
              <w:rPr>
                <w:sz w:val="17"/>
              </w:rPr>
              <w:t>Symmetric keys only. Asymmetric rotation would reuse the existing ReKeyKeyPair handler — in-project, no protocol change.</w:t>
            </w:r>
          </w:p>
        </w:tc>
      </w:tr>
      <w:tr>
        <w:tc>
          <w:tcPr>
            <w:tcW w:type="dxa" w:w="1800"/>
            <w:shd w:fill="EEF4FA" w:val="clear"/>
          </w:tcPr>
          <w:p>
            <w:r>
              <w:rPr>
                <w:b/>
                <w:sz w:val="17"/>
              </w:rPr>
              <w:t>Key lineage and versioning</w:t>
            </w:r>
          </w:p>
        </w:tc>
        <w:tc>
          <w:tcPr>
            <w:tcW w:type="dxa" w:w="2664"/>
            <w:shd w:fill="EEF4FA" w:val="clear"/>
          </w:tcPr>
          <w:p>
            <w:r>
              <w:rPr>
                <w:sz w:val="17"/>
              </w:rPr>
              <w:t>Replacement keys linked to predecessors so data can be traced to the key that protected it.</w:t>
            </w:r>
          </w:p>
        </w:tc>
        <w:tc>
          <w:tcPr>
            <w:tcW w:type="dxa" w:w="1008"/>
            <w:shd w:fill="E2F0E7" w:val="clear"/>
          </w:tcPr>
          <w:p>
            <w:r>
              <w:rPr>
                <w:b/>
                <w:color w:val="1E802E"/>
                <w:sz w:val="17"/>
              </w:rPr>
              <w:t>Covered</w:t>
            </w:r>
          </w:p>
        </w:tc>
        <w:tc>
          <w:tcPr>
            <w:tcW w:type="dxa" w:w="3888"/>
            <w:shd w:fill="EEF4FA" w:val="clear"/>
          </w:tcPr>
          <w:p>
            <w:r>
              <w:rPr>
                <w:sz w:val="17"/>
              </w:rPr>
              <w:t>Link_ReplacementKey / Link_ReplacedKey, identical for client-driven and scheduled rotation.</w:t>
            </w:r>
          </w:p>
        </w:tc>
      </w:tr>
      <w:tr>
        <w:tc>
          <w:tcPr>
            <w:tcW w:type="dxa" w:w="1800"/>
            <w:shd w:fill="FFFFFF" w:val="clear"/>
          </w:tcPr>
          <w:p>
            <w:r>
              <w:rPr>
                <w:b/>
                <w:sz w:val="17"/>
              </w:rPr>
              <w:t>Algorithm breadth</w:t>
            </w:r>
          </w:p>
        </w:tc>
        <w:tc>
          <w:tcPr>
            <w:tcW w:type="dxa" w:w="2664"/>
            <w:shd w:fill="FFFFFF" w:val="clear"/>
          </w:tcPr>
          <w:p>
            <w:r>
              <w:rPr>
                <w:sz w:val="17"/>
              </w:rPr>
              <w:t>AES, RSA, EC, and the curve and hash families an enterprise estate actually uses.</w:t>
            </w:r>
          </w:p>
        </w:tc>
        <w:tc>
          <w:tcPr>
            <w:tcW w:type="dxa" w:w="1008"/>
            <w:shd w:fill="F7EDDC" w:val="clear"/>
          </w:tcPr>
          <w:p>
            <w:r>
              <w:rPr>
                <w:b/>
                <w:color w:val="8F5610"/>
                <w:sz w:val="17"/>
              </w:rPr>
              <w:t>Partial</w:t>
            </w:r>
          </w:p>
        </w:tc>
        <w:tc>
          <w:tcPr>
            <w:tcW w:type="dxa" w:w="3888"/>
            <w:shd w:fill="FFFFFF" w:val="clear"/>
          </w:tcPr>
          <w:p>
            <w:r>
              <w:rPr>
                <w:sz w:val="17"/>
              </w:rPr>
              <w:t>15 of 40 KMIP algorithms work on this token. The shim probes and gates; a richer token activates more with no code change.</w:t>
            </w:r>
          </w:p>
        </w:tc>
      </w:tr>
      <w:tr>
        <w:tc>
          <w:tcPr>
            <w:tcW w:type="dxa" w:w="1800"/>
            <w:shd w:fill="EEF4FA" w:val="clear"/>
          </w:tcPr>
          <w:p>
            <w:r>
              <w:rPr>
                <w:b/>
                <w:sz w:val="17"/>
              </w:rPr>
              <w:t>Post-quantum (ML-KEM, ML-DSA, SLH-DSA)</w:t>
            </w:r>
          </w:p>
        </w:tc>
        <w:tc>
          <w:tcPr>
            <w:tcW w:type="dxa" w:w="2664"/>
            <w:shd w:fill="EEF4FA" w:val="clear"/>
          </w:tcPr>
          <w:p>
            <w:r>
              <w:rPr>
                <w:sz w:val="17"/>
              </w:rPr>
              <w:t>FIPS 203/204/205 support, now the leading procurement question.</w:t>
            </w:r>
          </w:p>
        </w:tc>
        <w:tc>
          <w:tcPr>
            <w:tcW w:type="dxa" w:w="1008"/>
            <w:shd w:fill="F9E6E4" w:val="clear"/>
          </w:tcPr>
          <w:p>
            <w:r>
              <w:rPr>
                <w:b/>
                <w:color w:val="B3261E"/>
                <w:sz w:val="17"/>
              </w:rPr>
              <w:t>Not covered</w:t>
            </w:r>
          </w:p>
        </w:tc>
        <w:tc>
          <w:tcPr>
            <w:tcW w:type="dxa" w:w="3888"/>
            <w:shd w:fill="EEF4FA" w:val="clear"/>
          </w:tcPr>
          <w:p>
            <w:r>
              <w:rPr>
                <w:sz w:val="17"/>
              </w:rPr>
              <w:t>Needs both halves: a PQC token (SoftHSM's ML-DSA/ML-KEM work is in the development tree, not in any release) and KMIP 3.0, whose CSD02 adds the algorithms plus Encapsulate/Decapsulate. Vendor-range enums would work but interoperate with nothing.</w:t>
            </w:r>
          </w:p>
        </w:tc>
      </w:tr>
      <w:tr>
        <w:tc>
          <w:tcPr>
            <w:tcW w:type="dxa" w:w="1800"/>
            <w:shd w:fill="FFFFFF" w:val="clear"/>
          </w:tcPr>
          <w:p>
            <w:r>
              <w:rPr>
                <w:b/>
                <w:sz w:val="17"/>
              </w:rPr>
              <w:t>Hardware RNG</w:t>
            </w:r>
          </w:p>
        </w:tc>
        <w:tc>
          <w:tcPr>
            <w:tcW w:type="dxa" w:w="2664"/>
            <w:shd w:fill="FFFFFF" w:val="clear"/>
          </w:tcPr>
          <w:p>
            <w:r>
              <w:rPr>
                <w:sz w:val="17"/>
              </w:rPr>
              <w:t>Entropy from certified hardware, exposed to clients.</w:t>
            </w:r>
          </w:p>
        </w:tc>
        <w:tc>
          <w:tcPr>
            <w:tcW w:type="dxa" w:w="1008"/>
            <w:shd w:fill="E2F0E7" w:val="clear"/>
          </w:tcPr>
          <w:p>
            <w:r>
              <w:rPr>
                <w:b/>
                <w:color w:val="1E802E"/>
                <w:sz w:val="17"/>
              </w:rPr>
              <w:t>Covered</w:t>
            </w:r>
          </w:p>
        </w:tc>
        <w:tc>
          <w:tcPr>
            <w:tcW w:type="dxa" w:w="3888"/>
            <w:shd w:fill="FFFFFF" w:val="clear"/>
          </w:tcPr>
          <w:p>
            <w:r>
              <w:rPr>
                <w:sz w:val="17"/>
              </w:rPr>
              <w:t>RNGRetrieve and RNGSeed draw from the token. Certification is the token's property, not this code's.</w:t>
            </w:r>
          </w:p>
        </w:tc>
      </w:tr>
      <w:tr>
        <w:tc>
          <w:tcPr>
            <w:tcW w:type="dxa" w:w="1800"/>
            <w:shd w:fill="EEF4FA" w:val="clear"/>
          </w:tcPr>
          <w:p>
            <w:r>
              <w:rPr>
                <w:b/>
                <w:sz w:val="17"/>
              </w:rPr>
              <w:t>Key derivation</w:t>
            </w:r>
          </w:p>
        </w:tc>
        <w:tc>
          <w:tcPr>
            <w:tcW w:type="dxa" w:w="2664"/>
            <w:shd w:fill="EEF4FA" w:val="clear"/>
          </w:tcPr>
          <w:p>
            <w:r>
              <w:rPr>
                <w:sz w:val="17"/>
              </w:rPr>
              <w:t>Derive keys from existing material without exposing either.</w:t>
            </w:r>
          </w:p>
        </w:tc>
        <w:tc>
          <w:tcPr>
            <w:tcW w:type="dxa" w:w="1008"/>
            <w:shd w:fill="E2F0E7" w:val="clear"/>
          </w:tcPr>
          <w:p>
            <w:r>
              <w:rPr>
                <w:b/>
                <w:color w:val="1E802E"/>
                <w:sz w:val="17"/>
              </w:rPr>
              <w:t>Covered</w:t>
            </w:r>
          </w:p>
        </w:tc>
        <w:tc>
          <w:tcPr>
            <w:tcW w:type="dxa" w:w="3888"/>
            <w:shd w:fill="EEF4FA" w:val="clear"/>
          </w:tcPr>
          <w:p>
            <w:r>
              <w:rPr>
                <w:sz w:val="17"/>
              </w:rPr>
              <w:t>DeriveKey, performed inside the token.</w:t>
            </w:r>
          </w:p>
        </w:tc>
      </w:tr>
      <w:tr>
        <w:tc>
          <w:tcPr>
            <w:tcW w:type="dxa" w:w="1800"/>
            <w:shd w:fill="FFFFFF" w:val="clear"/>
          </w:tcPr>
          <w:p>
            <w:r>
              <w:rPr>
                <w:b/>
                <w:sz w:val="17"/>
              </w:rPr>
              <w:t>Key wrapping / secure import-export</w:t>
            </w:r>
          </w:p>
        </w:tc>
        <w:tc>
          <w:tcPr>
            <w:tcW w:type="dxa" w:w="2664"/>
            <w:shd w:fill="FFFFFF" w:val="clear"/>
          </w:tcPr>
          <w:p>
            <w:r>
              <w:rPr>
                <w:sz w:val="17"/>
              </w:rPr>
              <w:t>Move keys between systems without ever seeing plaintext.</w:t>
            </w:r>
          </w:p>
        </w:tc>
        <w:tc>
          <w:tcPr>
            <w:tcW w:type="dxa" w:w="1008"/>
            <w:shd w:fill="E2F0E7" w:val="clear"/>
          </w:tcPr>
          <w:p>
            <w:r>
              <w:rPr>
                <w:b/>
                <w:color w:val="1E802E"/>
                <w:sz w:val="17"/>
              </w:rPr>
              <w:t>Covered</w:t>
            </w:r>
          </w:p>
        </w:tc>
        <w:tc>
          <w:tcPr>
            <w:tcW w:type="dxa" w:w="3888"/>
            <w:shd w:fill="FFFFFF" w:val="clear"/>
          </w:tcPr>
          <w:p>
            <w:r>
              <w:rPr>
                <w:sz w:val="17"/>
              </w:rPr>
              <w:t>AES key wrap, and a wrapped Get via KeyWrappingSpecification.</w:t>
            </w:r>
          </w:p>
        </w:tc>
      </w:tr>
      <w:tr>
        <w:tc>
          <w:tcPr>
            <w:tcW w:type="dxa" w:w="1800"/>
            <w:shd w:fill="EEF4FA" w:val="clear"/>
          </w:tcPr>
          <w:p>
            <w:r>
              <w:rPr>
                <w:b/>
                <w:sz w:val="17"/>
              </w:rPr>
              <w:t>Split knowledge / M-of-N shares</w:t>
            </w:r>
          </w:p>
        </w:tc>
        <w:tc>
          <w:tcPr>
            <w:tcW w:type="dxa" w:w="2664"/>
            <w:shd w:fill="EEF4FA" w:val="clear"/>
          </w:tcPr>
          <w:p>
            <w:r>
              <w:rPr>
                <w:sz w:val="17"/>
              </w:rPr>
              <w:t>Key material split so no one custodian can reconstruct it.</w:t>
            </w:r>
          </w:p>
        </w:tc>
        <w:tc>
          <w:tcPr>
            <w:tcW w:type="dxa" w:w="1008"/>
            <w:shd w:fill="F7EDDC" w:val="clear"/>
          </w:tcPr>
          <w:p>
            <w:r>
              <w:rPr>
                <w:b/>
                <w:color w:val="8F5610"/>
                <w:sz w:val="17"/>
              </w:rPr>
              <w:t>Partial</w:t>
            </w:r>
          </w:p>
        </w:tc>
        <w:tc>
          <w:tcPr>
            <w:tcW w:type="dxa" w:w="3888"/>
            <w:shd w:fill="EEF4FA" w:val="clear"/>
          </w:tcPr>
          <w:p>
            <w:r>
              <w:rPr>
                <w:sz w:val="17"/>
              </w:rPr>
              <w:t>XOR only, and strictly N-of-N. Shamir threshold sharing would slot into the existing SplitKeyMethod enum — inside KMIP.</w:t>
            </w:r>
          </w:p>
        </w:tc>
      </w:tr>
      <w:tr>
        <w:tc>
          <w:tcPr>
            <w:tcW w:type="dxa" w:w="1800"/>
            <w:shd w:fill="FFFFFF" w:val="clear"/>
          </w:tcPr>
          <w:p>
            <w:r>
              <w:rPr>
                <w:b/>
                <w:sz w:val="17"/>
              </w:rPr>
              <w:t>Formal key ceremony</w:t>
            </w:r>
          </w:p>
        </w:tc>
        <w:tc>
          <w:tcPr>
            <w:tcW w:type="dxa" w:w="2664"/>
            <w:shd w:fill="FFFFFF" w:val="clear"/>
          </w:tcPr>
          <w:p>
            <w:r>
              <w:rPr>
                <w:sz w:val="17"/>
              </w:rPr>
              <w:t>Scripted, witnessed, attested generation for root keys.</w:t>
            </w:r>
          </w:p>
        </w:tc>
        <w:tc>
          <w:tcPr>
            <w:tcW w:type="dxa" w:w="1008"/>
            <w:shd w:fill="F9E6E4" w:val="clear"/>
          </w:tcPr>
          <w:p>
            <w:r>
              <w:rPr>
                <w:b/>
                <w:color w:val="B3261E"/>
                <w:sz w:val="17"/>
              </w:rPr>
              <w:t>Not covered</w:t>
            </w:r>
          </w:p>
        </w:tc>
        <w:tc>
          <w:tcPr>
            <w:tcW w:type="dxa" w:w="3888"/>
            <w:shd w:fill="FFFFFF" w:val="clear"/>
          </w:tcPr>
          <w:p>
            <w:r>
              <w:rPr>
                <w:b/>
                <w:color w:val="2E6DA4"/>
                <w:sz w:val="17"/>
              </w:rPr>
              <w:t xml:space="preserve">Outside KMIP — </w:t>
            </w:r>
            <w:r>
              <w:rPr>
                <w:sz w:val="17"/>
              </w:rPr>
              <w:t>A ceremony runbook plus signed kmip-admin transcripts. The cryptographic primitive already exists as dual control; what is missing is the procedure and its evidence.</w:t>
            </w:r>
          </w:p>
        </w:tc>
      </w:tr>
      <w:tr>
        <w:tc>
          <w:tcPr>
            <w:tcW w:type="dxa" w:w="1800"/>
            <w:shd w:fill="EEF4FA" w:val="clear"/>
          </w:tcPr>
          <w:p>
            <w:r>
              <w:rPr>
                <w:b/>
                <w:sz w:val="17"/>
              </w:rPr>
              <w:t>Bulk and batch operations</w:t>
            </w:r>
          </w:p>
        </w:tc>
        <w:tc>
          <w:tcPr>
            <w:tcW w:type="dxa" w:w="2664"/>
            <w:shd w:fill="EEF4FA" w:val="clear"/>
          </w:tcPr>
          <w:p>
            <w:r>
              <w:rPr>
                <w:sz w:val="17"/>
              </w:rPr>
              <w:t>Many operations per round trip, for provisioning at scale.</w:t>
            </w:r>
          </w:p>
        </w:tc>
        <w:tc>
          <w:tcPr>
            <w:tcW w:type="dxa" w:w="1008"/>
            <w:shd w:fill="F7EDDC" w:val="clear"/>
          </w:tcPr>
          <w:p>
            <w:r>
              <w:rPr>
                <w:b/>
                <w:color w:val="8F5610"/>
                <w:sz w:val="17"/>
              </w:rPr>
              <w:t>Partial</w:t>
            </w:r>
          </w:p>
        </w:tc>
        <w:tc>
          <w:tcPr>
            <w:tcW w:type="dxa" w:w="3888"/>
            <w:shd w:fill="EEF4FA" w:val="clear"/>
          </w:tcPr>
          <w:p>
            <w:r>
              <w:rPr>
                <w:sz w:val="17"/>
              </w:rPr>
              <w:t>Batching works, atomicity does not — a mid-batch failure leaves earlier items applied. KMIP defines no rollback, so all-or-nothing would be a local transaction around the dispatcher.</w:t>
            </w:r>
          </w:p>
        </w:tc>
      </w:tr>
      <w:tr>
        <w:tc>
          <w:tcPr>
            <w:tcW w:type="dxa" w:w="1800"/>
            <w:shd w:fill="FFFFFF" w:val="clear"/>
          </w:tcPr>
          <w:p>
            <w:r>
              <w:rPr>
                <w:b/>
                <w:sz w:val="17"/>
              </w:rPr>
              <w:t>Verifiable destruction</w:t>
            </w:r>
          </w:p>
        </w:tc>
        <w:tc>
          <w:tcPr>
            <w:tcW w:type="dxa" w:w="2664"/>
            <w:shd w:fill="FFFFFF" w:val="clear"/>
          </w:tcPr>
          <w:p>
            <w:r>
              <w:rPr>
                <w:sz w:val="17"/>
              </w:rPr>
              <w:t>Zeroization on the token, evidenced.</w:t>
            </w:r>
          </w:p>
        </w:tc>
        <w:tc>
          <w:tcPr>
            <w:tcW w:type="dxa" w:w="1008"/>
            <w:shd w:fill="E2F0E7" w:val="clear"/>
          </w:tcPr>
          <w:p>
            <w:r>
              <w:rPr>
                <w:b/>
                <w:color w:val="1E802E"/>
                <w:sz w:val="17"/>
              </w:rPr>
              <w:t>Covered</w:t>
            </w:r>
          </w:p>
        </w:tc>
        <w:tc>
          <w:tcPr>
            <w:tcW w:type="dxa" w:w="3888"/>
            <w:shd w:fill="FFFFFF" w:val="clear"/>
          </w:tcPr>
          <w:p>
            <w:r>
              <w:rPr>
                <w:sz w:val="17"/>
              </w:rPr>
              <w:t>Destroy zeroizes the PKCS#11 object; the audit row survives to resolve the identifier.</w:t>
            </w:r>
          </w:p>
        </w:tc>
      </w:tr>
      <w:tr>
        <w:tc>
          <w:tcPr>
            <w:tcW w:type="dxa" w:w="1800"/>
            <w:shd w:fill="EEF4FA" w:val="clear"/>
          </w:tcPr>
          <w:p>
            <w:r>
              <w:rPr>
                <w:b/>
                <w:sz w:val="17"/>
              </w:rPr>
              <w:t>Key-bound usage policy enforced in hardware</w:t>
            </w:r>
          </w:p>
        </w:tc>
        <w:tc>
          <w:tcPr>
            <w:tcW w:type="dxa" w:w="2664"/>
            <w:shd w:fill="EEF4FA" w:val="clear"/>
          </w:tcPr>
          <w:p>
            <w:r>
              <w:rPr>
                <w:sz w:val="17"/>
              </w:rPr>
              <w:t>The approval quorum, time-lock or usage limit travels with the key inside the token, so the policy survives compromise of the management server.</w:t>
            </w:r>
          </w:p>
        </w:tc>
        <w:tc>
          <w:tcPr>
            <w:tcW w:type="dxa" w:w="1008"/>
            <w:shd w:fill="F9E6E4" w:val="clear"/>
          </w:tcPr>
          <w:p>
            <w:r>
              <w:rPr>
                <w:b/>
                <w:color w:val="B3261E"/>
                <w:sz w:val="17"/>
              </w:rPr>
              <w:t>Not covered</w:t>
            </w:r>
          </w:p>
        </w:tc>
        <w:tc>
          <w:tcPr>
            <w:tcW w:type="dxa" w:w="3888"/>
            <w:shd w:fill="EEF4FA" w:val="clear"/>
          </w:tcPr>
          <w:p>
            <w:r>
              <w:rPr>
                <w:b/>
                <w:color w:val="2E6DA4"/>
                <w:sz w:val="17"/>
              </w:rPr>
              <w:t xml:space="preserve">Outside KMIP — </w:t>
            </w:r>
            <w:r>
              <w:rPr>
                <w:sz w:val="17"/>
              </w:rPr>
              <w:t>Dual control here is enforced by the server: an attacker who owns the server owns the policy. Moving it into the key needs a token whose attributes carry approval rules and time-locks — Securosys Smart Key Attributes are the reference implementation — and SoftHSM has no equivalent. Token capability, not code.</w:t>
            </w:r>
          </w:p>
        </w:tc>
      </w:tr>
    </w:tbl>
    <w:p>
      <w:r>
        <w:br w:type="page"/>
      </w:r>
    </w:p>
    <w:p>
      <w:pPr>
        <w:pStyle w:val="Heading1"/>
      </w:pPr>
      <w:r>
        <w:rPr>
          <w:color w:val="1A3A5C"/>
        </w:rPr>
        <w:t>4  Protocol and ecosystem integration</w:t>
      </w:r>
    </w:p>
    <w:p>
      <w:r>
        <w:rPr>
          <w:b w:val="0"/>
          <w:i/>
          <w:color w:val="404040"/>
          <w:sz w:val="18"/>
        </w:rPr>
        <w:t>15 features — 1 covered, 5 partial, 9 not covered.</w:t>
      </w:r>
    </w:p>
    <w:tbl>
      <w:tblPr>
        <w:tblStyle w:val="TableGrid"/>
        <w:tblW w:type="auto" w:w="0"/>
        <w:tblLook w:firstColumn="1" w:firstRow="1" w:lastColumn="0" w:lastRow="0" w:noHBand="0" w:noVBand="1" w:val="04A0"/>
      </w:tblPr>
      <w:tblGrid>
        <w:gridCol w:w="2340"/>
        <w:gridCol w:w="2340"/>
        <w:gridCol w:w="2340"/>
        <w:gridCol w:w="2340"/>
      </w:tblGrid>
      <w:tr>
        <w:tc>
          <w:tcPr>
            <w:tcW w:type="dxa" w:w="1800"/>
            <w:shd w:fill="1A3A5C" w:val="clear"/>
          </w:tcPr>
          <w:p>
            <w:r>
              <w:rPr>
                <w:b/>
                <w:color w:val="FFFFFF"/>
                <w:sz w:val="17"/>
              </w:rPr>
              <w:t>Feature</w:t>
            </w:r>
          </w:p>
        </w:tc>
        <w:tc>
          <w:tcPr>
            <w:tcW w:type="dxa" w:w="2664"/>
            <w:shd w:fill="1A3A5C" w:val="clear"/>
          </w:tcPr>
          <w:p>
            <w:r>
              <w:rPr>
                <w:b/>
                <w:color w:val="FFFFFF"/>
                <w:sz w:val="17"/>
              </w:rPr>
              <w:t>What the market expects</w:t>
            </w:r>
          </w:p>
        </w:tc>
        <w:tc>
          <w:tcPr>
            <w:tcW w:type="dxa" w:w="1008"/>
            <w:shd w:fill="1A3A5C" w:val="clear"/>
          </w:tcPr>
          <w:p>
            <w:r>
              <w:rPr>
                <w:b/>
                <w:color w:val="FFFFFF"/>
                <w:sz w:val="17"/>
              </w:rPr>
              <w:t>Status</w:t>
            </w:r>
          </w:p>
        </w:tc>
        <w:tc>
          <w:tcPr>
            <w:tcW w:type="dxa" w:w="3888"/>
            <w:shd w:fill="1A3A5C" w:val="clear"/>
          </w:tcPr>
          <w:p>
            <w:r>
              <w:rPr>
                <w:b/>
                <w:color w:val="FFFFFF"/>
                <w:sz w:val="17"/>
              </w:rPr>
              <w:t>Route, if not covered here</w:t>
            </w:r>
          </w:p>
        </w:tc>
      </w:tr>
      <w:tr>
        <w:tc>
          <w:tcPr>
            <w:tcW w:type="dxa" w:w="1800"/>
            <w:shd w:fill="EEF4FA" w:val="clear"/>
          </w:tcPr>
          <w:p>
            <w:r>
              <w:rPr>
                <w:b/>
                <w:sz w:val="17"/>
              </w:rPr>
              <w:t>KMIP server</w:t>
            </w:r>
          </w:p>
        </w:tc>
        <w:tc>
          <w:tcPr>
            <w:tcW w:type="dxa" w:w="2664"/>
            <w:shd w:fill="EEF4FA" w:val="clear"/>
          </w:tcPr>
          <w:p>
            <w:r>
              <w:rPr>
                <w:sz w:val="17"/>
              </w:rPr>
              <w:t>The interoperability baseline every enterprise KMS ships.</w:t>
            </w:r>
          </w:p>
        </w:tc>
        <w:tc>
          <w:tcPr>
            <w:tcW w:type="dxa" w:w="1008"/>
            <w:shd w:fill="E2F0E7" w:val="clear"/>
          </w:tcPr>
          <w:p>
            <w:r>
              <w:rPr>
                <w:b/>
                <w:color w:val="1E802E"/>
                <w:sz w:val="17"/>
              </w:rPr>
              <w:t>Covered</w:t>
            </w:r>
          </w:p>
        </w:tc>
        <w:tc>
          <w:tcPr>
            <w:tcW w:type="dxa" w:w="3888"/>
            <w:shd w:fill="EEF4FA" w:val="clear"/>
          </w:tcPr>
          <w:p>
            <w:r>
              <w:rPr>
                <w:sz w:val="17"/>
              </w:rPr>
              <w:t>41 of 53 KMIP 2.1 operations; the other 12 are session, async and vendor operations.</w:t>
            </w:r>
          </w:p>
        </w:tc>
      </w:tr>
      <w:tr>
        <w:tc>
          <w:tcPr>
            <w:tcW w:type="dxa" w:w="1800"/>
            <w:shd w:fill="FFFFFF" w:val="clear"/>
          </w:tcPr>
          <w:p>
            <w:r>
              <w:rPr>
                <w:b/>
                <w:sz w:val="17"/>
              </w:rPr>
              <w:t>KMIP interoperability certification</w:t>
            </w:r>
          </w:p>
        </w:tc>
        <w:tc>
          <w:tcPr>
            <w:tcW w:type="dxa" w:w="2664"/>
            <w:shd w:fill="FFFFFF" w:val="clear"/>
          </w:tcPr>
          <w:p>
            <w:r>
              <w:rPr>
                <w:sz w:val="17"/>
              </w:rPr>
              <w:t>Demonstrated interop against other vendors' clients and servers.</w:t>
            </w:r>
          </w:p>
        </w:tc>
        <w:tc>
          <w:tcPr>
            <w:tcW w:type="dxa" w:w="1008"/>
            <w:shd w:fill="F9E6E4" w:val="clear"/>
          </w:tcPr>
          <w:p>
            <w:r>
              <w:rPr>
                <w:b/>
                <w:color w:val="B3261E"/>
                <w:sz w:val="17"/>
              </w:rPr>
              <w:t>Not covered</w:t>
            </w:r>
          </w:p>
        </w:tc>
        <w:tc>
          <w:tcPr>
            <w:tcW w:type="dxa" w:w="3888"/>
            <w:shd w:fill="FFFFFF" w:val="clear"/>
          </w:tcPr>
          <w:p>
            <w:r>
              <w:rPr>
                <w:sz w:val="17"/>
              </w:rPr>
              <w:t>OASIS conformance test cases are mapped in the suite, but the project has never been through an interop event. This is testing and process, not new code.</w:t>
            </w:r>
          </w:p>
        </w:tc>
      </w:tr>
      <w:tr>
        <w:tc>
          <w:tcPr>
            <w:tcW w:type="dxa" w:w="1800"/>
            <w:shd w:fill="EEF4FA" w:val="clear"/>
          </w:tcPr>
          <w:p>
            <w:r>
              <w:rPr>
                <w:b/>
                <w:sz w:val="17"/>
              </w:rPr>
              <w:t>KMIP 3.0</w:t>
            </w:r>
          </w:p>
        </w:tc>
        <w:tc>
          <w:tcPr>
            <w:tcW w:type="dxa" w:w="2664"/>
            <w:shd w:fill="EEF4FA" w:val="clear"/>
          </w:tcPr>
          <w:p>
            <w:r>
              <w:rPr>
                <w:sz w:val="17"/>
              </w:rPr>
              <w:t>The current specification line, and where PQC lives.</w:t>
            </w:r>
          </w:p>
        </w:tc>
        <w:tc>
          <w:tcPr>
            <w:tcW w:type="dxa" w:w="1008"/>
            <w:shd w:fill="F9E6E4" w:val="clear"/>
          </w:tcPr>
          <w:p>
            <w:r>
              <w:rPr>
                <w:b/>
                <w:color w:val="B3261E"/>
                <w:sz w:val="17"/>
              </w:rPr>
              <w:t>Not covered</w:t>
            </w:r>
          </w:p>
        </w:tc>
        <w:tc>
          <w:tcPr>
            <w:tcW w:type="dxa" w:w="3888"/>
            <w:shd w:fill="EEF4FA" w:val="clear"/>
          </w:tcPr>
          <w:p>
            <w:r>
              <w:rPr>
                <w:sz w:val="17"/>
              </w:rPr>
              <w:t>Enum and operation additions on top of 2.1. Substantial but entirely in-protocol.</w:t>
            </w:r>
          </w:p>
        </w:tc>
      </w:tr>
      <w:tr>
        <w:tc>
          <w:tcPr>
            <w:tcW w:type="dxa" w:w="1800"/>
            <w:shd w:fill="FFFFFF" w:val="clear"/>
          </w:tcPr>
          <w:p>
            <w:r>
              <w:rPr>
                <w:b/>
                <w:sz w:val="17"/>
              </w:rPr>
              <w:t>PKCS#11 provider for applications</w:t>
            </w:r>
          </w:p>
        </w:tc>
        <w:tc>
          <w:tcPr>
            <w:tcW w:type="dxa" w:w="2664"/>
            <w:shd w:fill="FFFFFF" w:val="clear"/>
          </w:tcPr>
          <w:p>
            <w:r>
              <w:rPr>
                <w:sz w:val="17"/>
              </w:rPr>
              <w:t>Applications plugging straight in through the interfaces they already speak — PKCS#11, and alongside it JCE and Microsoft CNG.</w:t>
            </w:r>
          </w:p>
        </w:tc>
        <w:tc>
          <w:tcPr>
            <w:tcW w:type="dxa" w:w="1008"/>
            <w:shd w:fill="F9E6E4" w:val="clear"/>
          </w:tcPr>
          <w:p>
            <w:r>
              <w:rPr>
                <w:b/>
                <w:color w:val="B3261E"/>
                <w:sz w:val="17"/>
              </w:rPr>
              <w:t>Not covered</w:t>
            </w:r>
          </w:p>
        </w:tc>
        <w:tc>
          <w:tcPr>
            <w:tcW w:type="dxa" w:w="3888"/>
            <w:shd w:fill="FFFFFF" w:val="clear"/>
          </w:tcPr>
          <w:p>
            <w:r>
              <w:rPr>
                <w:b/>
                <w:color w:val="2E6DA4"/>
                <w:sz w:val="17"/>
              </w:rPr>
              <w:t xml:space="preserve">Outside KMIP — </w:t>
            </w:r>
            <w:r>
              <w:rPr>
                <w:sz w:val="17"/>
              </w:rPr>
              <w:t>This project consumes PKCS#11; it does not expose it. The route is a thin PKCS#11 library that fronts the KMIP server, which is how commercial products serve both interfaces.</w:t>
            </w:r>
          </w:p>
        </w:tc>
      </w:tr>
      <w:tr>
        <w:tc>
          <w:tcPr>
            <w:tcW w:type="dxa" w:w="1800"/>
            <w:shd w:fill="EEF4FA" w:val="clear"/>
          </w:tcPr>
          <w:p>
            <w:r>
              <w:rPr>
                <w:b/>
                <w:sz w:val="17"/>
              </w:rPr>
              <w:t>REST / JSON API</w:t>
            </w:r>
          </w:p>
        </w:tc>
        <w:tc>
          <w:tcPr>
            <w:tcW w:type="dxa" w:w="2664"/>
            <w:shd w:fill="EEF4FA" w:val="clear"/>
          </w:tcPr>
          <w:p>
            <w:r>
              <w:rPr>
                <w:sz w:val="17"/>
              </w:rPr>
              <w:t>Developer-facing API alongside KMIP; universal in the market.</w:t>
            </w:r>
          </w:p>
        </w:tc>
        <w:tc>
          <w:tcPr>
            <w:tcW w:type="dxa" w:w="1008"/>
            <w:shd w:fill="F9E6E4" w:val="clear"/>
          </w:tcPr>
          <w:p>
            <w:r>
              <w:rPr>
                <w:b/>
                <w:color w:val="B3261E"/>
                <w:sz w:val="17"/>
              </w:rPr>
              <w:t>Not covered</w:t>
            </w:r>
          </w:p>
        </w:tc>
        <w:tc>
          <w:tcPr>
            <w:tcW w:type="dxa" w:w="3888"/>
            <w:shd w:fill="EEF4FA" w:val="clear"/>
          </w:tcPr>
          <w:p>
            <w:r>
              <w:rPr>
                <w:b/>
                <w:color w:val="2E6DA4"/>
                <w:sz w:val="17"/>
              </w:rPr>
              <w:t xml:space="preserve">Outside KMIP — </w:t>
            </w:r>
            <w:r>
              <w:rPr>
                <w:sz w:val="17"/>
              </w:rPr>
              <w:t>KMIP defines no REST binding. An HTTP facade over the existing dispatcher would reuse identity, RBAC and audit unchanged. This is the highest-leverage single gap on the page.</w:t>
            </w:r>
          </w:p>
        </w:tc>
      </w:tr>
      <w:tr>
        <w:tc>
          <w:tcPr>
            <w:tcW w:type="dxa" w:w="1800"/>
            <w:shd w:fill="FFFFFF" w:val="clear"/>
          </w:tcPr>
          <w:p>
            <w:r>
              <w:rPr>
                <w:b/>
                <w:sz w:val="17"/>
              </w:rPr>
              <w:t>Cloud BYOK (AWS, Azure, GCP)</w:t>
            </w:r>
          </w:p>
        </w:tc>
        <w:tc>
          <w:tcPr>
            <w:tcW w:type="dxa" w:w="2664"/>
            <w:shd w:fill="FFFFFF" w:val="clear"/>
          </w:tcPr>
          <w:p>
            <w:r>
              <w:rPr>
                <w:sz w:val="17"/>
              </w:rPr>
              <w:t>Generate on-premise, import into a cloud KMS, keep custody of the source.</w:t>
            </w:r>
          </w:p>
        </w:tc>
        <w:tc>
          <w:tcPr>
            <w:tcW w:type="dxa" w:w="1008"/>
            <w:shd w:fill="F9E6E4" w:val="clear"/>
          </w:tcPr>
          <w:p>
            <w:r>
              <w:rPr>
                <w:b/>
                <w:color w:val="B3261E"/>
                <w:sz w:val="17"/>
              </w:rPr>
              <w:t>Not covered</w:t>
            </w:r>
          </w:p>
        </w:tc>
        <w:tc>
          <w:tcPr>
            <w:tcW w:type="dxa" w:w="3888"/>
            <w:shd w:fill="FFFFFF" w:val="clear"/>
          </w:tcPr>
          <w:p>
            <w:r>
              <w:rPr>
                <w:b/>
                <w:color w:val="2E6DA4"/>
                <w:sz w:val="17"/>
              </w:rPr>
              <w:t xml:space="preserve">Outside KMIP — </w:t>
            </w:r>
            <w:r>
              <w:rPr>
                <w:sz w:val="17"/>
              </w:rPr>
              <w:t>Per-cloud connectors calling each provider's import API. Nothing in KMIP describes this.</w:t>
            </w:r>
          </w:p>
        </w:tc>
      </w:tr>
      <w:tr>
        <w:tc>
          <w:tcPr>
            <w:tcW w:type="dxa" w:w="1800"/>
            <w:shd w:fill="EEF4FA" w:val="clear"/>
          </w:tcPr>
          <w:p>
            <w:r>
              <w:rPr>
                <w:b/>
                <w:sz w:val="17"/>
              </w:rPr>
              <w:t>Cloud EKM / XKS / hold-your-own-key</w:t>
            </w:r>
          </w:p>
        </w:tc>
        <w:tc>
          <w:tcPr>
            <w:tcW w:type="dxa" w:w="2664"/>
            <w:shd w:fill="EEF4FA" w:val="clear"/>
          </w:tcPr>
          <w:p>
            <w:r>
              <w:rPr>
                <w:sz w:val="17"/>
              </w:rPr>
              <w:t>Cloud services calling back to your KMS for every operation.</w:t>
            </w:r>
          </w:p>
        </w:tc>
        <w:tc>
          <w:tcPr>
            <w:tcW w:type="dxa" w:w="1008"/>
            <w:shd w:fill="F9E6E4" w:val="clear"/>
          </w:tcPr>
          <w:p>
            <w:r>
              <w:rPr>
                <w:b/>
                <w:color w:val="B3261E"/>
                <w:sz w:val="17"/>
              </w:rPr>
              <w:t>Not covered</w:t>
            </w:r>
          </w:p>
        </w:tc>
        <w:tc>
          <w:tcPr>
            <w:tcW w:type="dxa" w:w="3888"/>
            <w:shd w:fill="EEF4FA" w:val="clear"/>
          </w:tcPr>
          <w:p>
            <w:r>
              <w:rPr>
                <w:b/>
                <w:color w:val="2E6DA4"/>
                <w:sz w:val="17"/>
              </w:rPr>
              <w:t xml:space="preserve">Outside KMIP — </w:t>
            </w:r>
            <w:r>
              <w:rPr>
                <w:sz w:val="17"/>
              </w:rPr>
              <w:t>Implement the AWS XKS proxy API or the GCP EKM API as HTTP services in front of the same store.</w:t>
            </w:r>
          </w:p>
        </w:tc>
      </w:tr>
      <w:tr>
        <w:tc>
          <w:tcPr>
            <w:tcW w:type="dxa" w:w="1800"/>
            <w:shd w:fill="FFFFFF" w:val="clear"/>
          </w:tcPr>
          <w:p>
            <w:r>
              <w:rPr>
                <w:b/>
                <w:sz w:val="17"/>
              </w:rPr>
              <w:t>Database TDE integration</w:t>
            </w:r>
          </w:p>
        </w:tc>
        <w:tc>
          <w:tcPr>
            <w:tcW w:type="dxa" w:w="2664"/>
            <w:shd w:fill="FFFFFF" w:val="clear"/>
          </w:tcPr>
          <w:p>
            <w:r>
              <w:rPr>
                <w:sz w:val="17"/>
              </w:rPr>
              <w:t>Oracle, SQL Server, MongoDB, Db2 taking keys from the KMS.</w:t>
            </w:r>
          </w:p>
        </w:tc>
        <w:tc>
          <w:tcPr>
            <w:tcW w:type="dxa" w:w="1008"/>
            <w:shd w:fill="F7EDDC" w:val="clear"/>
          </w:tcPr>
          <w:p>
            <w:r>
              <w:rPr>
                <w:b/>
                <w:color w:val="8F5610"/>
                <w:sz w:val="17"/>
              </w:rPr>
              <w:t>Partial</w:t>
            </w:r>
          </w:p>
        </w:tc>
        <w:tc>
          <w:tcPr>
            <w:tcW w:type="dxa" w:w="3888"/>
            <w:shd w:fill="FFFFFF" w:val="clear"/>
          </w:tcPr>
          <w:p>
            <w:r>
              <w:rPr>
                <w:sz w:val="17"/>
              </w:rPr>
              <w:t>These speak KMIP, so the path exists — but none has been tested against this server. The work is profile conformance and vendor validation, not new protocol.</w:t>
            </w:r>
          </w:p>
        </w:tc>
      </w:tr>
      <w:tr>
        <w:tc>
          <w:tcPr>
            <w:tcW w:type="dxa" w:w="1800"/>
            <w:shd w:fill="EEF4FA" w:val="clear"/>
          </w:tcPr>
          <w:p>
            <w:r>
              <w:rPr>
                <w:b/>
                <w:sz w:val="17"/>
              </w:rPr>
              <w:t>Storage, backup and VM integrations</w:t>
            </w:r>
          </w:p>
        </w:tc>
        <w:tc>
          <w:tcPr>
            <w:tcW w:type="dxa" w:w="2664"/>
            <w:shd w:fill="EEF4FA" w:val="clear"/>
          </w:tcPr>
          <w:p>
            <w:r>
              <w:rPr>
                <w:sz w:val="17"/>
              </w:rPr>
              <w:t>VMware, NetApp, Veeam, tape libraries.</w:t>
            </w:r>
          </w:p>
        </w:tc>
        <w:tc>
          <w:tcPr>
            <w:tcW w:type="dxa" w:w="1008"/>
            <w:shd w:fill="F7EDDC" w:val="clear"/>
          </w:tcPr>
          <w:p>
            <w:r>
              <w:rPr>
                <w:b/>
                <w:color w:val="8F5610"/>
                <w:sz w:val="17"/>
              </w:rPr>
              <w:t>Partial</w:t>
            </w:r>
          </w:p>
        </w:tc>
        <w:tc>
          <w:tcPr>
            <w:tcW w:type="dxa" w:w="3888"/>
            <w:shd w:fill="EEF4FA" w:val="clear"/>
          </w:tcPr>
          <w:p>
            <w:r>
              <w:rPr>
                <w:sz w:val="17"/>
              </w:rPr>
              <w:t>Same position as database TDE: KMIP-capable, unvalidated.</w:t>
            </w:r>
          </w:p>
        </w:tc>
      </w:tr>
      <w:tr>
        <w:tc>
          <w:tcPr>
            <w:tcW w:type="dxa" w:w="1800"/>
            <w:shd w:fill="FFFFFF" w:val="clear"/>
          </w:tcPr>
          <w:p>
            <w:r>
              <w:rPr>
                <w:b/>
                <w:sz w:val="17"/>
              </w:rPr>
              <w:t>Secrets management</w:t>
            </w:r>
          </w:p>
        </w:tc>
        <w:tc>
          <w:tcPr>
            <w:tcW w:type="dxa" w:w="2664"/>
            <w:shd w:fill="FFFFFF" w:val="clear"/>
          </w:tcPr>
          <w:p>
            <w:r>
              <w:rPr>
                <w:sz w:val="17"/>
              </w:rPr>
              <w:t>Arbitrary secrets with versioning, leases and dynamic issuance.</w:t>
            </w:r>
          </w:p>
        </w:tc>
        <w:tc>
          <w:tcPr>
            <w:tcW w:type="dxa" w:w="1008"/>
            <w:shd w:fill="F7EDDC" w:val="clear"/>
          </w:tcPr>
          <w:p>
            <w:r>
              <w:rPr>
                <w:b/>
                <w:color w:val="8F5610"/>
                <w:sz w:val="17"/>
              </w:rPr>
              <w:t>Partial</w:t>
            </w:r>
          </w:p>
        </w:tc>
        <w:tc>
          <w:tcPr>
            <w:tcW w:type="dxa" w:w="3888"/>
            <w:shd w:fill="FFFFFF" w:val="clear"/>
          </w:tcPr>
          <w:p>
            <w:r>
              <w:rPr>
                <w:b/>
                <w:color w:val="2E6DA4"/>
                <w:sz w:val="17"/>
              </w:rPr>
              <w:t xml:space="preserve">Outside KMIP — </w:t>
            </w:r>
            <w:r>
              <w:rPr>
                <w:sz w:val="17"/>
              </w:rPr>
              <w:t>SecretData objects and ObtainLease cover static custody.  A Vault-style secrets engine — dynamic credentials, templating — is a different product surface.</w:t>
            </w:r>
          </w:p>
        </w:tc>
      </w:tr>
      <w:tr>
        <w:tc>
          <w:tcPr>
            <w:tcW w:type="dxa" w:w="1800"/>
            <w:shd w:fill="EEF4FA" w:val="clear"/>
          </w:tcPr>
          <w:p>
            <w:r>
              <w:rPr>
                <w:b/>
                <w:sz w:val="17"/>
              </w:rPr>
              <w:t>Tokenization / format-preserving encryption</w:t>
            </w:r>
          </w:p>
        </w:tc>
        <w:tc>
          <w:tcPr>
            <w:tcW w:type="dxa" w:w="2664"/>
            <w:shd w:fill="EEF4FA" w:val="clear"/>
          </w:tcPr>
          <w:p>
            <w:r>
              <w:rPr>
                <w:sz w:val="17"/>
              </w:rPr>
              <w:t>FPE for PAN and PII, common in payments deployments.</w:t>
            </w:r>
          </w:p>
        </w:tc>
        <w:tc>
          <w:tcPr>
            <w:tcW w:type="dxa" w:w="1008"/>
            <w:shd w:fill="F9E6E4" w:val="clear"/>
          </w:tcPr>
          <w:p>
            <w:r>
              <w:rPr>
                <w:b/>
                <w:color w:val="B3261E"/>
                <w:sz w:val="17"/>
              </w:rPr>
              <w:t>Not covered</w:t>
            </w:r>
          </w:p>
        </w:tc>
        <w:tc>
          <w:tcPr>
            <w:tcW w:type="dxa" w:w="3888"/>
            <w:shd w:fill="EEF4FA" w:val="clear"/>
          </w:tcPr>
          <w:p>
            <w:r>
              <w:rPr>
                <w:b/>
                <w:color w:val="2E6DA4"/>
                <w:sz w:val="17"/>
              </w:rPr>
              <w:t xml:space="preserve">Outside KMIP — </w:t>
            </w:r>
            <w:r>
              <w:rPr>
                <w:sz w:val="17"/>
              </w:rPr>
              <w:t>Neither a KMIP operation nor typically a token mechanism. A separate service implementing FF1/FF3 with keys held here.</w:t>
            </w:r>
          </w:p>
        </w:tc>
      </w:tr>
      <w:tr>
        <w:tc>
          <w:tcPr>
            <w:tcW w:type="dxa" w:w="1800"/>
            <w:shd w:fill="FFFFFF" w:val="clear"/>
          </w:tcPr>
          <w:p>
            <w:r>
              <w:rPr>
                <w:b/>
                <w:sz w:val="17"/>
              </w:rPr>
              <w:t>Certificate lifecycle</w:t>
            </w:r>
          </w:p>
        </w:tc>
        <w:tc>
          <w:tcPr>
            <w:tcW w:type="dxa" w:w="2664"/>
            <w:shd w:fill="FFFFFF" w:val="clear"/>
          </w:tcPr>
          <w:p>
            <w:r>
              <w:rPr>
                <w:sz w:val="17"/>
              </w:rPr>
              <w:t>CA issuance, CSR handling, renewal, revocation checking.</w:t>
            </w:r>
          </w:p>
        </w:tc>
        <w:tc>
          <w:tcPr>
            <w:tcW w:type="dxa" w:w="1008"/>
            <w:shd w:fill="F7EDDC" w:val="clear"/>
          </w:tcPr>
          <w:p>
            <w:r>
              <w:rPr>
                <w:b/>
                <w:color w:val="8F5610"/>
                <w:sz w:val="17"/>
              </w:rPr>
              <w:t>Partial</w:t>
            </w:r>
          </w:p>
        </w:tc>
        <w:tc>
          <w:tcPr>
            <w:tcW w:type="dxa" w:w="3888"/>
            <w:shd w:fill="FFFFFF" w:val="clear"/>
          </w:tcPr>
          <w:p>
            <w:r>
              <w:rPr>
                <w:sz w:val="17"/>
              </w:rPr>
              <w:t>Certify, ReCertify and Validate exist but issue self-signed certificates only, with no CRL or OCSP. A real PKI means fronting a CA such as EJBCA; KMIP's Certify was never a CA.</w:t>
            </w:r>
          </w:p>
        </w:tc>
      </w:tr>
      <w:tr>
        <w:tc>
          <w:tcPr>
            <w:tcW w:type="dxa" w:w="1800"/>
            <w:shd w:fill="EEF4FA" w:val="clear"/>
          </w:tcPr>
          <w:p>
            <w:r>
              <w:rPr>
                <w:b/>
                <w:sz w:val="17"/>
              </w:rPr>
              <w:t>Encryption as a service (data-plane API)</w:t>
            </w:r>
          </w:p>
        </w:tc>
        <w:tc>
          <w:tcPr>
            <w:tcW w:type="dxa" w:w="2664"/>
            <w:shd w:fill="EEF4FA" w:val="clear"/>
          </w:tcPr>
          <w:p>
            <w:r>
              <w:rPr>
                <w:sz w:val="17"/>
              </w:rPr>
              <w:t>Applications send data rather than fetching keys: encrypt, decrypt, sign and HMAC, plus data-key issuance and re-wrap to a newer key version.</w:t>
            </w:r>
          </w:p>
        </w:tc>
        <w:tc>
          <w:tcPr>
            <w:tcW w:type="dxa" w:w="1008"/>
            <w:shd w:fill="F7EDDC" w:val="clear"/>
          </w:tcPr>
          <w:p>
            <w:r>
              <w:rPr>
                <w:b/>
                <w:color w:val="8F5610"/>
                <w:sz w:val="17"/>
              </w:rPr>
              <w:t>Partial</w:t>
            </w:r>
          </w:p>
        </w:tc>
        <w:tc>
          <w:tcPr>
            <w:tcW w:type="dxa" w:w="3888"/>
            <w:shd w:fill="EEF4FA" w:val="clear"/>
          </w:tcPr>
          <w:p>
            <w:r>
              <w:rPr>
                <w:sz w:val="17"/>
              </w:rPr>
              <w:t>Encrypt, Decrypt, Sign, MAC and Hash already execute inside the token, so the capability exists over KMIP. Missing are a data-key call returning the wrapped and plaintext pair together, re-wrap to a newer version, and any of it over HTTP.</w:t>
            </w:r>
          </w:p>
        </w:tc>
      </w:tr>
      <w:tr>
        <w:tc>
          <w:tcPr>
            <w:tcW w:type="dxa" w:w="1800"/>
            <w:shd w:fill="FFFFFF" w:val="clear"/>
          </w:tcPr>
          <w:p>
            <w:r>
              <w:rPr>
                <w:b/>
                <w:sz w:val="17"/>
              </w:rPr>
              <w:t>KMIP JSON and XML encodings</w:t>
            </w:r>
          </w:p>
        </w:tc>
        <w:tc>
          <w:tcPr>
            <w:tcW w:type="dxa" w:w="2664"/>
            <w:shd w:fill="FFFFFF" w:val="clear"/>
          </w:tcPr>
          <w:p>
            <w:r>
              <w:rPr>
                <w:sz w:val="17"/>
              </w:rPr>
              <w:t>The same protocol in the JSON and XML encodings OASIS defines, carried over HTTPS, so a client can speak KMIP without a TTLV codec.</w:t>
            </w:r>
          </w:p>
        </w:tc>
        <w:tc>
          <w:tcPr>
            <w:tcW w:type="dxa" w:w="1008"/>
            <w:shd w:fill="F9E6E4" w:val="clear"/>
          </w:tcPr>
          <w:p>
            <w:r>
              <w:rPr>
                <w:b/>
                <w:color w:val="B3261E"/>
                <w:sz w:val="17"/>
              </w:rPr>
              <w:t>Not covered</w:t>
            </w:r>
          </w:p>
        </w:tc>
        <w:tc>
          <w:tcPr>
            <w:tcW w:type="dxa" w:w="3888"/>
            <w:shd w:fill="FFFFFF" w:val="clear"/>
          </w:tcPr>
          <w:p>
            <w:r>
              <w:rPr>
                <w:sz w:val="17"/>
              </w:rPr>
              <w:t>In-protocol and well specified: a second codec beside core/ttlv.py plus an HTTP binding, reusing the object model unchanged. Worth doing when a client asks — nothing depends on it today.</w:t>
            </w:r>
          </w:p>
        </w:tc>
      </w:tr>
      <w:tr>
        <w:tc>
          <w:tcPr>
            <w:tcW w:type="dxa" w:w="1800"/>
            <w:shd w:fill="EEF4FA" w:val="clear"/>
          </w:tcPr>
          <w:p>
            <w:r>
              <w:rPr>
                <w:b/>
                <w:sz w:val="17"/>
              </w:rPr>
              <w:t>OpenAPI specification and generated clients</w:t>
            </w:r>
          </w:p>
        </w:tc>
        <w:tc>
          <w:tcPr>
            <w:tcW w:type="dxa" w:w="2664"/>
            <w:shd w:fill="EEF4FA" w:val="clear"/>
          </w:tcPr>
          <w:p>
            <w:r>
              <w:rPr>
                <w:sz w:val="17"/>
              </w:rPr>
              <w:t>A machine-readable description of the API with an interactive explorer, and client libraries generated from it rather than hand-written.</w:t>
            </w:r>
          </w:p>
        </w:tc>
        <w:tc>
          <w:tcPr>
            <w:tcW w:type="dxa" w:w="1008"/>
            <w:shd w:fill="F9E6E4" w:val="clear"/>
          </w:tcPr>
          <w:p>
            <w:r>
              <w:rPr>
                <w:b/>
                <w:color w:val="B3261E"/>
                <w:sz w:val="17"/>
              </w:rPr>
              <w:t>Not covered</w:t>
            </w:r>
          </w:p>
        </w:tc>
        <w:tc>
          <w:tcPr>
            <w:tcW w:type="dxa" w:w="3888"/>
            <w:shd w:fill="EEF4FA" w:val="clear"/>
          </w:tcPr>
          <w:p>
            <w:r>
              <w:rPr>
                <w:b/>
                <w:color w:val="2E6DA4"/>
                <w:sz w:val="17"/>
              </w:rPr>
              <w:t xml:space="preserve">Outside KMIP — </w:t>
            </w:r>
            <w:r>
              <w:rPr>
                <w:sz w:val="17"/>
              </w:rPr>
              <w:t>There is no API to describe yet. Generating both the document and the clients from the router's route table is what stops either drifting from the server.</w:t>
            </w:r>
          </w:p>
        </w:tc>
      </w:tr>
    </w:tbl>
    <w:p>
      <w:r>
        <w:br w:type="page"/>
      </w:r>
    </w:p>
    <w:p>
      <w:pPr>
        <w:pStyle w:val="Heading1"/>
      </w:pPr>
      <w:r>
        <w:rPr>
          <w:color w:val="1A3A5C"/>
        </w:rPr>
        <w:t>5  Identity and access control</w:t>
      </w:r>
    </w:p>
    <w:p>
      <w:r>
        <w:rPr>
          <w:b w:val="0"/>
          <w:i/>
          <w:color w:val="404040"/>
          <w:sz w:val="18"/>
        </w:rPr>
        <w:t>13 features — 6 covered, 1 partial, 6 not covered.</w:t>
      </w:r>
    </w:p>
    <w:tbl>
      <w:tblPr>
        <w:tblStyle w:val="TableGrid"/>
        <w:tblW w:type="auto" w:w="0"/>
        <w:tblLook w:firstColumn="1" w:firstRow="1" w:lastColumn="0" w:lastRow="0" w:noHBand="0" w:noVBand="1" w:val="04A0"/>
      </w:tblPr>
      <w:tblGrid>
        <w:gridCol w:w="2340"/>
        <w:gridCol w:w="2340"/>
        <w:gridCol w:w="2340"/>
        <w:gridCol w:w="2340"/>
      </w:tblGrid>
      <w:tr>
        <w:tc>
          <w:tcPr>
            <w:tcW w:type="dxa" w:w="1800"/>
            <w:shd w:fill="1A3A5C" w:val="clear"/>
          </w:tcPr>
          <w:p>
            <w:r>
              <w:rPr>
                <w:b/>
                <w:color w:val="FFFFFF"/>
                <w:sz w:val="17"/>
              </w:rPr>
              <w:t>Feature</w:t>
            </w:r>
          </w:p>
        </w:tc>
        <w:tc>
          <w:tcPr>
            <w:tcW w:type="dxa" w:w="2664"/>
            <w:shd w:fill="1A3A5C" w:val="clear"/>
          </w:tcPr>
          <w:p>
            <w:r>
              <w:rPr>
                <w:b/>
                <w:color w:val="FFFFFF"/>
                <w:sz w:val="17"/>
              </w:rPr>
              <w:t>What the market expects</w:t>
            </w:r>
          </w:p>
        </w:tc>
        <w:tc>
          <w:tcPr>
            <w:tcW w:type="dxa" w:w="1008"/>
            <w:shd w:fill="1A3A5C" w:val="clear"/>
          </w:tcPr>
          <w:p>
            <w:r>
              <w:rPr>
                <w:b/>
                <w:color w:val="FFFFFF"/>
                <w:sz w:val="17"/>
              </w:rPr>
              <w:t>Status</w:t>
            </w:r>
          </w:p>
        </w:tc>
        <w:tc>
          <w:tcPr>
            <w:tcW w:type="dxa" w:w="3888"/>
            <w:shd w:fill="1A3A5C" w:val="clear"/>
          </w:tcPr>
          <w:p>
            <w:r>
              <w:rPr>
                <w:b/>
                <w:color w:val="FFFFFF"/>
                <w:sz w:val="17"/>
              </w:rPr>
              <w:t>Route, if not covered here</w:t>
            </w:r>
          </w:p>
        </w:tc>
      </w:tr>
      <w:tr>
        <w:tc>
          <w:tcPr>
            <w:tcW w:type="dxa" w:w="1800"/>
            <w:shd w:fill="EEF4FA" w:val="clear"/>
          </w:tcPr>
          <w:p>
            <w:r>
              <w:rPr>
                <w:b/>
                <w:sz w:val="17"/>
              </w:rPr>
              <w:t>Per-identity authentication</w:t>
            </w:r>
          </w:p>
        </w:tc>
        <w:tc>
          <w:tcPr>
            <w:tcW w:type="dxa" w:w="2664"/>
            <w:shd w:fill="EEF4FA" w:val="clear"/>
          </w:tcPr>
          <w:p>
            <w:r>
              <w:rPr>
                <w:sz w:val="17"/>
              </w:rPr>
              <w:t>Individually revocable credentials; no shared secret.</w:t>
            </w:r>
          </w:p>
        </w:tc>
        <w:tc>
          <w:tcPr>
            <w:tcW w:type="dxa" w:w="1008"/>
            <w:shd w:fill="E2F0E7" w:val="clear"/>
          </w:tcPr>
          <w:p>
            <w:r>
              <w:rPr>
                <w:b/>
                <w:color w:val="1E802E"/>
                <w:sz w:val="17"/>
              </w:rPr>
              <w:t>Covered</w:t>
            </w:r>
          </w:p>
        </w:tc>
        <w:tc>
          <w:tcPr>
            <w:tcW w:type="dxa" w:w="3888"/>
            <w:shd w:fill="EEF4FA" w:val="clear"/>
          </w:tcPr>
          <w:p>
            <w:r>
              <w:rPr>
                <w:sz w:val="17"/>
              </w:rPr>
              <w:t>Salted scrypt credentials, verified per request, with a short-lived cache for successes only.</w:t>
            </w:r>
          </w:p>
        </w:tc>
      </w:tr>
      <w:tr>
        <w:tc>
          <w:tcPr>
            <w:tcW w:type="dxa" w:w="1800"/>
            <w:shd w:fill="FFFFFF" w:val="clear"/>
          </w:tcPr>
          <w:p>
            <w:r>
              <w:rPr>
                <w:b/>
                <w:sz w:val="17"/>
              </w:rPr>
              <w:t>Enterprise IdP — LDAP/AD, SAML, OIDC</w:t>
            </w:r>
          </w:p>
        </w:tc>
        <w:tc>
          <w:tcPr>
            <w:tcW w:type="dxa" w:w="2664"/>
            <w:shd w:fill="FFFFFF" w:val="clear"/>
          </w:tcPr>
          <w:p>
            <w:r>
              <w:rPr>
                <w:sz w:val="17"/>
              </w:rPr>
              <w:t>Users and services authenticating against the corporate directory.</w:t>
            </w:r>
          </w:p>
        </w:tc>
        <w:tc>
          <w:tcPr>
            <w:tcW w:type="dxa" w:w="1008"/>
            <w:shd w:fill="F9E6E4" w:val="clear"/>
          </w:tcPr>
          <w:p>
            <w:r>
              <w:rPr>
                <w:b/>
                <w:color w:val="B3261E"/>
                <w:sz w:val="17"/>
              </w:rPr>
              <w:t>Not covered</w:t>
            </w:r>
          </w:p>
        </w:tc>
        <w:tc>
          <w:tcPr>
            <w:tcW w:type="dxa" w:w="3888"/>
            <w:shd w:fill="FFFFFF" w:val="clear"/>
          </w:tcPr>
          <w:p>
            <w:r>
              <w:rPr>
                <w:b/>
                <w:color w:val="2E6DA4"/>
                <w:sz w:val="17"/>
              </w:rPr>
              <w:t xml:space="preserve">Outside KMIP — </w:t>
            </w:r>
            <w:r>
              <w:rPr>
                <w:sz w:val="17"/>
              </w:rPr>
              <w:t>KMIP's Credential structure has no federation concept. Map at the edge: an OIDC-validating front door, or directory-backed identities in the store. The mTLS path already proves the pattern — an external assertion resolved to a provisioned identity.</w:t>
            </w:r>
          </w:p>
        </w:tc>
      </w:tr>
      <w:tr>
        <w:tc>
          <w:tcPr>
            <w:tcW w:type="dxa" w:w="1800"/>
            <w:shd w:fill="EEF4FA" w:val="clear"/>
          </w:tcPr>
          <w:p>
            <w:r>
              <w:rPr>
                <w:b/>
                <w:sz w:val="17"/>
              </w:rPr>
              <w:t>mTLS certificate identity</w:t>
            </w:r>
          </w:p>
        </w:tc>
        <w:tc>
          <w:tcPr>
            <w:tcW w:type="dxa" w:w="2664"/>
            <w:shd w:fill="EEF4FA" w:val="clear"/>
          </w:tcPr>
          <w:p>
            <w:r>
              <w:rPr>
                <w:sz w:val="17"/>
              </w:rPr>
              <w:t>Client certificates as principals.</w:t>
            </w:r>
          </w:p>
        </w:tc>
        <w:tc>
          <w:tcPr>
            <w:tcW w:type="dxa" w:w="1008"/>
            <w:shd w:fill="E2F0E7" w:val="clear"/>
          </w:tcPr>
          <w:p>
            <w:r>
              <w:rPr>
                <w:b/>
                <w:color w:val="1E802E"/>
                <w:sz w:val="17"/>
              </w:rPr>
              <w:t>Covered</w:t>
            </w:r>
          </w:p>
        </w:tc>
        <w:tc>
          <w:tcPr>
            <w:tcW w:type="dxa" w:w="3888"/>
            <w:shd w:fill="EEF4FA" w:val="clear"/>
          </w:tcPr>
          <w:p>
            <w:r>
              <w:rPr>
                <w:sz w:val="17"/>
              </w:rPr>
              <w:t>A verified CN is accepted only when it names a provisioned identity — a CA-signed certificate cannot invent a principal.</w:t>
            </w:r>
          </w:p>
        </w:tc>
      </w:tr>
      <w:tr>
        <w:tc>
          <w:tcPr>
            <w:tcW w:type="dxa" w:w="1800"/>
            <w:shd w:fill="FFFFFF" w:val="clear"/>
          </w:tcPr>
          <w:p>
            <w:r>
              <w:rPr>
                <w:b/>
                <w:sz w:val="17"/>
              </w:rPr>
              <w:t>API keys / service accounts</w:t>
            </w:r>
          </w:p>
        </w:tc>
        <w:tc>
          <w:tcPr>
            <w:tcW w:type="dxa" w:w="2664"/>
            <w:shd w:fill="FFFFFF" w:val="clear"/>
          </w:tcPr>
          <w:p>
            <w:r>
              <w:rPr>
                <w:sz w:val="17"/>
              </w:rPr>
              <w:t>Long-lived machine credentials distinct from human logins.</w:t>
            </w:r>
          </w:p>
        </w:tc>
        <w:tc>
          <w:tcPr>
            <w:tcW w:type="dxa" w:w="1008"/>
            <w:shd w:fill="F9E6E4" w:val="clear"/>
          </w:tcPr>
          <w:p>
            <w:r>
              <w:rPr>
                <w:b/>
                <w:color w:val="B3261E"/>
                <w:sz w:val="17"/>
              </w:rPr>
              <w:t>Not covered</w:t>
            </w:r>
          </w:p>
        </w:tc>
        <w:tc>
          <w:tcPr>
            <w:tcW w:type="dxa" w:w="3888"/>
            <w:shd w:fill="FFFFFF" w:val="clear"/>
          </w:tcPr>
          <w:p>
            <w:r>
              <w:rPr>
                <w:sz w:val="17"/>
              </w:rPr>
              <w:t>A new Credential type, or token identities in the store. Partly expressible in KMIP, mostly local.</w:t>
            </w:r>
          </w:p>
        </w:tc>
      </w:tr>
      <w:tr>
        <w:tc>
          <w:tcPr>
            <w:tcW w:type="dxa" w:w="1800"/>
            <w:shd w:fill="EEF4FA" w:val="clear"/>
          </w:tcPr>
          <w:p>
            <w:r>
              <w:rPr>
                <w:b/>
                <w:sz w:val="17"/>
              </w:rPr>
              <w:t>Role-based access control</w:t>
            </w:r>
          </w:p>
        </w:tc>
        <w:tc>
          <w:tcPr>
            <w:tcW w:type="dxa" w:w="2664"/>
            <w:shd w:fill="EEF4FA" w:val="clear"/>
          </w:tcPr>
          <w:p>
            <w:r>
              <w:rPr>
                <w:sz w:val="17"/>
              </w:rPr>
              <w:t>Operations restricted by role.</w:t>
            </w:r>
          </w:p>
        </w:tc>
        <w:tc>
          <w:tcPr>
            <w:tcW w:type="dxa" w:w="1008"/>
            <w:shd w:fill="E2F0E7" w:val="clear"/>
          </w:tcPr>
          <w:p>
            <w:r>
              <w:rPr>
                <w:b/>
                <w:color w:val="1E802E"/>
                <w:sz w:val="17"/>
              </w:rPr>
              <w:t>Covered</w:t>
            </w:r>
          </w:p>
        </w:tc>
        <w:tc>
          <w:tcPr>
            <w:tcW w:type="dxa" w:w="3888"/>
            <w:shd w:fill="EEF4FA" w:val="clear"/>
          </w:tcPr>
          <w:p>
            <w:r>
              <w:rPr>
                <w:sz w:val="17"/>
              </w:rPr>
              <w:t>Roles with opt-in per-operation allowlists.</w:t>
            </w:r>
          </w:p>
        </w:tc>
      </w:tr>
      <w:tr>
        <w:tc>
          <w:tcPr>
            <w:tcW w:type="dxa" w:w="1800"/>
            <w:shd w:fill="FFFFFF" w:val="clear"/>
          </w:tcPr>
          <w:p>
            <w:r>
              <w:rPr>
                <w:b/>
                <w:sz w:val="17"/>
              </w:rPr>
              <w:t>Groups</w:t>
            </w:r>
          </w:p>
        </w:tc>
        <w:tc>
          <w:tcPr>
            <w:tcW w:type="dxa" w:w="2664"/>
            <w:shd w:fill="FFFFFF" w:val="clear"/>
          </w:tcPr>
          <w:p>
            <w:r>
              <w:rPr>
                <w:sz w:val="17"/>
              </w:rPr>
              <w:t>Access following team membership rather than per-person grants.</w:t>
            </w:r>
          </w:p>
        </w:tc>
        <w:tc>
          <w:tcPr>
            <w:tcW w:type="dxa" w:w="1008"/>
            <w:shd w:fill="E2F0E7" w:val="clear"/>
          </w:tcPr>
          <w:p>
            <w:r>
              <w:rPr>
                <w:b/>
                <w:color w:val="1E802E"/>
                <w:sz w:val="17"/>
              </w:rPr>
              <w:t>Covered</w:t>
            </w:r>
          </w:p>
        </w:tc>
        <w:tc>
          <w:tcPr>
            <w:tcW w:type="dxa" w:w="3888"/>
            <w:shd w:fill="FFFFFF" w:val="clear"/>
          </w:tcPr>
          <w:p>
            <w:r>
              <w:rPr>
                <w:sz w:val="17"/>
              </w:rPr>
              <w:t>Grants may name group:&lt;name&gt;; leaving the group withdraws access.</w:t>
            </w:r>
          </w:p>
        </w:tc>
      </w:tr>
      <w:tr>
        <w:tc>
          <w:tcPr>
            <w:tcW w:type="dxa" w:w="1800"/>
            <w:shd w:fill="EEF4FA" w:val="clear"/>
          </w:tcPr>
          <w:p>
            <w:r>
              <w:rPr>
                <w:b/>
                <w:sz w:val="17"/>
              </w:rPr>
              <w:t>Per-object access grants</w:t>
            </w:r>
          </w:p>
        </w:tc>
        <w:tc>
          <w:tcPr>
            <w:tcW w:type="dxa" w:w="2664"/>
            <w:shd w:fill="EEF4FA" w:val="clear"/>
          </w:tcPr>
          <w:p>
            <w:r>
              <w:rPr>
                <w:sz w:val="17"/>
              </w:rPr>
              <w:t>Delegation of one key to one principal.</w:t>
            </w:r>
          </w:p>
        </w:tc>
        <w:tc>
          <w:tcPr>
            <w:tcW w:type="dxa" w:w="1008"/>
            <w:shd w:fill="E2F0E7" w:val="clear"/>
          </w:tcPr>
          <w:p>
            <w:r>
              <w:rPr>
                <w:b/>
                <w:color w:val="1E802E"/>
                <w:sz w:val="17"/>
              </w:rPr>
              <w:t>Covered</w:t>
            </w:r>
          </w:p>
        </w:tc>
        <w:tc>
          <w:tcPr>
            <w:tcW w:type="dxa" w:w="3888"/>
            <w:shd w:fill="EEF4FA" w:val="clear"/>
          </w:tcPr>
          <w:p>
            <w:r>
              <w:rPr>
                <w:sz w:val="17"/>
              </w:rPr>
              <w:t>read / full permission levels per object.</w:t>
            </w:r>
          </w:p>
        </w:tc>
      </w:tr>
      <w:tr>
        <w:tc>
          <w:tcPr>
            <w:tcW w:type="dxa" w:w="1800"/>
            <w:shd w:fill="FFFFFF" w:val="clear"/>
          </w:tcPr>
          <w:p>
            <w:r>
              <w:rPr>
                <w:b/>
                <w:sz w:val="17"/>
              </w:rPr>
              <w:t>Attribute or policy-based access</w:t>
            </w:r>
          </w:p>
        </w:tc>
        <w:tc>
          <w:tcPr>
            <w:tcW w:type="dxa" w:w="2664"/>
            <w:shd w:fill="FFFFFF" w:val="clear"/>
          </w:tcPr>
          <w:p>
            <w:r>
              <w:rPr>
                <w:sz w:val="17"/>
              </w:rPr>
              <w:t>Conditions on time, network, purpose; a policy engine.</w:t>
            </w:r>
          </w:p>
        </w:tc>
        <w:tc>
          <w:tcPr>
            <w:tcW w:type="dxa" w:w="1008"/>
            <w:shd w:fill="F9E6E4" w:val="clear"/>
          </w:tcPr>
          <w:p>
            <w:r>
              <w:rPr>
                <w:b/>
                <w:color w:val="B3261E"/>
                <w:sz w:val="17"/>
              </w:rPr>
              <w:t>Not covered</w:t>
            </w:r>
          </w:p>
        </w:tc>
        <w:tc>
          <w:tcPr>
            <w:tcW w:type="dxa" w:w="3888"/>
            <w:shd w:fill="FFFFFF" w:val="clear"/>
          </w:tcPr>
          <w:p>
            <w:r>
              <w:rPr>
                <w:b/>
                <w:color w:val="2E6DA4"/>
                <w:sz w:val="17"/>
              </w:rPr>
              <w:t xml:space="preserve">Outside KMIP — </w:t>
            </w:r>
            <w:r>
              <w:rPr>
                <w:sz w:val="17"/>
              </w:rPr>
              <w:t>A policy evaluation hook in the dispatcher, before the handler — the same insertion point dual control already uses.</w:t>
            </w:r>
          </w:p>
        </w:tc>
      </w:tr>
      <w:tr>
        <w:tc>
          <w:tcPr>
            <w:tcW w:type="dxa" w:w="1800"/>
            <w:shd w:fill="EEF4FA" w:val="clear"/>
          </w:tcPr>
          <w:p>
            <w:r>
              <w:rPr>
                <w:b/>
                <w:sz w:val="17"/>
              </w:rPr>
              <w:t>Dual control / quorum approval</w:t>
            </w:r>
          </w:p>
        </w:tc>
        <w:tc>
          <w:tcPr>
            <w:tcW w:type="dxa" w:w="2664"/>
            <w:shd w:fill="EEF4FA" w:val="clear"/>
          </w:tcPr>
          <w:p>
            <w:r>
              <w:rPr>
                <w:sz w:val="17"/>
              </w:rPr>
              <w:t>Destructive or disclosing operations need M-of-N sign-off.</w:t>
            </w:r>
          </w:p>
        </w:tc>
        <w:tc>
          <w:tcPr>
            <w:tcW w:type="dxa" w:w="1008"/>
            <w:shd w:fill="E2F0E7" w:val="clear"/>
          </w:tcPr>
          <w:p>
            <w:r>
              <w:rPr>
                <w:b/>
                <w:color w:val="1E802E"/>
                <w:sz w:val="17"/>
              </w:rPr>
              <w:t>Covered</w:t>
            </w:r>
          </w:p>
        </w:tc>
        <w:tc>
          <w:tcPr>
            <w:tcW w:type="dxa" w:w="3888"/>
            <w:shd w:fill="EEF4FA" w:val="clear"/>
          </w:tcPr>
          <w:p>
            <w:r>
              <w:rPr>
                <w:sz w:val="17"/>
              </w:rPr>
              <w:t>Destroy and Export refuse on first attempt; approval is out of band, the requester can never self-approve, and an approval is spent by one attempt.</w:t>
            </w:r>
          </w:p>
        </w:tc>
      </w:tr>
      <w:tr>
        <w:tc>
          <w:tcPr>
            <w:tcW w:type="dxa" w:w="1800"/>
            <w:shd w:fill="FFFFFF" w:val="clear"/>
          </w:tcPr>
          <w:p>
            <w:r>
              <w:rPr>
                <w:b/>
                <w:sz w:val="17"/>
              </w:rPr>
              <w:t>Separation of duties</w:t>
            </w:r>
          </w:p>
        </w:tc>
        <w:tc>
          <w:tcPr>
            <w:tcW w:type="dxa" w:w="2664"/>
            <w:shd w:fill="FFFFFF" w:val="clear"/>
          </w:tcPr>
          <w:p>
            <w:r>
              <w:rPr>
                <w:sz w:val="17"/>
              </w:rPr>
              <w:t>Key administrators cannot use the keys they administer.</w:t>
            </w:r>
          </w:p>
        </w:tc>
        <w:tc>
          <w:tcPr>
            <w:tcW w:type="dxa" w:w="1008"/>
            <w:shd w:fill="F7EDDC" w:val="clear"/>
          </w:tcPr>
          <w:p>
            <w:r>
              <w:rPr>
                <w:b/>
                <w:color w:val="8F5610"/>
                <w:sz w:val="17"/>
              </w:rPr>
              <w:t>Partial</w:t>
            </w:r>
          </w:p>
        </w:tc>
        <w:tc>
          <w:tcPr>
            <w:tcW w:type="dxa" w:w="3888"/>
            <w:shd w:fill="FFFFFF" w:val="clear"/>
          </w:tcPr>
          <w:p>
            <w:r>
              <w:rPr>
                <w:sz w:val="17"/>
              </w:rPr>
              <w:t>The admin role currently bypasses every check. Splitting it into security-admin and key-admin is local work with no protocol impact.</w:t>
            </w:r>
          </w:p>
        </w:tc>
      </w:tr>
      <w:tr>
        <w:tc>
          <w:tcPr>
            <w:tcW w:type="dxa" w:w="1800"/>
            <w:shd w:fill="EEF4FA" w:val="clear"/>
          </w:tcPr>
          <w:p>
            <w:r>
              <w:rPr>
                <w:b/>
                <w:sz w:val="17"/>
              </w:rPr>
              <w:t>Multi-tenancy and namespaces</w:t>
            </w:r>
          </w:p>
        </w:tc>
        <w:tc>
          <w:tcPr>
            <w:tcW w:type="dxa" w:w="2664"/>
            <w:shd w:fill="EEF4FA" w:val="clear"/>
          </w:tcPr>
          <w:p>
            <w:r>
              <w:rPr>
                <w:sz w:val="17"/>
              </w:rPr>
              <w:t>Unrelated tenants sharing a deployment without seeing each other.</w:t>
            </w:r>
          </w:p>
        </w:tc>
        <w:tc>
          <w:tcPr>
            <w:tcW w:type="dxa" w:w="1008"/>
            <w:shd w:fill="F9E6E4" w:val="clear"/>
          </w:tcPr>
          <w:p>
            <w:r>
              <w:rPr>
                <w:b/>
                <w:color w:val="B3261E"/>
                <w:sz w:val="17"/>
              </w:rPr>
              <w:t>Not covered</w:t>
            </w:r>
          </w:p>
        </w:tc>
        <w:tc>
          <w:tcPr>
            <w:tcW w:type="dxa" w:w="3888"/>
            <w:shd w:fill="EEF4FA" w:val="clear"/>
          </w:tcPr>
          <w:p>
            <w:r>
              <w:rPr>
                <w:b/>
                <w:color w:val="2E6DA4"/>
                <w:sz w:val="17"/>
              </w:rPr>
              <w:t xml:space="preserve">Outside KMIP — </w:t>
            </w:r>
            <w:r>
              <w:rPr>
                <w:sz w:val="17"/>
              </w:rPr>
              <w:t>Object names, Locate results, audit and quotas are all global. A tenant boundary reaches into every query, the audit log and the CLI — a phase of work, not a flag. Isolation today means one deployment per tenant.</w:t>
            </w:r>
          </w:p>
        </w:tc>
      </w:tr>
      <w:tr>
        <w:tc>
          <w:tcPr>
            <w:tcW w:type="dxa" w:w="1800"/>
            <w:shd w:fill="FFFFFF" w:val="clear"/>
          </w:tcPr>
          <w:p>
            <w:r>
              <w:rPr>
                <w:b/>
                <w:sz w:val="17"/>
              </w:rPr>
              <w:t>Per-tenant quotas</w:t>
            </w:r>
          </w:p>
        </w:tc>
        <w:tc>
          <w:tcPr>
            <w:tcW w:type="dxa" w:w="2664"/>
            <w:shd w:fill="FFFFFF" w:val="clear"/>
          </w:tcPr>
          <w:p>
            <w:r>
              <w:rPr>
                <w:sz w:val="17"/>
              </w:rPr>
              <w:t>Caps on objects and operations.</w:t>
            </w:r>
          </w:p>
        </w:tc>
        <w:tc>
          <w:tcPr>
            <w:tcW w:type="dxa" w:w="1008"/>
            <w:shd w:fill="F9E6E4" w:val="clear"/>
          </w:tcPr>
          <w:p>
            <w:r>
              <w:rPr>
                <w:b/>
                <w:color w:val="B3261E"/>
                <w:sz w:val="17"/>
              </w:rPr>
              <w:t>Not covered</w:t>
            </w:r>
          </w:p>
        </w:tc>
        <w:tc>
          <w:tcPr>
            <w:tcW w:type="dxa" w:w="3888"/>
            <w:shd w:fill="FFFFFF" w:val="clear"/>
          </w:tcPr>
          <w:p>
            <w:r>
              <w:rPr>
                <w:b/>
                <w:color w:val="2E6DA4"/>
                <w:sz w:val="17"/>
              </w:rPr>
              <w:t xml:space="preserve">Outside KMIP — </w:t>
            </w:r>
            <w:r>
              <w:rPr>
                <w:sz w:val="17"/>
              </w:rPr>
              <w:t>Follows tenancy; meaningless before it.</w:t>
            </w:r>
          </w:p>
        </w:tc>
      </w:tr>
      <w:tr>
        <w:tc>
          <w:tcPr>
            <w:tcW w:type="dxa" w:w="1800"/>
            <w:shd w:fill="EEF4FA" w:val="clear"/>
          </w:tcPr>
          <w:p>
            <w:r>
              <w:rPr>
                <w:b/>
                <w:sz w:val="17"/>
              </w:rPr>
              <w:t>Connection and rate limiting</w:t>
            </w:r>
          </w:p>
        </w:tc>
        <w:tc>
          <w:tcPr>
            <w:tcW w:type="dxa" w:w="2664"/>
            <w:shd w:fill="EEF4FA" w:val="clear"/>
          </w:tcPr>
          <w:p>
            <w:r>
              <w:rPr>
                <w:sz w:val="17"/>
              </w:rPr>
              <w:t>Throttling and connection caps as DoS protection.</w:t>
            </w:r>
          </w:p>
        </w:tc>
        <w:tc>
          <w:tcPr>
            <w:tcW w:type="dxa" w:w="1008"/>
            <w:shd w:fill="F9E6E4" w:val="clear"/>
          </w:tcPr>
          <w:p>
            <w:r>
              <w:rPr>
                <w:b/>
                <w:color w:val="B3261E"/>
                <w:sz w:val="17"/>
              </w:rPr>
              <w:t>Not covered</w:t>
            </w:r>
          </w:p>
        </w:tc>
        <w:tc>
          <w:tcPr>
            <w:tcW w:type="dxa" w:w="3888"/>
            <w:shd w:fill="EEF4FA" w:val="clear"/>
          </w:tcPr>
          <w:p>
            <w:r>
              <w:rPr>
                <w:b/>
                <w:color w:val="2E6DA4"/>
                <w:sz w:val="17"/>
              </w:rPr>
              <w:t xml:space="preserve">Outside KMIP — </w:t>
            </w:r>
            <w:r>
              <w:rPr>
                <w:sz w:val="17"/>
              </w:rPr>
              <w:t>The listener takes a backlog of 16 with no throttle. A bounded connection semaphore plus per-identity rate limiting, or a reverse proxy in front.</w:t>
            </w:r>
          </w:p>
        </w:tc>
      </w:tr>
    </w:tbl>
    <w:p>
      <w:r>
        <w:br w:type="page"/>
      </w:r>
    </w:p>
    <w:p>
      <w:pPr>
        <w:pStyle w:val="Heading1"/>
      </w:pPr>
      <w:r>
        <w:rPr>
          <w:color w:val="1A3A5C"/>
        </w:rPr>
        <w:t>6  Audit, compliance and assurance</w:t>
      </w:r>
    </w:p>
    <w:p>
      <w:r>
        <w:rPr>
          <w:b w:val="0"/>
          <w:i/>
          <w:color w:val="404040"/>
          <w:sz w:val="18"/>
        </w:rPr>
        <w:t>11 features — 3 covered, 2 partial, 6 not covered.</w:t>
      </w:r>
    </w:p>
    <w:tbl>
      <w:tblPr>
        <w:tblStyle w:val="TableGrid"/>
        <w:tblW w:type="auto" w:w="0"/>
        <w:tblLook w:firstColumn="1" w:firstRow="1" w:lastColumn="0" w:lastRow="0" w:noHBand="0" w:noVBand="1" w:val="04A0"/>
      </w:tblPr>
      <w:tblGrid>
        <w:gridCol w:w="2340"/>
        <w:gridCol w:w="2340"/>
        <w:gridCol w:w="2340"/>
        <w:gridCol w:w="2340"/>
      </w:tblGrid>
      <w:tr>
        <w:tc>
          <w:tcPr>
            <w:tcW w:type="dxa" w:w="1800"/>
            <w:shd w:fill="1A3A5C" w:val="clear"/>
          </w:tcPr>
          <w:p>
            <w:r>
              <w:rPr>
                <w:b/>
                <w:color w:val="FFFFFF"/>
                <w:sz w:val="17"/>
              </w:rPr>
              <w:t>Feature</w:t>
            </w:r>
          </w:p>
        </w:tc>
        <w:tc>
          <w:tcPr>
            <w:tcW w:type="dxa" w:w="2664"/>
            <w:shd w:fill="1A3A5C" w:val="clear"/>
          </w:tcPr>
          <w:p>
            <w:r>
              <w:rPr>
                <w:b/>
                <w:color w:val="FFFFFF"/>
                <w:sz w:val="17"/>
              </w:rPr>
              <w:t>What the market expects</w:t>
            </w:r>
          </w:p>
        </w:tc>
        <w:tc>
          <w:tcPr>
            <w:tcW w:type="dxa" w:w="1008"/>
            <w:shd w:fill="1A3A5C" w:val="clear"/>
          </w:tcPr>
          <w:p>
            <w:r>
              <w:rPr>
                <w:b/>
                <w:color w:val="FFFFFF"/>
                <w:sz w:val="17"/>
              </w:rPr>
              <w:t>Status</w:t>
            </w:r>
          </w:p>
        </w:tc>
        <w:tc>
          <w:tcPr>
            <w:tcW w:type="dxa" w:w="3888"/>
            <w:shd w:fill="1A3A5C" w:val="clear"/>
          </w:tcPr>
          <w:p>
            <w:r>
              <w:rPr>
                <w:b/>
                <w:color w:val="FFFFFF"/>
                <w:sz w:val="17"/>
              </w:rPr>
              <w:t>Route, if not covered here</w:t>
            </w:r>
          </w:p>
        </w:tc>
      </w:tr>
      <w:tr>
        <w:tc>
          <w:tcPr>
            <w:tcW w:type="dxa" w:w="1800"/>
            <w:shd w:fill="EEF4FA" w:val="clear"/>
          </w:tcPr>
          <w:p>
            <w:r>
              <w:rPr>
                <w:b/>
                <w:sz w:val="17"/>
              </w:rPr>
              <w:t>Tamper-evident audit log</w:t>
            </w:r>
          </w:p>
        </w:tc>
        <w:tc>
          <w:tcPr>
            <w:tcW w:type="dxa" w:w="2664"/>
            <w:shd w:fill="EEF4FA" w:val="clear"/>
          </w:tcPr>
          <w:p>
            <w:r>
              <w:rPr>
                <w:sz w:val="17"/>
              </w:rPr>
              <w:t>Every operation attributable, with tampering detectable.</w:t>
            </w:r>
          </w:p>
        </w:tc>
        <w:tc>
          <w:tcPr>
            <w:tcW w:type="dxa" w:w="1008"/>
            <w:shd w:fill="E2F0E7" w:val="clear"/>
          </w:tcPr>
          <w:p>
            <w:r>
              <w:rPr>
                <w:b/>
                <w:color w:val="1E802E"/>
                <w:sz w:val="17"/>
              </w:rPr>
              <w:t>Covered</w:t>
            </w:r>
          </w:p>
        </w:tc>
        <w:tc>
          <w:tcPr>
            <w:tcW w:type="dxa" w:w="3888"/>
            <w:shd w:fill="EEF4FA" w:val="clear"/>
          </w:tcPr>
          <w:p>
            <w:r>
              <w:rPr>
                <w:sz w:val="17"/>
              </w:rPr>
              <w:t>Hash-chained and trigger-protected; the verifier names the exact broken row. Reads are recorded too.</w:t>
            </w:r>
          </w:p>
        </w:tc>
      </w:tr>
      <w:tr>
        <w:tc>
          <w:tcPr>
            <w:tcW w:type="dxa" w:w="1800"/>
            <w:shd w:fill="FFFFFF" w:val="clear"/>
          </w:tcPr>
          <w:p>
            <w:r>
              <w:rPr>
                <w:b/>
                <w:sz w:val="17"/>
              </w:rPr>
              <w:t>External audit anchoring</w:t>
            </w:r>
          </w:p>
        </w:tc>
        <w:tc>
          <w:tcPr>
            <w:tcW w:type="dxa" w:w="2664"/>
            <w:shd w:fill="FFFFFF" w:val="clear"/>
          </w:tcPr>
          <w:p>
            <w:r>
              <w:rPr>
                <w:sz w:val="17"/>
              </w:rPr>
              <w:t>Evidence that survives an attacker with file access.</w:t>
            </w:r>
          </w:p>
        </w:tc>
        <w:tc>
          <w:tcPr>
            <w:tcW w:type="dxa" w:w="1008"/>
            <w:shd w:fill="F9E6E4" w:val="clear"/>
          </w:tcPr>
          <w:p>
            <w:r>
              <w:rPr>
                <w:b/>
                <w:color w:val="B3261E"/>
                <w:sz w:val="17"/>
              </w:rPr>
              <w:t>Not covered</w:t>
            </w:r>
          </w:p>
        </w:tc>
        <w:tc>
          <w:tcPr>
            <w:tcW w:type="dxa" w:w="3888"/>
            <w:shd w:fill="FFFFFF" w:val="clear"/>
          </w:tcPr>
          <w:p>
            <w:r>
              <w:rPr>
                <w:b/>
                <w:color w:val="2E6DA4"/>
                <w:sz w:val="17"/>
              </w:rPr>
              <w:t xml:space="preserve">Outside KMIP — </w:t>
            </w:r>
            <w:r>
              <w:rPr>
                <w:sz w:val="17"/>
              </w:rPr>
              <w:t>Ship entries to an append-only collector, or notarize periodic digests. A consistent rewrite of the whole local log currently leaves no trace.</w:t>
            </w:r>
          </w:p>
        </w:tc>
      </w:tr>
      <w:tr>
        <w:tc>
          <w:tcPr>
            <w:tcW w:type="dxa" w:w="1800"/>
            <w:shd w:fill="EEF4FA" w:val="clear"/>
          </w:tcPr>
          <w:p>
            <w:r>
              <w:rPr>
                <w:b/>
                <w:sz w:val="17"/>
              </w:rPr>
              <w:t>SIEM integration</w:t>
            </w:r>
          </w:p>
        </w:tc>
        <w:tc>
          <w:tcPr>
            <w:tcW w:type="dxa" w:w="2664"/>
            <w:shd w:fill="EEF4FA" w:val="clear"/>
          </w:tcPr>
          <w:p>
            <w:r>
              <w:rPr>
                <w:sz w:val="17"/>
              </w:rPr>
              <w:t>Syslog/CEF to Splunk, Sentinel, QRadar.</w:t>
            </w:r>
          </w:p>
        </w:tc>
        <w:tc>
          <w:tcPr>
            <w:tcW w:type="dxa" w:w="1008"/>
            <w:shd w:fill="F9E6E4" w:val="clear"/>
          </w:tcPr>
          <w:p>
            <w:r>
              <w:rPr>
                <w:b/>
                <w:color w:val="B3261E"/>
                <w:sz w:val="17"/>
              </w:rPr>
              <w:t>Not covered</w:t>
            </w:r>
          </w:p>
        </w:tc>
        <w:tc>
          <w:tcPr>
            <w:tcW w:type="dxa" w:w="3888"/>
            <w:shd w:fill="EEF4FA" w:val="clear"/>
          </w:tcPr>
          <w:p>
            <w:r>
              <w:rPr>
                <w:b/>
                <w:color w:val="2E6DA4"/>
                <w:sz w:val="17"/>
              </w:rPr>
              <w:t xml:space="preserve">Outside KMIP — </w:t>
            </w:r>
            <w:r>
              <w:rPr>
                <w:sz w:val="17"/>
              </w:rPr>
              <w:t>A syslog handler, or a shipper reading kmip-admin audit list --json. Small work, and it is what auditors ask for first.</w:t>
            </w:r>
          </w:p>
        </w:tc>
      </w:tr>
      <w:tr>
        <w:tc>
          <w:tcPr>
            <w:tcW w:type="dxa" w:w="1800"/>
            <w:shd w:fill="FFFFFF" w:val="clear"/>
          </w:tcPr>
          <w:p>
            <w:r>
              <w:rPr>
                <w:b/>
                <w:sz w:val="17"/>
              </w:rPr>
              <w:t>Retention and archival</w:t>
            </w:r>
          </w:p>
        </w:tc>
        <w:tc>
          <w:tcPr>
            <w:tcW w:type="dxa" w:w="2664"/>
            <w:shd w:fill="FFFFFF" w:val="clear"/>
          </w:tcPr>
          <w:p>
            <w:r>
              <w:rPr>
                <w:sz w:val="17"/>
              </w:rPr>
              <w:t>Aged entries archived, not silently dropped.</w:t>
            </w:r>
          </w:p>
        </w:tc>
        <w:tc>
          <w:tcPr>
            <w:tcW w:type="dxa" w:w="1008"/>
            <w:shd w:fill="E2F0E7" w:val="clear"/>
          </w:tcPr>
          <w:p>
            <w:r>
              <w:rPr>
                <w:b/>
                <w:color w:val="1E802E"/>
                <w:sz w:val="17"/>
              </w:rPr>
              <w:t>Covered</w:t>
            </w:r>
          </w:p>
        </w:tc>
        <w:tc>
          <w:tcPr>
            <w:tcW w:type="dxa" w:w="3888"/>
            <w:shd w:fill="FFFFFF" w:val="clear"/>
          </w:tcPr>
          <w:p>
            <w:r>
              <w:rPr>
                <w:sz w:val="17"/>
              </w:rPr>
              <w:t>Pruning returns what it removes and refuses to run on a log that already fails verification.</w:t>
            </w:r>
          </w:p>
        </w:tc>
      </w:tr>
      <w:tr>
        <w:tc>
          <w:tcPr>
            <w:tcW w:type="dxa" w:w="1800"/>
            <w:shd w:fill="EEF4FA" w:val="clear"/>
          </w:tcPr>
          <w:p>
            <w:r>
              <w:rPr>
                <w:b/>
                <w:sz w:val="17"/>
              </w:rPr>
              <w:t>FIPS 140-2/3 validated HSM</w:t>
            </w:r>
          </w:p>
        </w:tc>
        <w:tc>
          <w:tcPr>
            <w:tcW w:type="dxa" w:w="2664"/>
            <w:shd w:fill="EEF4FA" w:val="clear"/>
          </w:tcPr>
          <w:p>
            <w:r>
              <w:rPr>
                <w:sz w:val="17"/>
              </w:rPr>
              <w:t>Validated hardware, frequently a procurement gate.</w:t>
            </w:r>
          </w:p>
        </w:tc>
        <w:tc>
          <w:tcPr>
            <w:tcW w:type="dxa" w:w="1008"/>
            <w:shd w:fill="F9E6E4" w:val="clear"/>
          </w:tcPr>
          <w:p>
            <w:r>
              <w:rPr>
                <w:b/>
                <w:color w:val="B3261E"/>
                <w:sz w:val="17"/>
              </w:rPr>
              <w:t>Not covered</w:t>
            </w:r>
          </w:p>
        </w:tc>
        <w:tc>
          <w:tcPr>
            <w:tcW w:type="dxa" w:w="3888"/>
            <w:shd w:fill="EEF4FA" w:val="clear"/>
          </w:tcPr>
          <w:p>
            <w:r>
              <w:rPr>
                <w:sz w:val="17"/>
              </w:rPr>
              <w:t>Not an engineering task. SoftHSM2 is not validated; the PKCS#11 boundary makes swapping in a validated token cheap, but the validation belongs to the token.</w:t>
            </w:r>
          </w:p>
        </w:tc>
      </w:tr>
      <w:tr>
        <w:tc>
          <w:tcPr>
            <w:tcW w:type="dxa" w:w="1800"/>
            <w:shd w:fill="FFFFFF" w:val="clear"/>
          </w:tcPr>
          <w:p>
            <w:r>
              <w:rPr>
                <w:b/>
                <w:sz w:val="17"/>
              </w:rPr>
              <w:t>Common Criteria / eIDAS</w:t>
            </w:r>
          </w:p>
        </w:tc>
        <w:tc>
          <w:tcPr>
            <w:tcW w:type="dxa" w:w="2664"/>
            <w:shd w:fill="FFFFFF" w:val="clear"/>
          </w:tcPr>
          <w:p>
            <w:r>
              <w:rPr>
                <w:sz w:val="17"/>
              </w:rPr>
              <w:t>Certification for regulated European deployments.</w:t>
            </w:r>
          </w:p>
        </w:tc>
        <w:tc>
          <w:tcPr>
            <w:tcW w:type="dxa" w:w="1008"/>
            <w:shd w:fill="F9E6E4" w:val="clear"/>
          </w:tcPr>
          <w:p>
            <w:r>
              <w:rPr>
                <w:b/>
                <w:color w:val="B3261E"/>
                <w:sz w:val="17"/>
              </w:rPr>
              <w:t>Not covered</w:t>
            </w:r>
          </w:p>
        </w:tc>
        <w:tc>
          <w:tcPr>
            <w:tcW w:type="dxa" w:w="3888"/>
            <w:shd w:fill="FFFFFF" w:val="clear"/>
          </w:tcPr>
          <w:p>
            <w:r>
              <w:rPr>
                <w:sz w:val="17"/>
              </w:rPr>
              <w:t>As above — a property of the chosen token and of a certification programme.</w:t>
            </w:r>
          </w:p>
        </w:tc>
      </w:tr>
      <w:tr>
        <w:tc>
          <w:tcPr>
            <w:tcW w:type="dxa" w:w="1800"/>
            <w:shd w:fill="EEF4FA" w:val="clear"/>
          </w:tcPr>
          <w:p>
            <w:r>
              <w:rPr>
                <w:b/>
                <w:sz w:val="17"/>
              </w:rPr>
              <w:t>Compliance reporting</w:t>
            </w:r>
          </w:p>
        </w:tc>
        <w:tc>
          <w:tcPr>
            <w:tcW w:type="dxa" w:w="2664"/>
            <w:shd w:fill="EEF4FA" w:val="clear"/>
          </w:tcPr>
          <w:p>
            <w:r>
              <w:rPr>
                <w:sz w:val="17"/>
              </w:rPr>
              <w:t>PCI DSS, GDPR, HIPAA evidence packs.</w:t>
            </w:r>
          </w:p>
        </w:tc>
        <w:tc>
          <w:tcPr>
            <w:tcW w:type="dxa" w:w="1008"/>
            <w:shd w:fill="F9E6E4" w:val="clear"/>
          </w:tcPr>
          <w:p>
            <w:r>
              <w:rPr>
                <w:b/>
                <w:color w:val="B3261E"/>
                <w:sz w:val="17"/>
              </w:rPr>
              <w:t>Not covered</w:t>
            </w:r>
          </w:p>
        </w:tc>
        <w:tc>
          <w:tcPr>
            <w:tcW w:type="dxa" w:w="3888"/>
            <w:shd w:fill="EEF4FA" w:val="clear"/>
          </w:tcPr>
          <w:p>
            <w:r>
              <w:rPr>
                <w:b/>
                <w:color w:val="2E6DA4"/>
                <w:sz w:val="17"/>
              </w:rPr>
              <w:t xml:space="preserve">Outside KMIP — </w:t>
            </w:r>
            <w:r>
              <w:rPr>
                <w:sz w:val="17"/>
              </w:rPr>
              <w:t>A reporting layer over the audit log and key inventory. Depends on the REST API to be useful.</w:t>
            </w:r>
          </w:p>
        </w:tc>
      </w:tr>
      <w:tr>
        <w:tc>
          <w:tcPr>
            <w:tcW w:type="dxa" w:w="1800"/>
            <w:shd w:fill="FFFFFF" w:val="clear"/>
          </w:tcPr>
          <w:p>
            <w:r>
              <w:rPr>
                <w:b/>
                <w:sz w:val="17"/>
              </w:rPr>
              <w:t>Key inventory and discovery</w:t>
            </w:r>
          </w:p>
        </w:tc>
        <w:tc>
          <w:tcPr>
            <w:tcW w:type="dxa" w:w="2664"/>
            <w:shd w:fill="FFFFFF" w:val="clear"/>
          </w:tcPr>
          <w:p>
            <w:r>
              <w:rPr>
                <w:sz w:val="17"/>
              </w:rPr>
              <w:t>What keys exist, who owns them, what state they are in.</w:t>
            </w:r>
          </w:p>
        </w:tc>
        <w:tc>
          <w:tcPr>
            <w:tcW w:type="dxa" w:w="1008"/>
            <w:shd w:fill="F7EDDC" w:val="clear"/>
          </w:tcPr>
          <w:p>
            <w:r>
              <w:rPr>
                <w:b/>
                <w:color w:val="8F5610"/>
                <w:sz w:val="17"/>
              </w:rPr>
              <w:t>Partial</w:t>
            </w:r>
          </w:p>
        </w:tc>
        <w:tc>
          <w:tcPr>
            <w:tcW w:type="dxa" w:w="3888"/>
            <w:shd w:fill="FFFFFF" w:val="clear"/>
          </w:tcPr>
          <w:p>
            <w:r>
              <w:rPr>
                <w:sz w:val="17"/>
              </w:rPr>
              <w:t>Locate answers this over the wire and kmip-admin can list, but there is no inventory report or export.</w:t>
            </w:r>
          </w:p>
        </w:tc>
      </w:tr>
      <w:tr>
        <w:tc>
          <w:tcPr>
            <w:tcW w:type="dxa" w:w="1800"/>
            <w:shd w:fill="EEF4FA" w:val="clear"/>
          </w:tcPr>
          <w:p>
            <w:r>
              <w:rPr>
                <w:b/>
                <w:sz w:val="17"/>
              </w:rPr>
              <w:t>Cryptoperiod policy alignment</w:t>
            </w:r>
          </w:p>
        </w:tc>
        <w:tc>
          <w:tcPr>
            <w:tcW w:type="dxa" w:w="2664"/>
            <w:shd w:fill="EEF4FA" w:val="clear"/>
          </w:tcPr>
          <w:p>
            <w:r>
              <w:rPr>
                <w:sz w:val="17"/>
              </w:rPr>
              <w:t>Demonstrable NIST SP 800-57 lifecycle handling.</w:t>
            </w:r>
          </w:p>
        </w:tc>
        <w:tc>
          <w:tcPr>
            <w:tcW w:type="dxa" w:w="1008"/>
            <w:shd w:fill="E2F0E7" w:val="clear"/>
          </w:tcPr>
          <w:p>
            <w:r>
              <w:rPr>
                <w:b/>
                <w:color w:val="1E802E"/>
                <w:sz w:val="17"/>
              </w:rPr>
              <w:t>Covered</w:t>
            </w:r>
          </w:p>
        </w:tc>
        <w:tc>
          <w:tcPr>
            <w:tcW w:type="dxa" w:w="3888"/>
            <w:shd w:fill="EEF4FA" w:val="clear"/>
          </w:tcPr>
          <w:p>
            <w:r>
              <w:rPr>
                <w:sz w:val="17"/>
              </w:rPr>
              <w:t>Deactivation Date as the cryptoperiod, enforced and audited.</w:t>
            </w:r>
          </w:p>
        </w:tc>
      </w:tr>
      <w:tr>
        <w:tc>
          <w:tcPr>
            <w:tcW w:type="dxa" w:w="1800"/>
            <w:shd w:fill="FFFFFF" w:val="clear"/>
          </w:tcPr>
          <w:p>
            <w:r>
              <w:rPr>
                <w:b/>
                <w:sz w:val="17"/>
              </w:rPr>
              <w:t>Crypto-agility reporting</w:t>
            </w:r>
          </w:p>
        </w:tc>
        <w:tc>
          <w:tcPr>
            <w:tcW w:type="dxa" w:w="2664"/>
            <w:shd w:fill="FFFFFF" w:val="clear"/>
          </w:tcPr>
          <w:p>
            <w:r>
              <w:rPr>
                <w:sz w:val="17"/>
              </w:rPr>
              <w:t>Which algorithms are in use and where, for migration planning.</w:t>
            </w:r>
          </w:p>
        </w:tc>
        <w:tc>
          <w:tcPr>
            <w:tcW w:type="dxa" w:w="1008"/>
            <w:shd w:fill="F7EDDC" w:val="clear"/>
          </w:tcPr>
          <w:p>
            <w:r>
              <w:rPr>
                <w:b/>
                <w:color w:val="8F5610"/>
                <w:sz w:val="17"/>
              </w:rPr>
              <w:t>Partial</w:t>
            </w:r>
          </w:p>
        </w:tc>
        <w:tc>
          <w:tcPr>
            <w:tcW w:type="dxa" w:w="3888"/>
            <w:shd w:fill="FFFFFF" w:val="clear"/>
          </w:tcPr>
          <w:p>
            <w:r>
              <w:rPr>
                <w:sz w:val="17"/>
              </w:rPr>
              <w:t>The capability probe knows what the token supports and every object records its algorithm; nothing surfaces it as a report.</w:t>
            </w:r>
          </w:p>
        </w:tc>
      </w:tr>
      <w:tr>
        <w:tc>
          <w:tcPr>
            <w:tcW w:type="dxa" w:w="1800"/>
            <w:shd w:fill="EEF4FA" w:val="clear"/>
          </w:tcPr>
          <w:p>
            <w:r>
              <w:rPr>
                <w:b/>
                <w:sz w:val="17"/>
              </w:rPr>
              <w:t>Certificate discovery and expiry monitoring</w:t>
            </w:r>
          </w:p>
        </w:tc>
        <w:tc>
          <w:tcPr>
            <w:tcW w:type="dxa" w:w="2664"/>
            <w:shd w:fill="EEF4FA" w:val="clear"/>
          </w:tcPr>
          <w:p>
            <w:r>
              <w:rPr>
                <w:sz w:val="17"/>
              </w:rPr>
              <w:t>Find the certificates in use across the estate, track expiry, and warn before something goes down.</w:t>
            </w:r>
          </w:p>
        </w:tc>
        <w:tc>
          <w:tcPr>
            <w:tcW w:type="dxa" w:w="1008"/>
            <w:shd w:fill="F9E6E4" w:val="clear"/>
          </w:tcPr>
          <w:p>
            <w:r>
              <w:rPr>
                <w:b/>
                <w:color w:val="B3261E"/>
                <w:sz w:val="17"/>
              </w:rPr>
              <w:t>Not covered</w:t>
            </w:r>
          </w:p>
        </w:tc>
        <w:tc>
          <w:tcPr>
            <w:tcW w:type="dxa" w:w="3888"/>
            <w:shd w:fill="EEF4FA" w:val="clear"/>
          </w:tcPr>
          <w:p>
            <w:r>
              <w:rPr>
                <w:b/>
                <w:color w:val="2E6DA4"/>
                <w:sz w:val="17"/>
              </w:rPr>
              <w:t xml:space="preserve">Outside KMIP — </w:t>
            </w:r>
            <w:r>
              <w:rPr>
                <w:sz w:val="17"/>
              </w:rPr>
              <w:t>This server knows only the certificates registered with it. Discovery means scanning endpoints and stores it does not own — a separate scanner feeding the inventory, not a KMIP operation.</w:t>
            </w:r>
          </w:p>
        </w:tc>
      </w:tr>
    </w:tbl>
    <w:p>
      <w:r>
        <w:br w:type="page"/>
      </w:r>
    </w:p>
    <w:p>
      <w:pPr>
        <w:pStyle w:val="Heading1"/>
      </w:pPr>
      <w:r>
        <w:rPr>
          <w:color w:val="1A3A5C"/>
        </w:rPr>
        <w:t>7  Availability, scale and recovery</w:t>
      </w:r>
    </w:p>
    <w:p>
      <w:r>
        <w:rPr>
          <w:b w:val="0"/>
          <w:i/>
          <w:color w:val="404040"/>
          <w:sz w:val="18"/>
        </w:rPr>
        <w:t>11 features — 3 covered, 3 partial, 5 not covered.</w:t>
      </w:r>
    </w:p>
    <w:tbl>
      <w:tblPr>
        <w:tblStyle w:val="TableGrid"/>
        <w:tblW w:type="auto" w:w="0"/>
        <w:tblLook w:firstColumn="1" w:firstRow="1" w:lastColumn="0" w:lastRow="0" w:noHBand="0" w:noVBand="1" w:val="04A0"/>
      </w:tblPr>
      <w:tblGrid>
        <w:gridCol w:w="2340"/>
        <w:gridCol w:w="2340"/>
        <w:gridCol w:w="2340"/>
        <w:gridCol w:w="2340"/>
      </w:tblGrid>
      <w:tr>
        <w:tc>
          <w:tcPr>
            <w:tcW w:type="dxa" w:w="1800"/>
            <w:shd w:fill="1A3A5C" w:val="clear"/>
          </w:tcPr>
          <w:p>
            <w:r>
              <w:rPr>
                <w:b/>
                <w:color w:val="FFFFFF"/>
                <w:sz w:val="17"/>
              </w:rPr>
              <w:t>Feature</w:t>
            </w:r>
          </w:p>
        </w:tc>
        <w:tc>
          <w:tcPr>
            <w:tcW w:type="dxa" w:w="2664"/>
            <w:shd w:fill="1A3A5C" w:val="clear"/>
          </w:tcPr>
          <w:p>
            <w:r>
              <w:rPr>
                <w:b/>
                <w:color w:val="FFFFFF"/>
                <w:sz w:val="17"/>
              </w:rPr>
              <w:t>What the market expects</w:t>
            </w:r>
          </w:p>
        </w:tc>
        <w:tc>
          <w:tcPr>
            <w:tcW w:type="dxa" w:w="1008"/>
            <w:shd w:fill="1A3A5C" w:val="clear"/>
          </w:tcPr>
          <w:p>
            <w:r>
              <w:rPr>
                <w:b/>
                <w:color w:val="FFFFFF"/>
                <w:sz w:val="17"/>
              </w:rPr>
              <w:t>Status</w:t>
            </w:r>
          </w:p>
        </w:tc>
        <w:tc>
          <w:tcPr>
            <w:tcW w:type="dxa" w:w="3888"/>
            <w:shd w:fill="1A3A5C" w:val="clear"/>
          </w:tcPr>
          <w:p>
            <w:r>
              <w:rPr>
                <w:b/>
                <w:color w:val="FFFFFF"/>
                <w:sz w:val="17"/>
              </w:rPr>
              <w:t>Route, if not covered here</w:t>
            </w:r>
          </w:p>
        </w:tc>
      </w:tr>
      <w:tr>
        <w:tc>
          <w:tcPr>
            <w:tcW w:type="dxa" w:w="1800"/>
            <w:shd w:fill="EEF4FA" w:val="clear"/>
          </w:tcPr>
          <w:p>
            <w:r>
              <w:rPr>
                <w:b/>
                <w:sz w:val="17"/>
              </w:rPr>
              <w:t>HA clustering</w:t>
            </w:r>
          </w:p>
        </w:tc>
        <w:tc>
          <w:tcPr>
            <w:tcW w:type="dxa" w:w="2664"/>
            <w:shd w:fill="EEF4FA" w:val="clear"/>
          </w:tcPr>
          <w:p>
            <w:r>
              <w:rPr>
                <w:sz w:val="17"/>
              </w:rPr>
              <w:t>Active/active nodes behind a VIP, no single point of failure.</w:t>
            </w:r>
          </w:p>
        </w:tc>
        <w:tc>
          <w:tcPr>
            <w:tcW w:type="dxa" w:w="1008"/>
            <w:shd w:fill="F9E6E4" w:val="clear"/>
          </w:tcPr>
          <w:p>
            <w:r>
              <w:rPr>
                <w:b/>
                <w:color w:val="B3261E"/>
                <w:sz w:val="17"/>
              </w:rPr>
              <w:t>Not covered</w:t>
            </w:r>
          </w:p>
        </w:tc>
        <w:tc>
          <w:tcPr>
            <w:tcW w:type="dxa" w:w="3888"/>
            <w:shd w:fill="EEF4FA" w:val="clear"/>
          </w:tcPr>
          <w:p>
            <w:r>
              <w:rPr>
                <w:b/>
                <w:color w:val="2E6DA4"/>
                <w:sz w:val="17"/>
              </w:rPr>
              <w:t xml:space="preserve">Outside KMIP — </w:t>
            </w:r>
            <w:r>
              <w:rPr>
                <w:sz w:val="17"/>
              </w:rPr>
              <w:t>The blocker is storage, not protocol: SQLite has no multi-writer story. Postgres plus leader election for the scheduler.</w:t>
            </w:r>
          </w:p>
        </w:tc>
      </w:tr>
      <w:tr>
        <w:tc>
          <w:tcPr>
            <w:tcW w:type="dxa" w:w="1800"/>
            <w:shd w:fill="FFFFFF" w:val="clear"/>
          </w:tcPr>
          <w:p>
            <w:r>
              <w:rPr>
                <w:b/>
                <w:sz w:val="17"/>
              </w:rPr>
              <w:t>Multi-site replication and DR</w:t>
            </w:r>
          </w:p>
        </w:tc>
        <w:tc>
          <w:tcPr>
            <w:tcW w:type="dxa" w:w="2664"/>
            <w:shd w:fill="FFFFFF" w:val="clear"/>
          </w:tcPr>
          <w:p>
            <w:r>
              <w:rPr>
                <w:sz w:val="17"/>
              </w:rPr>
              <w:t>Geographic redundancy with a defined RPO.</w:t>
            </w:r>
          </w:p>
        </w:tc>
        <w:tc>
          <w:tcPr>
            <w:tcW w:type="dxa" w:w="1008"/>
            <w:shd w:fill="F9E6E4" w:val="clear"/>
          </w:tcPr>
          <w:p>
            <w:r>
              <w:rPr>
                <w:b/>
                <w:color w:val="B3261E"/>
                <w:sz w:val="17"/>
              </w:rPr>
              <w:t>Not covered</w:t>
            </w:r>
          </w:p>
        </w:tc>
        <w:tc>
          <w:tcPr>
            <w:tcW w:type="dxa" w:w="3888"/>
            <w:shd w:fill="FFFFFF" w:val="clear"/>
          </w:tcPr>
          <w:p>
            <w:r>
              <w:rPr>
                <w:b/>
                <w:color w:val="2E6DA4"/>
                <w:sz w:val="17"/>
              </w:rPr>
              <w:t xml:space="preserve">Outside KMIP — </w:t>
            </w:r>
            <w:r>
              <w:rPr>
                <w:sz w:val="17"/>
              </w:rPr>
              <w:t>Follows the storage backend.</w:t>
            </w:r>
          </w:p>
        </w:tc>
      </w:tr>
      <w:tr>
        <w:tc>
          <w:tcPr>
            <w:tcW w:type="dxa" w:w="1800"/>
            <w:shd w:fill="EEF4FA" w:val="clear"/>
          </w:tcPr>
          <w:p>
            <w:r>
              <w:rPr>
                <w:b/>
                <w:sz w:val="17"/>
              </w:rPr>
              <w:t>HSM failover and pooling</w:t>
            </w:r>
          </w:p>
        </w:tc>
        <w:tc>
          <w:tcPr>
            <w:tcW w:type="dxa" w:w="2664"/>
            <w:shd w:fill="EEF4FA" w:val="clear"/>
          </w:tcPr>
          <w:p>
            <w:r>
              <w:rPr>
                <w:sz w:val="17"/>
              </w:rPr>
              <w:t>Survive the loss of one token; spread load across several.</w:t>
            </w:r>
          </w:p>
        </w:tc>
        <w:tc>
          <w:tcPr>
            <w:tcW w:type="dxa" w:w="1008"/>
            <w:shd w:fill="F9E6E4" w:val="clear"/>
          </w:tcPr>
          <w:p>
            <w:r>
              <w:rPr>
                <w:b/>
                <w:color w:val="B3261E"/>
                <w:sz w:val="17"/>
              </w:rPr>
              <w:t>Not covered</w:t>
            </w:r>
          </w:p>
        </w:tc>
        <w:tc>
          <w:tcPr>
            <w:tcW w:type="dxa" w:w="3888"/>
            <w:shd w:fill="EEF4FA" w:val="clear"/>
          </w:tcPr>
          <w:p>
            <w:r>
              <w:rPr>
                <w:sz w:val="17"/>
              </w:rPr>
              <w:t>A pool at the shim layer. Deliberately unbuilt — verifying it needs a second token, and an untested failover path invites reliance.</w:t>
            </w:r>
          </w:p>
        </w:tc>
      </w:tr>
      <w:tr>
        <w:tc>
          <w:tcPr>
            <w:tcW w:type="dxa" w:w="1800"/>
            <w:shd w:fill="FFFFFF" w:val="clear"/>
          </w:tcPr>
          <w:p>
            <w:r>
              <w:rPr>
                <w:b/>
                <w:sz w:val="17"/>
              </w:rPr>
              <w:t>Horizontal throughput</w:t>
            </w:r>
          </w:p>
        </w:tc>
        <w:tc>
          <w:tcPr>
            <w:tcW w:type="dxa" w:w="2664"/>
            <w:shd w:fill="FFFFFF" w:val="clear"/>
          </w:tcPr>
          <w:p>
            <w:r>
              <w:rPr>
                <w:sz w:val="17"/>
              </w:rPr>
              <w:t>Scale with cores and nodes.</w:t>
            </w:r>
          </w:p>
        </w:tc>
        <w:tc>
          <w:tcPr>
            <w:tcW w:type="dxa" w:w="1008"/>
            <w:shd w:fill="F7EDDC" w:val="clear"/>
          </w:tcPr>
          <w:p>
            <w:r>
              <w:rPr>
                <w:b/>
                <w:color w:val="8F5610"/>
                <w:sz w:val="17"/>
              </w:rPr>
              <w:t>Partial</w:t>
            </w:r>
          </w:p>
        </w:tc>
        <w:tc>
          <w:tcPr>
            <w:tcW w:type="dxa" w:w="3888"/>
            <w:shd w:fill="FFFFFF" w:val="clear"/>
          </w:tcPr>
          <w:p>
            <w:r>
              <w:rPr>
                <w:sz w:val="17"/>
              </w:rPr>
              <w:t>Pre-fork workers give about 1.5×, bounded by the serial audit chain — the measured cost of tamper-evidence. Per-shard chains or an external append-only service would lift it.</w:t>
            </w:r>
          </w:p>
        </w:tc>
      </w:tr>
      <w:tr>
        <w:tc>
          <w:tcPr>
            <w:tcW w:type="dxa" w:w="1800"/>
            <w:shd w:fill="EEF4FA" w:val="clear"/>
          </w:tcPr>
          <w:p>
            <w:r>
              <w:rPr>
                <w:b/>
                <w:sz w:val="17"/>
              </w:rPr>
              <w:t>Enterprise database backend</w:t>
            </w:r>
          </w:p>
        </w:tc>
        <w:tc>
          <w:tcPr>
            <w:tcW w:type="dxa" w:w="2664"/>
            <w:shd w:fill="EEF4FA" w:val="clear"/>
          </w:tcPr>
          <w:p>
            <w:r>
              <w:rPr>
                <w:sz w:val="17"/>
              </w:rPr>
              <w:t>Postgres or Oracle rather than an embedded file.</w:t>
            </w:r>
          </w:p>
        </w:tc>
        <w:tc>
          <w:tcPr>
            <w:tcW w:type="dxa" w:w="1008"/>
            <w:shd w:fill="F9E6E4" w:val="clear"/>
          </w:tcPr>
          <w:p>
            <w:r>
              <w:rPr>
                <w:b/>
                <w:color w:val="B3261E"/>
                <w:sz w:val="17"/>
              </w:rPr>
              <w:t>Not covered</w:t>
            </w:r>
          </w:p>
        </w:tc>
        <w:tc>
          <w:tcPr>
            <w:tcW w:type="dxa" w:w="3888"/>
            <w:shd w:fill="EEF4FA" w:val="clear"/>
          </w:tcPr>
          <w:p>
            <w:r>
              <w:rPr>
                <w:sz w:val="17"/>
              </w:rPr>
              <w:t>The store is heavily SQLite-specific (PRAGMA user_version, json_extract, RAISE(ABORT) triggers), so this is a persistence-layer rewrite.</w:t>
            </w:r>
          </w:p>
        </w:tc>
      </w:tr>
      <w:tr>
        <w:tc>
          <w:tcPr>
            <w:tcW w:type="dxa" w:w="1800"/>
            <w:shd w:fill="FFFFFF" w:val="clear"/>
          </w:tcPr>
          <w:p>
            <w:r>
              <w:rPr>
                <w:b/>
                <w:sz w:val="17"/>
              </w:rPr>
              <w:t>Scheduled and offsite backup</w:t>
            </w:r>
          </w:p>
        </w:tc>
        <w:tc>
          <w:tcPr>
            <w:tcW w:type="dxa" w:w="2664"/>
            <w:shd w:fill="FFFFFF" w:val="clear"/>
          </w:tcPr>
          <w:p>
            <w:r>
              <w:rPr>
                <w:sz w:val="17"/>
              </w:rPr>
              <w:t>Automatic snapshots shipped off the box.</w:t>
            </w:r>
          </w:p>
        </w:tc>
        <w:tc>
          <w:tcPr>
            <w:tcW w:type="dxa" w:w="1008"/>
            <w:shd w:fill="F7EDDC" w:val="clear"/>
          </w:tcPr>
          <w:p>
            <w:r>
              <w:rPr>
                <w:b/>
                <w:color w:val="8F5610"/>
                <w:sz w:val="17"/>
              </w:rPr>
              <w:t>Partial</w:t>
            </w:r>
          </w:p>
        </w:tc>
        <w:tc>
          <w:tcPr>
            <w:tcW w:type="dxa" w:w="3888"/>
            <w:shd w:fill="FFFFFF" w:val="clear"/>
          </w:tcPr>
          <w:p>
            <w:r>
              <w:rPr>
                <w:sz w:val="17"/>
              </w:rPr>
              <w:t>Backup and restore are fully tooled and verified; scheduling and shipping are left to cron and the operator.</w:t>
            </w:r>
          </w:p>
        </w:tc>
      </w:tr>
      <w:tr>
        <w:tc>
          <w:tcPr>
            <w:tcW w:type="dxa" w:w="1800"/>
            <w:shd w:fill="EEF4FA" w:val="clear"/>
          </w:tcPr>
          <w:p>
            <w:r>
              <w:rPr>
                <w:b/>
                <w:sz w:val="17"/>
              </w:rPr>
              <w:t>Restore that proves itself</w:t>
            </w:r>
          </w:p>
        </w:tc>
        <w:tc>
          <w:tcPr>
            <w:tcW w:type="dxa" w:w="2664"/>
            <w:shd w:fill="EEF4FA" w:val="clear"/>
          </w:tcPr>
          <w:p>
            <w:r>
              <w:rPr>
                <w:sz w:val="17"/>
              </w:rPr>
              <w:t>A restore verified, not assumed.</w:t>
            </w:r>
          </w:p>
        </w:tc>
        <w:tc>
          <w:tcPr>
            <w:tcW w:type="dxa" w:w="1008"/>
            <w:shd w:fill="E2F0E7" w:val="clear"/>
          </w:tcPr>
          <w:p>
            <w:r>
              <w:rPr>
                <w:b/>
                <w:color w:val="1E802E"/>
                <w:sz w:val="17"/>
              </w:rPr>
              <w:t>Covered</w:t>
            </w:r>
          </w:p>
        </w:tc>
        <w:tc>
          <w:tcPr>
            <w:tcW w:type="dxa" w:w="3888"/>
            <w:shd w:fill="EEF4FA" w:val="clear"/>
          </w:tcPr>
          <w:p>
            <w:r>
              <w:rPr>
                <w:sz w:val="17"/>
              </w:rPr>
              <w:t>Checks the master key is present, the audit chain verifies, and a stored secret actually decrypts. Token pairing is enforced.</w:t>
            </w:r>
          </w:p>
        </w:tc>
      </w:tr>
      <w:tr>
        <w:tc>
          <w:tcPr>
            <w:tcW w:type="dxa" w:w="1800"/>
            <w:shd w:fill="FFFFFF" w:val="clear"/>
          </w:tcPr>
          <w:p>
            <w:r>
              <w:rPr>
                <w:b/>
                <w:sz w:val="17"/>
              </w:rPr>
              <w:t>Zero-downtime certificate rotation</w:t>
            </w:r>
          </w:p>
        </w:tc>
        <w:tc>
          <w:tcPr>
            <w:tcW w:type="dxa" w:w="2664"/>
            <w:shd w:fill="FFFFFF" w:val="clear"/>
          </w:tcPr>
          <w:p>
            <w:r>
              <w:rPr>
                <w:sz w:val="17"/>
              </w:rPr>
              <w:t>Renew TLS material without dropping connections.</w:t>
            </w:r>
          </w:p>
        </w:tc>
        <w:tc>
          <w:tcPr>
            <w:tcW w:type="dxa" w:w="1008"/>
            <w:shd w:fill="E2F0E7" w:val="clear"/>
          </w:tcPr>
          <w:p>
            <w:r>
              <w:rPr>
                <w:b/>
                <w:color w:val="1E802E"/>
                <w:sz w:val="17"/>
              </w:rPr>
              <w:t>Covered</w:t>
            </w:r>
          </w:p>
        </w:tc>
        <w:tc>
          <w:tcPr>
            <w:tcW w:type="dxa" w:w="3888"/>
            <w:shd w:fill="FFFFFF" w:val="clear"/>
          </w:tcPr>
          <w:p>
            <w:r>
              <w:rPr>
                <w:sz w:val="17"/>
              </w:rPr>
              <w:t>SIGHUP reload; systemctl reload costs nothing.</w:t>
            </w:r>
          </w:p>
        </w:tc>
      </w:tr>
      <w:tr>
        <w:tc>
          <w:tcPr>
            <w:tcW w:type="dxa" w:w="1800"/>
            <w:shd w:fill="EEF4FA" w:val="clear"/>
          </w:tcPr>
          <w:p>
            <w:r>
              <w:rPr>
                <w:b/>
                <w:sz w:val="17"/>
              </w:rPr>
              <w:t>Rolling upgrades</w:t>
            </w:r>
          </w:p>
        </w:tc>
        <w:tc>
          <w:tcPr>
            <w:tcW w:type="dxa" w:w="2664"/>
            <w:shd w:fill="EEF4FA" w:val="clear"/>
          </w:tcPr>
          <w:p>
            <w:r>
              <w:rPr>
                <w:sz w:val="17"/>
              </w:rPr>
              <w:t>Version-to-version upgrade without data loss.</w:t>
            </w:r>
          </w:p>
        </w:tc>
        <w:tc>
          <w:tcPr>
            <w:tcW w:type="dxa" w:w="1008"/>
            <w:shd w:fill="E2F0E7" w:val="clear"/>
          </w:tcPr>
          <w:p>
            <w:r>
              <w:rPr>
                <w:b/>
                <w:color w:val="1E802E"/>
                <w:sz w:val="17"/>
              </w:rPr>
              <w:t>Covered</w:t>
            </w:r>
          </w:p>
        </w:tc>
        <w:tc>
          <w:tcPr>
            <w:tcW w:type="dxa" w:w="3888"/>
            <w:shd w:fill="EEF4FA" w:val="clear"/>
          </w:tcPr>
          <w:p>
            <w:r>
              <w:rPr>
                <w:sz w:val="17"/>
              </w:rPr>
              <w:t>Versioned migrations gated on PRAGMA user_version, each committing with its bump so an interrupted upgrade resumes. Single-node only.</w:t>
            </w:r>
          </w:p>
        </w:tc>
      </w:tr>
      <w:tr>
        <w:tc>
          <w:tcPr>
            <w:tcW w:type="dxa" w:w="1800"/>
            <w:shd w:fill="FFFFFF" w:val="clear"/>
          </w:tcPr>
          <w:p>
            <w:r>
              <w:rPr>
                <w:b/>
                <w:sz w:val="17"/>
              </w:rPr>
              <w:t>Kubernetes / container deployment</w:t>
            </w:r>
          </w:p>
        </w:tc>
        <w:tc>
          <w:tcPr>
            <w:tcW w:type="dxa" w:w="2664"/>
            <w:shd w:fill="FFFFFF" w:val="clear"/>
          </w:tcPr>
          <w:p>
            <w:r>
              <w:rPr>
                <w:sz w:val="17"/>
              </w:rPr>
              <w:t>A supported image and manifests.</w:t>
            </w:r>
          </w:p>
        </w:tc>
        <w:tc>
          <w:tcPr>
            <w:tcW w:type="dxa" w:w="1008"/>
            <w:shd w:fill="F7EDDC" w:val="clear"/>
          </w:tcPr>
          <w:p>
            <w:r>
              <w:rPr>
                <w:b/>
                <w:color w:val="8F5610"/>
                <w:sz w:val="17"/>
              </w:rPr>
              <w:t>Partial</w:t>
            </w:r>
          </w:p>
        </w:tc>
        <w:tc>
          <w:tcPr>
            <w:tcW w:type="dxa" w:w="3888"/>
            <w:shd w:fill="FFFFFF" w:val="clear"/>
          </w:tcPr>
          <w:p>
            <w:r>
              <w:rPr>
                <w:sz w:val="17"/>
              </w:rPr>
              <w:t>A two-stage Dockerfile exists and its inputs are checked, but it has never been executed — this environment blocks Docker Hub. No Helm chart or operator.</w:t>
            </w:r>
          </w:p>
        </w:tc>
      </w:tr>
      <w:tr>
        <w:tc>
          <w:tcPr>
            <w:tcW w:type="dxa" w:w="1800"/>
            <w:shd w:fill="EEF4FA" w:val="clear"/>
          </w:tcPr>
          <w:p>
            <w:r>
              <w:rPr>
                <w:b/>
                <w:sz w:val="17"/>
              </w:rPr>
              <w:t>Confidential computing deployment</w:t>
            </w:r>
          </w:p>
        </w:tc>
        <w:tc>
          <w:tcPr>
            <w:tcW w:type="dxa" w:w="2664"/>
            <w:shd w:fill="EEF4FA" w:val="clear"/>
          </w:tcPr>
          <w:p>
            <w:r>
              <w:rPr>
                <w:sz w:val="17"/>
              </w:rPr>
              <w:t>Run inside a TEE or confidential VM with remote attestation, so the host operator cannot read process memory.</w:t>
            </w:r>
          </w:p>
        </w:tc>
        <w:tc>
          <w:tcPr>
            <w:tcW w:type="dxa" w:w="1008"/>
            <w:shd w:fill="F9E6E4" w:val="clear"/>
          </w:tcPr>
          <w:p>
            <w:r>
              <w:rPr>
                <w:b/>
                <w:color w:val="B3261E"/>
                <w:sz w:val="17"/>
              </w:rPr>
              <w:t>Not covered</w:t>
            </w:r>
          </w:p>
        </w:tc>
        <w:tc>
          <w:tcPr>
            <w:tcW w:type="dxa" w:w="3888"/>
            <w:shd w:fill="EEF4FA" w:val="clear"/>
          </w:tcPr>
          <w:p>
            <w:r>
              <w:rPr>
                <w:b/>
                <w:color w:val="2E6DA4"/>
                <w:sz w:val="17"/>
              </w:rPr>
              <w:t xml:space="preserve">Outside KMIP — </w:t>
            </w:r>
            <w:r>
              <w:rPr>
                <w:sz w:val="17"/>
              </w:rPr>
              <w:t>Mostly deployment and attestation rather than code, but not free: it needs a store designed for an untrusted host, and an attestation a client can check before it trusts the service.</w:t>
            </w:r>
          </w:p>
        </w:tc>
      </w:tr>
    </w:tbl>
    <w:p>
      <w:r>
        <w:br w:type="page"/>
      </w:r>
    </w:p>
    <w:p>
      <w:pPr>
        <w:pStyle w:val="Heading1"/>
      </w:pPr>
      <w:r>
        <w:rPr>
          <w:color w:val="1A3A5C"/>
        </w:rPr>
        <w:t>8  Operations and observability</w:t>
      </w:r>
    </w:p>
    <w:p>
      <w:r>
        <w:rPr>
          <w:b w:val="0"/>
          <w:i/>
          <w:color w:val="404040"/>
          <w:sz w:val="18"/>
        </w:rPr>
        <w:t>9 features — 5 covered, 1 partial, 3 not covered.</w:t>
      </w:r>
    </w:p>
    <w:tbl>
      <w:tblPr>
        <w:tblStyle w:val="TableGrid"/>
        <w:tblW w:type="auto" w:w="0"/>
        <w:tblLook w:firstColumn="1" w:firstRow="1" w:lastColumn="0" w:lastRow="0" w:noHBand="0" w:noVBand="1" w:val="04A0"/>
      </w:tblPr>
      <w:tblGrid>
        <w:gridCol w:w="2340"/>
        <w:gridCol w:w="2340"/>
        <w:gridCol w:w="2340"/>
        <w:gridCol w:w="2340"/>
      </w:tblGrid>
      <w:tr>
        <w:tc>
          <w:tcPr>
            <w:tcW w:type="dxa" w:w="1800"/>
            <w:shd w:fill="1A3A5C" w:val="clear"/>
          </w:tcPr>
          <w:p>
            <w:r>
              <w:rPr>
                <w:b/>
                <w:color w:val="FFFFFF"/>
                <w:sz w:val="17"/>
              </w:rPr>
              <w:t>Feature</w:t>
            </w:r>
          </w:p>
        </w:tc>
        <w:tc>
          <w:tcPr>
            <w:tcW w:type="dxa" w:w="2664"/>
            <w:shd w:fill="1A3A5C" w:val="clear"/>
          </w:tcPr>
          <w:p>
            <w:r>
              <w:rPr>
                <w:b/>
                <w:color w:val="FFFFFF"/>
                <w:sz w:val="17"/>
              </w:rPr>
              <w:t>What the market expects</w:t>
            </w:r>
          </w:p>
        </w:tc>
        <w:tc>
          <w:tcPr>
            <w:tcW w:type="dxa" w:w="1008"/>
            <w:shd w:fill="1A3A5C" w:val="clear"/>
          </w:tcPr>
          <w:p>
            <w:r>
              <w:rPr>
                <w:b/>
                <w:color w:val="FFFFFF"/>
                <w:sz w:val="17"/>
              </w:rPr>
              <w:t>Status</w:t>
            </w:r>
          </w:p>
        </w:tc>
        <w:tc>
          <w:tcPr>
            <w:tcW w:type="dxa" w:w="3888"/>
            <w:shd w:fill="1A3A5C" w:val="clear"/>
          </w:tcPr>
          <w:p>
            <w:r>
              <w:rPr>
                <w:b/>
                <w:color w:val="FFFFFF"/>
                <w:sz w:val="17"/>
              </w:rPr>
              <w:t>Route, if not covered here</w:t>
            </w:r>
          </w:p>
        </w:tc>
      </w:tr>
      <w:tr>
        <w:tc>
          <w:tcPr>
            <w:tcW w:type="dxa" w:w="1800"/>
            <w:shd w:fill="EEF4FA" w:val="clear"/>
          </w:tcPr>
          <w:p>
            <w:r>
              <w:rPr>
                <w:b/>
                <w:sz w:val="17"/>
              </w:rPr>
              <w:t>Health and readiness probes</w:t>
            </w:r>
          </w:p>
        </w:tc>
        <w:tc>
          <w:tcPr>
            <w:tcW w:type="dxa" w:w="2664"/>
            <w:shd w:fill="EEF4FA" w:val="clear"/>
          </w:tcPr>
          <w:p>
            <w:r>
              <w:rPr>
                <w:sz w:val="17"/>
              </w:rPr>
              <w:t>Orchestrator-grade liveness and readiness.</w:t>
            </w:r>
          </w:p>
        </w:tc>
        <w:tc>
          <w:tcPr>
            <w:tcW w:type="dxa" w:w="1008"/>
            <w:shd w:fill="E2F0E7" w:val="clear"/>
          </w:tcPr>
          <w:p>
            <w:r>
              <w:rPr>
                <w:b/>
                <w:color w:val="1E802E"/>
                <w:sz w:val="17"/>
              </w:rPr>
              <w:t>Covered</w:t>
            </w:r>
          </w:p>
        </w:tc>
        <w:tc>
          <w:tcPr>
            <w:tcW w:type="dxa" w:w="3888"/>
            <w:shd w:fill="EEF4FA" w:val="clear"/>
          </w:tcPr>
          <w:p>
            <w:r>
              <w:rPr>
                <w:sz w:val="17"/>
              </w:rPr>
              <w:t>Readiness gates on the listener as well as the HSM and database, so traffic is not routed at a port that is not open.</w:t>
            </w:r>
          </w:p>
        </w:tc>
      </w:tr>
      <w:tr>
        <w:tc>
          <w:tcPr>
            <w:tcW w:type="dxa" w:w="1800"/>
            <w:shd w:fill="FFFFFF" w:val="clear"/>
          </w:tcPr>
          <w:p>
            <w:r>
              <w:rPr>
                <w:b/>
                <w:sz w:val="17"/>
              </w:rPr>
              <w:t>Metrics</w:t>
            </w:r>
          </w:p>
        </w:tc>
        <w:tc>
          <w:tcPr>
            <w:tcW w:type="dxa" w:w="2664"/>
            <w:shd w:fill="FFFFFF" w:val="clear"/>
          </w:tcPr>
          <w:p>
            <w:r>
              <w:rPr>
                <w:sz w:val="17"/>
              </w:rPr>
              <w:t>Prometheus-compatible operational telemetry.</w:t>
            </w:r>
          </w:p>
        </w:tc>
        <w:tc>
          <w:tcPr>
            <w:tcW w:type="dxa" w:w="1008"/>
            <w:shd w:fill="E2F0E7" w:val="clear"/>
          </w:tcPr>
          <w:p>
            <w:r>
              <w:rPr>
                <w:b/>
                <w:color w:val="1E802E"/>
                <w:sz w:val="17"/>
              </w:rPr>
              <w:t>Covered</w:t>
            </w:r>
          </w:p>
        </w:tc>
        <w:tc>
          <w:tcPr>
            <w:tcW w:type="dxa" w:w="3888"/>
            <w:shd w:fill="FFFFFF" w:val="clear"/>
          </w:tcPr>
          <w:p>
            <w:r>
              <w:rPr>
                <w:sz w:val="17"/>
              </w:rPr>
              <w:t>Operation counters, latency totals and auth failures. Latency is a running total rather than histogram buckets, and only worker 0 serves the endpoint, so quantiles and fleet totals need the collector.</w:t>
            </w:r>
          </w:p>
        </w:tc>
      </w:tr>
      <w:tr>
        <w:tc>
          <w:tcPr>
            <w:tcW w:type="dxa" w:w="1800"/>
            <w:shd w:fill="EEF4FA" w:val="clear"/>
          </w:tcPr>
          <w:p>
            <w:r>
              <w:rPr>
                <w:b/>
                <w:sz w:val="17"/>
              </w:rPr>
              <w:t>Structured logging</w:t>
            </w:r>
          </w:p>
        </w:tc>
        <w:tc>
          <w:tcPr>
            <w:tcW w:type="dxa" w:w="2664"/>
            <w:shd w:fill="EEF4FA" w:val="clear"/>
          </w:tcPr>
          <w:p>
            <w:r>
              <w:rPr>
                <w:sz w:val="17"/>
              </w:rPr>
              <w:t>Machine-parseable logs that survive aggregation.</w:t>
            </w:r>
          </w:p>
        </w:tc>
        <w:tc>
          <w:tcPr>
            <w:tcW w:type="dxa" w:w="1008"/>
            <w:shd w:fill="E2F0E7" w:val="clear"/>
          </w:tcPr>
          <w:p>
            <w:r>
              <w:rPr>
                <w:b/>
                <w:color w:val="1E802E"/>
                <w:sz w:val="17"/>
              </w:rPr>
              <w:t>Covered</w:t>
            </w:r>
          </w:p>
        </w:tc>
        <w:tc>
          <w:tcPr>
            <w:tcW w:type="dxa" w:w="3888"/>
            <w:shd w:fill="EEF4FA" w:val="clear"/>
          </w:tcPr>
          <w:p>
            <w:r>
              <w:rPr>
                <w:sz w:val="17"/>
              </w:rPr>
              <w:t>JSON with tracebacks in a field rather than trailing newlines.</w:t>
            </w:r>
          </w:p>
        </w:tc>
      </w:tr>
      <w:tr>
        <w:tc>
          <w:tcPr>
            <w:tcW w:type="dxa" w:w="1800"/>
            <w:shd w:fill="FFFFFF" w:val="clear"/>
          </w:tcPr>
          <w:p>
            <w:r>
              <w:rPr>
                <w:b/>
                <w:sz w:val="17"/>
              </w:rPr>
              <w:t>Configuration-driven deployment</w:t>
            </w:r>
          </w:p>
        </w:tc>
        <w:tc>
          <w:tcPr>
            <w:tcW w:type="dxa" w:w="2664"/>
            <w:shd w:fill="FFFFFF" w:val="clear"/>
          </w:tcPr>
          <w:p>
            <w:r>
              <w:rPr>
                <w:sz w:val="17"/>
              </w:rPr>
              <w:t>A config file and a service unit, not a program to maintain.</w:t>
            </w:r>
          </w:p>
        </w:tc>
        <w:tc>
          <w:tcPr>
            <w:tcW w:type="dxa" w:w="1008"/>
            <w:shd w:fill="E2F0E7" w:val="clear"/>
          </w:tcPr>
          <w:p>
            <w:r>
              <w:rPr>
                <w:b/>
                <w:color w:val="1E802E"/>
                <w:sz w:val="17"/>
              </w:rPr>
              <w:t>Covered</w:t>
            </w:r>
          </w:p>
        </w:tc>
        <w:tc>
          <w:tcPr>
            <w:tcW w:type="dxa" w:w="3888"/>
            <w:shd w:fill="FFFFFF" w:val="clear"/>
          </w:tcPr>
          <w:p>
            <w:r>
              <w:rPr>
                <w:sz w:val="17"/>
              </w:rPr>
              <w:t>One YAML file, strict validation naming the offending key, and --check to validate without serving.</w:t>
            </w:r>
          </w:p>
        </w:tc>
      </w:tr>
      <w:tr>
        <w:tc>
          <w:tcPr>
            <w:tcW w:type="dxa" w:w="1800"/>
            <w:shd w:fill="EEF4FA" w:val="clear"/>
          </w:tcPr>
          <w:p>
            <w:r>
              <w:rPr>
                <w:b/>
                <w:sz w:val="17"/>
              </w:rPr>
              <w:t>Administrative CLI</w:t>
            </w:r>
          </w:p>
        </w:tc>
        <w:tc>
          <w:tcPr>
            <w:tcW w:type="dxa" w:w="2664"/>
            <w:shd w:fill="EEF4FA" w:val="clear"/>
          </w:tcPr>
          <w:p>
            <w:r>
              <w:rPr>
                <w:sz w:val="17"/>
              </w:rPr>
              <w:t>Scriptable administration.</w:t>
            </w:r>
          </w:p>
        </w:tc>
        <w:tc>
          <w:tcPr>
            <w:tcW w:type="dxa" w:w="1008"/>
            <w:shd w:fill="E2F0E7" w:val="clear"/>
          </w:tcPr>
          <w:p>
            <w:r>
              <w:rPr>
                <w:b/>
                <w:color w:val="1E802E"/>
                <w:sz w:val="17"/>
              </w:rPr>
              <w:t>Covered</w:t>
            </w:r>
          </w:p>
        </w:tc>
        <w:tc>
          <w:tcPr>
            <w:tcW w:type="dxa" w:w="3888"/>
            <w:shd w:fill="EEF4FA" w:val="clear"/>
          </w:tcPr>
          <w:p>
            <w:r>
              <w:rPr>
                <w:sz w:val="17"/>
              </w:rPr>
              <w:t>kmip-admin covers identities, roles, groups, grants, permissions, approvals, cryptoperiods, audit, backup and master-key rotation.</w:t>
            </w:r>
          </w:p>
        </w:tc>
      </w:tr>
      <w:tr>
        <w:tc>
          <w:tcPr>
            <w:tcW w:type="dxa" w:w="1800"/>
            <w:shd w:fill="FFFFFF" w:val="clear"/>
          </w:tcPr>
          <w:p>
            <w:r>
              <w:rPr>
                <w:b/>
                <w:sz w:val="17"/>
              </w:rPr>
              <w:t>Web console</w:t>
            </w:r>
          </w:p>
        </w:tc>
        <w:tc>
          <w:tcPr>
            <w:tcW w:type="dxa" w:w="2664"/>
            <w:shd w:fill="FFFFFF" w:val="clear"/>
          </w:tcPr>
          <w:p>
            <w:r>
              <w:rPr>
                <w:sz w:val="17"/>
              </w:rPr>
              <w:t>A GUI for operators and auditors — universal in commercial products.</w:t>
            </w:r>
          </w:p>
        </w:tc>
        <w:tc>
          <w:tcPr>
            <w:tcW w:type="dxa" w:w="1008"/>
            <w:shd w:fill="F9E6E4" w:val="clear"/>
          </w:tcPr>
          <w:p>
            <w:r>
              <w:rPr>
                <w:b/>
                <w:color w:val="B3261E"/>
                <w:sz w:val="17"/>
              </w:rPr>
              <w:t>Not covered</w:t>
            </w:r>
          </w:p>
        </w:tc>
        <w:tc>
          <w:tcPr>
            <w:tcW w:type="dxa" w:w="3888"/>
            <w:shd w:fill="FFFFFF" w:val="clear"/>
          </w:tcPr>
          <w:p>
            <w:r>
              <w:rPr>
                <w:b/>
                <w:color w:val="2E6DA4"/>
                <w:sz w:val="17"/>
              </w:rPr>
              <w:t xml:space="preserve">Outside KMIP — </w:t>
            </w:r>
            <w:r>
              <w:rPr>
                <w:sz w:val="17"/>
              </w:rPr>
              <w:t>Needs the REST admin API first; the console is then a client of it.</w:t>
            </w:r>
          </w:p>
        </w:tc>
      </w:tr>
      <w:tr>
        <w:tc>
          <w:tcPr>
            <w:tcW w:type="dxa" w:w="1800"/>
            <w:shd w:fill="EEF4FA" w:val="clear"/>
          </w:tcPr>
          <w:p>
            <w:r>
              <w:rPr>
                <w:b/>
                <w:sz w:val="17"/>
              </w:rPr>
              <w:t>Self-service developer portal</w:t>
            </w:r>
          </w:p>
        </w:tc>
        <w:tc>
          <w:tcPr>
            <w:tcW w:type="dxa" w:w="2664"/>
            <w:shd w:fill="EEF4FA" w:val="clear"/>
          </w:tcPr>
          <w:p>
            <w:r>
              <w:rPr>
                <w:sz w:val="17"/>
              </w:rPr>
              <w:t>Teams provisioning their own keys within policy.</w:t>
            </w:r>
          </w:p>
        </w:tc>
        <w:tc>
          <w:tcPr>
            <w:tcW w:type="dxa" w:w="1008"/>
            <w:shd w:fill="F9E6E4" w:val="clear"/>
          </w:tcPr>
          <w:p>
            <w:r>
              <w:rPr>
                <w:b/>
                <w:color w:val="B3261E"/>
                <w:sz w:val="17"/>
              </w:rPr>
              <w:t>Not covered</w:t>
            </w:r>
          </w:p>
        </w:tc>
        <w:tc>
          <w:tcPr>
            <w:tcW w:type="dxa" w:w="3888"/>
            <w:shd w:fill="EEF4FA" w:val="clear"/>
          </w:tcPr>
          <w:p>
            <w:r>
              <w:rPr>
                <w:b/>
                <w:color w:val="2E6DA4"/>
                <w:sz w:val="17"/>
              </w:rPr>
              <w:t xml:space="preserve">Outside KMIP — </w:t>
            </w:r>
            <w:r>
              <w:rPr>
                <w:sz w:val="17"/>
              </w:rPr>
              <w:t>Follows the console and tenancy.</w:t>
            </w:r>
          </w:p>
        </w:tc>
      </w:tr>
      <w:tr>
        <w:tc>
          <w:tcPr>
            <w:tcW w:type="dxa" w:w="1800"/>
            <w:shd w:fill="FFFFFF" w:val="clear"/>
          </w:tcPr>
          <w:p>
            <w:r>
              <w:rPr>
                <w:b/>
                <w:sz w:val="17"/>
              </w:rPr>
              <w:t>Alerting</w:t>
            </w:r>
          </w:p>
        </w:tc>
        <w:tc>
          <w:tcPr>
            <w:tcW w:type="dxa" w:w="2664"/>
            <w:shd w:fill="FFFFFF" w:val="clear"/>
          </w:tcPr>
          <w:p>
            <w:r>
              <w:rPr>
                <w:sz w:val="17"/>
              </w:rPr>
              <w:t>Expiry and anomaly alerts pushed to on-call.</w:t>
            </w:r>
          </w:p>
        </w:tc>
        <w:tc>
          <w:tcPr>
            <w:tcW w:type="dxa" w:w="1008"/>
            <w:shd w:fill="F7EDDC" w:val="clear"/>
          </w:tcPr>
          <w:p>
            <w:r>
              <w:rPr>
                <w:b/>
                <w:color w:val="8F5610"/>
                <w:sz w:val="17"/>
              </w:rPr>
              <w:t>Partial</w:t>
            </w:r>
          </w:p>
        </w:tc>
        <w:tc>
          <w:tcPr>
            <w:tcW w:type="dxa" w:w="3888"/>
            <w:shd w:fill="FFFFFF" w:val="clear"/>
          </w:tcPr>
          <w:p>
            <w:r>
              <w:rPr>
                <w:sz w:val="17"/>
              </w:rPr>
              <w:t>Approaching expiry is logged and audited, and counters are exported, but nothing pushes. Alertmanager rules over the existing metrics would close most of it.</w:t>
            </w:r>
          </w:p>
        </w:tc>
      </w:tr>
      <w:tr>
        <w:tc>
          <w:tcPr>
            <w:tcW w:type="dxa" w:w="1800"/>
            <w:shd w:fill="EEF4FA" w:val="clear"/>
          </w:tcPr>
          <w:p>
            <w:r>
              <w:rPr>
                <w:b/>
                <w:sz w:val="17"/>
              </w:rPr>
              <w:t>Distributed tracing</w:t>
            </w:r>
          </w:p>
        </w:tc>
        <w:tc>
          <w:tcPr>
            <w:tcW w:type="dxa" w:w="2664"/>
            <w:shd w:fill="EEF4FA" w:val="clear"/>
          </w:tcPr>
          <w:p>
            <w:r>
              <w:rPr>
                <w:sz w:val="17"/>
              </w:rPr>
              <w:t>Spans across the service and into the token, usually OpenTelemetry, so a slow request can be explained rather than guessed at.</w:t>
            </w:r>
          </w:p>
        </w:tc>
        <w:tc>
          <w:tcPr>
            <w:tcW w:type="dxa" w:w="1008"/>
            <w:shd w:fill="F9E6E4" w:val="clear"/>
          </w:tcPr>
          <w:p>
            <w:r>
              <w:rPr>
                <w:b/>
                <w:color w:val="B3261E"/>
                <w:sz w:val="17"/>
              </w:rPr>
              <w:t>Not covered</w:t>
            </w:r>
          </w:p>
        </w:tc>
        <w:tc>
          <w:tcPr>
            <w:tcW w:type="dxa" w:w="3888"/>
            <w:shd w:fill="EEF4FA" w:val="clear"/>
          </w:tcPr>
          <w:p>
            <w:r>
              <w:rPr>
                <w:sz w:val="17"/>
              </w:rPr>
              <w:t>Structured logs carry a request identifier, which answers what happened but not where the time went. Nothing exports spans.</w:t>
            </w:r>
          </w:p>
        </w:tc>
      </w:tr>
    </w:tbl>
    <w:p>
      <w:r>
        <w:br w:type="page"/>
      </w:r>
    </w:p>
    <w:p>
      <w:pPr>
        <w:pStyle w:val="Heading1"/>
      </w:pPr>
      <w:r>
        <w:rPr>
          <w:color w:val="1A3A5C"/>
        </w:rPr>
        <w:t>9  Platform hardening</w:t>
      </w:r>
    </w:p>
    <w:p>
      <w:r>
        <w:rPr>
          <w:b w:val="0"/>
          <w:i/>
          <w:color w:val="404040"/>
          <w:sz w:val="18"/>
        </w:rPr>
        <w:t>8 features — 6 covered, 2 partial, 0 not covered.</w:t>
      </w:r>
    </w:p>
    <w:tbl>
      <w:tblPr>
        <w:tblStyle w:val="TableGrid"/>
        <w:tblW w:type="auto" w:w="0"/>
        <w:tblLook w:firstColumn="1" w:firstRow="1" w:lastColumn="0" w:lastRow="0" w:noHBand="0" w:noVBand="1" w:val="04A0"/>
      </w:tblPr>
      <w:tblGrid>
        <w:gridCol w:w="2340"/>
        <w:gridCol w:w="2340"/>
        <w:gridCol w:w="2340"/>
        <w:gridCol w:w="2340"/>
      </w:tblGrid>
      <w:tr>
        <w:tc>
          <w:tcPr>
            <w:tcW w:type="dxa" w:w="1800"/>
            <w:shd w:fill="1A3A5C" w:val="clear"/>
          </w:tcPr>
          <w:p>
            <w:r>
              <w:rPr>
                <w:b/>
                <w:color w:val="FFFFFF"/>
                <w:sz w:val="17"/>
              </w:rPr>
              <w:t>Feature</w:t>
            </w:r>
          </w:p>
        </w:tc>
        <w:tc>
          <w:tcPr>
            <w:tcW w:type="dxa" w:w="2664"/>
            <w:shd w:fill="1A3A5C" w:val="clear"/>
          </w:tcPr>
          <w:p>
            <w:r>
              <w:rPr>
                <w:b/>
                <w:color w:val="FFFFFF"/>
                <w:sz w:val="17"/>
              </w:rPr>
              <w:t>What the market expects</w:t>
            </w:r>
          </w:p>
        </w:tc>
        <w:tc>
          <w:tcPr>
            <w:tcW w:type="dxa" w:w="1008"/>
            <w:shd w:fill="1A3A5C" w:val="clear"/>
          </w:tcPr>
          <w:p>
            <w:r>
              <w:rPr>
                <w:b/>
                <w:color w:val="FFFFFF"/>
                <w:sz w:val="17"/>
              </w:rPr>
              <w:t>Status</w:t>
            </w:r>
          </w:p>
        </w:tc>
        <w:tc>
          <w:tcPr>
            <w:tcW w:type="dxa" w:w="3888"/>
            <w:shd w:fill="1A3A5C" w:val="clear"/>
          </w:tcPr>
          <w:p>
            <w:r>
              <w:rPr>
                <w:b/>
                <w:color w:val="FFFFFF"/>
                <w:sz w:val="17"/>
              </w:rPr>
              <w:t>Route, if not covered here</w:t>
            </w:r>
          </w:p>
        </w:tc>
      </w:tr>
      <w:tr>
        <w:tc>
          <w:tcPr>
            <w:tcW w:type="dxa" w:w="1800"/>
            <w:shd w:fill="EEF4FA" w:val="clear"/>
          </w:tcPr>
          <w:p>
            <w:r>
              <w:rPr>
                <w:b/>
                <w:sz w:val="17"/>
              </w:rPr>
              <w:t>TLS enforced by default</w:t>
            </w:r>
          </w:p>
        </w:tc>
        <w:tc>
          <w:tcPr>
            <w:tcW w:type="dxa" w:w="2664"/>
            <w:shd w:fill="EEF4FA" w:val="clear"/>
          </w:tcPr>
          <w:p>
            <w:r>
              <w:rPr>
                <w:sz w:val="17"/>
              </w:rPr>
              <w:t>No accidental plaintext.</w:t>
            </w:r>
          </w:p>
        </w:tc>
        <w:tc>
          <w:tcPr>
            <w:tcW w:type="dxa" w:w="1008"/>
            <w:shd w:fill="E2F0E7" w:val="clear"/>
          </w:tcPr>
          <w:p>
            <w:r>
              <w:rPr>
                <w:b/>
                <w:color w:val="1E802E"/>
                <w:sz w:val="17"/>
              </w:rPr>
              <w:t>Covered</w:t>
            </w:r>
          </w:p>
        </w:tc>
        <w:tc>
          <w:tcPr>
            <w:tcW w:type="dxa" w:w="3888"/>
            <w:shd w:fill="EEF4FA" w:val="clear"/>
          </w:tcPr>
          <w:p>
            <w:r>
              <w:rPr>
                <w:sz w:val="17"/>
              </w:rPr>
              <w:t>Refuses to start in the clear without an explicit opt-out that warns and names the address. TLS 1.2 floor.</w:t>
            </w:r>
          </w:p>
        </w:tc>
      </w:tr>
      <w:tr>
        <w:tc>
          <w:tcPr>
            <w:tcW w:type="dxa" w:w="1800"/>
            <w:shd w:fill="FFFFFF" w:val="clear"/>
          </w:tcPr>
          <w:p>
            <w:r>
              <w:rPr>
                <w:b/>
                <w:sz w:val="17"/>
              </w:rPr>
              <w:t>Metadata encrypted at rest</w:t>
            </w:r>
          </w:p>
        </w:tc>
        <w:tc>
          <w:tcPr>
            <w:tcW w:type="dxa" w:w="2664"/>
            <w:shd w:fill="FFFFFF" w:val="clear"/>
          </w:tcPr>
          <w:p>
            <w:r>
              <w:rPr>
                <w:sz w:val="17"/>
              </w:rPr>
              <w:t>A stolen database yields nothing.</w:t>
            </w:r>
          </w:p>
        </w:tc>
        <w:tc>
          <w:tcPr>
            <w:tcW w:type="dxa" w:w="1008"/>
            <w:shd w:fill="E2F0E7" w:val="clear"/>
          </w:tcPr>
          <w:p>
            <w:r>
              <w:rPr>
                <w:b/>
                <w:color w:val="1E802E"/>
                <w:sz w:val="17"/>
              </w:rPr>
              <w:t>Covered</w:t>
            </w:r>
          </w:p>
        </w:tc>
        <w:tc>
          <w:tcPr>
            <w:tcW w:type="dxa" w:w="3888"/>
            <w:shd w:fill="FFFFFF" w:val="clear"/>
          </w:tcPr>
          <w:p>
            <w:r>
              <w:rPr>
                <w:sz w:val="17"/>
              </w:rPr>
              <w:t>AES-256-GCM envelopes under a non-extractable HSM master key, with a post-upgrade scrub that reaches the WAL sidecar.</w:t>
            </w:r>
          </w:p>
        </w:tc>
      </w:tr>
      <w:tr>
        <w:tc>
          <w:tcPr>
            <w:tcW w:type="dxa" w:w="1800"/>
            <w:shd w:fill="EEF4FA" w:val="clear"/>
          </w:tcPr>
          <w:p>
            <w:r>
              <w:rPr>
                <w:b/>
                <w:sz w:val="17"/>
              </w:rPr>
              <w:t>Master key rotation</w:t>
            </w:r>
          </w:p>
        </w:tc>
        <w:tc>
          <w:tcPr>
            <w:tcW w:type="dxa" w:w="2664"/>
            <w:shd w:fill="EEF4FA" w:val="clear"/>
          </w:tcPr>
          <w:p>
            <w:r>
              <w:rPr>
                <w:sz w:val="17"/>
              </w:rPr>
              <w:t>Re-key the protection layer without downtime or data loss.</w:t>
            </w:r>
          </w:p>
        </w:tc>
        <w:tc>
          <w:tcPr>
            <w:tcW w:type="dxa" w:w="1008"/>
            <w:shd w:fill="E2F0E7" w:val="clear"/>
          </w:tcPr>
          <w:p>
            <w:r>
              <w:rPr>
                <w:b/>
                <w:color w:val="1E802E"/>
                <w:sz w:val="17"/>
              </w:rPr>
              <w:t>Covered</w:t>
            </w:r>
          </w:p>
        </w:tc>
        <w:tc>
          <w:tcPr>
            <w:tcW w:type="dxa" w:w="3888"/>
            <w:shd w:fill="EEF4FA" w:val="clear"/>
          </w:tcPr>
          <w:p>
            <w:r>
              <w:rPr>
                <w:sz w:val="17"/>
              </w:rPr>
              <w:t>Row-by-row re-encryption; a partly rotated store stays readable and the old key is destroyed only after the last row moves.</w:t>
            </w:r>
          </w:p>
        </w:tc>
      </w:tr>
      <w:tr>
        <w:tc>
          <w:tcPr>
            <w:tcW w:type="dxa" w:w="1800"/>
            <w:shd w:fill="FFFFFF" w:val="clear"/>
          </w:tcPr>
          <w:p>
            <w:r>
              <w:rPr>
                <w:b/>
                <w:sz w:val="17"/>
              </w:rPr>
              <w:t>Non-extractable key enforcement</w:t>
            </w:r>
          </w:p>
        </w:tc>
        <w:tc>
          <w:tcPr>
            <w:tcW w:type="dxa" w:w="2664"/>
            <w:shd w:fill="FFFFFF" w:val="clear"/>
          </w:tcPr>
          <w:p>
            <w:r>
              <w:rPr>
                <w:sz w:val="17"/>
              </w:rPr>
              <w:t>Keys that cannot be read out, enforced by hardware.</w:t>
            </w:r>
          </w:p>
        </w:tc>
        <w:tc>
          <w:tcPr>
            <w:tcW w:type="dxa" w:w="1008"/>
            <w:shd w:fill="E2F0E7" w:val="clear"/>
          </w:tcPr>
          <w:p>
            <w:r>
              <w:rPr>
                <w:b/>
                <w:color w:val="1E802E"/>
                <w:sz w:val="17"/>
              </w:rPr>
              <w:t>Covered</w:t>
            </w:r>
          </w:p>
        </w:tc>
        <w:tc>
          <w:tcPr>
            <w:tcW w:type="dxa" w:w="3888"/>
            <w:shd w:fill="FFFFFF" w:val="clear"/>
          </w:tcPr>
          <w:p>
            <w:r>
              <w:rPr>
                <w:sz w:val="17"/>
              </w:rPr>
              <w:t>Set on the token, so it holds regardless of what this server believes.</w:t>
            </w:r>
          </w:p>
        </w:tc>
      </w:tr>
      <w:tr>
        <w:tc>
          <w:tcPr>
            <w:tcW w:type="dxa" w:w="1800"/>
            <w:shd w:fill="EEF4FA" w:val="clear"/>
          </w:tcPr>
          <w:p>
            <w:r>
              <w:rPr>
                <w:b/>
                <w:sz w:val="17"/>
              </w:rPr>
              <w:t>Request bounds and DoS resistance</w:t>
            </w:r>
          </w:p>
        </w:tc>
        <w:tc>
          <w:tcPr>
            <w:tcW w:type="dxa" w:w="2664"/>
            <w:shd w:fill="EEF4FA" w:val="clear"/>
          </w:tcPr>
          <w:p>
            <w:r>
              <w:rPr>
                <w:sz w:val="17"/>
              </w:rPr>
              <w:t>Hostile input cannot exhaust the server.</w:t>
            </w:r>
          </w:p>
        </w:tc>
        <w:tc>
          <w:tcPr>
            <w:tcW w:type="dxa" w:w="1008"/>
            <w:shd w:fill="F7EDDC" w:val="clear"/>
          </w:tcPr>
          <w:p>
            <w:r>
              <w:rPr>
                <w:b/>
                <w:color w:val="8F5610"/>
                <w:sz w:val="17"/>
              </w:rPr>
              <w:t>Partial</w:t>
            </w:r>
          </w:p>
        </w:tc>
        <w:tc>
          <w:tcPr>
            <w:tcW w:type="dxa" w:w="3888"/>
            <w:shd w:fill="EEF4FA" w:val="clear"/>
          </w:tcPr>
          <w:p>
            <w:r>
              <w:rPr>
                <w:sz w:val="17"/>
              </w:rPr>
              <w:t>Request size is capped before the body is read, the TLS handshake is off the accept loop under a timeout, and TTLV nesting is bounded — but there is still no connection cap or rate limit.</w:t>
            </w:r>
          </w:p>
        </w:tc>
      </w:tr>
      <w:tr>
        <w:tc>
          <w:tcPr>
            <w:tcW w:type="dxa" w:w="1800"/>
            <w:shd w:fill="FFFFFF" w:val="clear"/>
          </w:tcPr>
          <w:p>
            <w:r>
              <w:rPr>
                <w:b/>
                <w:sz w:val="17"/>
              </w:rPr>
              <w:t>Secrets kept out of configuration</w:t>
            </w:r>
          </w:p>
        </w:tc>
        <w:tc>
          <w:tcPr>
            <w:tcW w:type="dxa" w:w="2664"/>
            <w:shd w:fill="FFFFFF" w:val="clear"/>
          </w:tcPr>
          <w:p>
            <w:r>
              <w:rPr>
                <w:sz w:val="17"/>
              </w:rPr>
              <w:t>Credentials from a secrets manager, not a file in git.</w:t>
            </w:r>
          </w:p>
        </w:tc>
        <w:tc>
          <w:tcPr>
            <w:tcW w:type="dxa" w:w="1008"/>
            <w:shd w:fill="E2F0E7" w:val="clear"/>
          </w:tcPr>
          <w:p>
            <w:r>
              <w:rPr>
                <w:b/>
                <w:color w:val="1E802E"/>
                <w:sz w:val="17"/>
              </w:rPr>
              <w:t>Covered</w:t>
            </w:r>
          </w:p>
        </w:tc>
        <w:tc>
          <w:tcPr>
            <w:tcW w:type="dxa" w:w="3888"/>
            <w:shd w:fill="FFFFFF" w:val="clear"/>
          </w:tcPr>
          <w:p>
            <w:r>
              <w:rPr>
                <w:sz w:val="17"/>
              </w:rPr>
              <w:t>PIN from file or environment; inline works, warns at every start, and is redacted from any config dump.</w:t>
            </w:r>
          </w:p>
        </w:tc>
      </w:tr>
      <w:tr>
        <w:tc>
          <w:tcPr>
            <w:tcW w:type="dxa" w:w="1800"/>
            <w:shd w:fill="EEF4FA" w:val="clear"/>
          </w:tcPr>
          <w:p>
            <w:r>
              <w:rPr>
                <w:b/>
                <w:sz w:val="17"/>
              </w:rPr>
              <w:t>Hardened service</w:t>
            </w:r>
          </w:p>
        </w:tc>
        <w:tc>
          <w:tcPr>
            <w:tcW w:type="dxa" w:w="2664"/>
            <w:shd w:fill="EEF4FA" w:val="clear"/>
          </w:tcPr>
          <w:p>
            <w:r>
              <w:rPr>
                <w:sz w:val="17"/>
              </w:rPr>
              <w:t>Least privilege at the OS level.</w:t>
            </w:r>
          </w:p>
        </w:tc>
        <w:tc>
          <w:tcPr>
            <w:tcW w:type="dxa" w:w="1008"/>
            <w:shd w:fill="E2F0E7" w:val="clear"/>
          </w:tcPr>
          <w:p>
            <w:r>
              <w:rPr>
                <w:b/>
                <w:color w:val="1E802E"/>
                <w:sz w:val="17"/>
              </w:rPr>
              <w:t>Covered</w:t>
            </w:r>
          </w:p>
        </w:tc>
        <w:tc>
          <w:tcPr>
            <w:tcW w:type="dxa" w:w="3888"/>
            <w:shd w:fill="EEF4FA" w:val="clear"/>
          </w:tcPr>
          <w:p>
            <w:r>
              <w:rPr>
                <w:sz w:val="17"/>
              </w:rPr>
              <w:t>systemd unit with no capabilities, strict filesystem protection, syscall filtering and a dedicated user.</w:t>
            </w:r>
          </w:p>
        </w:tc>
      </w:tr>
      <w:tr>
        <w:tc>
          <w:tcPr>
            <w:tcW w:type="dxa" w:w="1800"/>
            <w:shd w:fill="FFFFFF" w:val="clear"/>
          </w:tcPr>
          <w:p>
            <w:r>
              <w:rPr>
                <w:b/>
                <w:sz w:val="17"/>
              </w:rPr>
              <w:t>Sealed startup with quorum unseal</w:t>
            </w:r>
          </w:p>
        </w:tc>
        <w:tc>
          <w:tcPr>
            <w:tcW w:type="dxa" w:w="2664"/>
            <w:shd w:fill="FFFFFF" w:val="clear"/>
          </w:tcPr>
          <w:p>
            <w:r>
              <w:rPr>
                <w:sz w:val="17"/>
              </w:rPr>
              <w:t>The service starts sealed and its state stays unreadable until unsealed — by a quorum of operator-held shares, or automatically by a trusted device — and the shares can be re-issued without downtime.</w:t>
            </w:r>
          </w:p>
        </w:tc>
        <w:tc>
          <w:tcPr>
            <w:tcW w:type="dxa" w:w="1008"/>
            <w:shd w:fill="F7EDDC" w:val="clear"/>
          </w:tcPr>
          <w:p>
            <w:r>
              <w:rPr>
                <w:b/>
                <w:color w:val="8F5610"/>
                <w:sz w:val="17"/>
              </w:rPr>
              <w:t>Partial</w:t>
            </w:r>
          </w:p>
        </w:tc>
        <w:tc>
          <w:tcPr>
            <w:tcW w:type="dxa" w:w="3888"/>
            <w:shd w:fill="FFFFFF" w:val="clear"/>
          </w:tcPr>
          <w:p>
            <w:r>
              <w:rPr>
                <w:sz w:val="17"/>
              </w:rPr>
              <w:t>The auto-unseal half exists: the store is encrypted under a non-extractable HSM key, so a stolen database is inert without the token. There is no operator quorum and no re-issue ceremony — whoever holds the token PIN unseals it alone.</w:t>
            </w:r>
          </w:p>
        </w:tc>
      </w:tr>
    </w:tbl>
    <w:p>
      <w:r>
        <w:br w:type="page"/>
      </w:r>
    </w:p>
    <w:p>
      <w:pPr>
        <w:pStyle w:val="Heading1"/>
      </w:pPr>
      <w:r>
        <w:rPr>
          <w:color w:val="1A3A5C"/>
        </w:rPr>
        <w:t>10  What to build first</w:t>
      </w:r>
    </w:p>
    <w:p>
      <w:r>
        <w:rPr>
          <w:b w:val="0"/>
          <w:i w:val="0"/>
          <w:sz w:val="20"/>
        </w:rPr>
        <w:t>Ordered by how much each unlocks, not by how visible it is.</w:t>
      </w:r>
    </w:p>
    <w:p/>
    <w:p>
      <w:r>
        <w:rPr>
          <w:b/>
          <w:i w:val="0"/>
          <w:color w:val="2E6DA4"/>
          <w:sz w:val="20"/>
        </w:rPr>
        <w:t>A REST administration API</w:t>
      </w:r>
    </w:p>
    <w:p>
      <w:r>
        <w:rPr>
          <w:b w:val="0"/>
          <w:i w:val="0"/>
          <w:sz w:val="19"/>
        </w:rPr>
        <w:t>The highest-leverage single item on the page. A web console, a self-service portal, compliance reporting, SIEM-friendly export and most integrations are all clients of an API that does not exist yet — five separate gaps collapse into one piece of work. It would reuse the existing identity, RBAC and audit layers unchanged, because those already sit below the protocol rather than inside it.</w:t>
      </w:r>
    </w:p>
    <w:p/>
    <w:p>
      <w:r>
        <w:rPr>
          <w:b/>
          <w:i w:val="0"/>
          <w:color w:val="2E6DA4"/>
          <w:sz w:val="20"/>
        </w:rPr>
        <w:t>SIEM export</w:t>
      </w:r>
    </w:p>
    <w:p>
      <w:r>
        <w:rPr>
          <w:b w:val="0"/>
          <w:i w:val="0"/>
          <w:sz w:val="19"/>
        </w:rPr>
        <w:t>Small work, and the thing auditors ask for first. A syslog handler, or a shipper reading the existing JSON audit output. It does not need the REST API to be useful.</w:t>
      </w:r>
    </w:p>
    <w:p/>
    <w:p>
      <w:r>
        <w:rPr>
          <w:b/>
          <w:i w:val="0"/>
          <w:color w:val="2E6DA4"/>
          <w:sz w:val="20"/>
        </w:rPr>
        <w:t>Connection and rate limiting</w:t>
      </w:r>
    </w:p>
    <w:p>
      <w:r>
        <w:rPr>
          <w:b w:val="0"/>
          <w:i w:val="0"/>
          <w:sz w:val="19"/>
        </w:rPr>
        <w:t>The listener still takes a backlog of sixteen with no throttle, which is a denial-of-service exposure rather than a missing feature. A bounded connection semaphore and per-identity rate limiting, or a reverse proxy in front of it.</w:t>
      </w:r>
    </w:p>
    <w:p/>
    <w:p>
      <w:r>
        <w:rPr>
          <w:b/>
          <w:i w:val="0"/>
          <w:color w:val="2E6DA4"/>
          <w:sz w:val="20"/>
        </w:rPr>
        <w:t>A PostgreSQL storage backend</w:t>
      </w:r>
    </w:p>
    <w:p>
      <w:r>
        <w:rPr>
          <w:b w:val="0"/>
          <w:i w:val="0"/>
          <w:sz w:val="19"/>
        </w:rPr>
        <w:t>The blocker beneath clustering, replication and disaster recovery — none of which are protocol problems. SQLite has no multi-writer story, and the store is heavily SQLite-specific, so this is a persistence-layer rewrite rather than a driver swap.</w:t>
      </w:r>
    </w:p>
    <w:p/>
    <w:p>
      <w:r>
        <w:rPr>
          <w:b/>
          <w:i w:val="0"/>
          <w:color w:val="2E6DA4"/>
          <w:sz w:val="20"/>
        </w:rPr>
        <w:t>Multi-tenancy</w:t>
      </w:r>
    </w:p>
    <w:p>
      <w:r>
        <w:rPr>
          <w:b w:val="0"/>
          <w:i w:val="0"/>
          <w:sz w:val="19"/>
        </w:rPr>
        <w:t>A phase of work, not a flag: object names, Locate results, the audit log, quotas and the administrative CLI all assume a single tenant. Worth doing only once there is a second tenant to serve; until then, one deployment per tenant is a legitimate answer.</w:t>
      </w:r>
    </w:p>
    <w:p/>
    <w:p>
      <w:r>
        <w:rPr>
          <w:b/>
          <w:i w:val="0"/>
          <w:color w:val="2E6DA4"/>
          <w:sz w:val="20"/>
        </w:rPr>
        <w:t>Post-quantum readiness</w:t>
      </w:r>
    </w:p>
    <w:p>
      <w:r>
        <w:rPr>
          <w:b w:val="0"/>
          <w:i w:val="0"/>
          <w:sz w:val="19"/>
        </w:rPr>
        <w:t>Needs both halves and neither is here yet. A token that implements ML-KEM and ML-DSA — SoftHSM2's work is in its development tree, not in any release — and KMIP 3.0, whose draft adds the algorithms plus Encapsulate and Decapsulate. Vendor-range enumerations would work locally and interoperate with nothing, which is worse than waiting.</w:t>
      </w:r>
    </w:p>
    <w:p/>
    <w:p>
      <w:r>
        <w:rPr>
          <w:b w:val="0"/>
          <w:i/>
          <w:sz w:val="18"/>
        </w:rPr>
        <w:t>Two items are deliberately absent from this list. FIPS 140-3 and Common Criteria validation belong to the token, so the work is procurement and testing rather than development. And HSM failover is unbuilt for a reason already recorded elsewhere in this project's documentation: verifying it needs a second token, and an untested failover path invites exactly the reliance it cannot support.</w:t>
      </w:r>
    </w:p>
    <w:p>
      <w:r>
        <w:br w:type="page"/>
      </w:r>
    </w:p>
    <w:p>
      <w:pPr>
        <w:pStyle w:val="Heading1"/>
      </w:pPr>
      <w:r>
        <w:rPr>
          <w:color w:val="1A3A5C"/>
        </w:rPr>
        <w:t>11  Sources</w:t>
      </w:r>
    </w:p>
    <w:p>
      <w:r>
        <w:rPr>
          <w:b w:val="0"/>
          <w:i w:val="0"/>
          <w:sz w:val="20"/>
        </w:rPr>
        <w:t>The requirement list was assembled from published vendor capability documentation and the two NIST publications that define what a key management system owes its operator. The coverage column comes entirely from this repository.</w:t>
      </w:r>
    </w:p>
    <w:p/>
    <w:p>
      <w:r>
        <w:rPr>
          <w:b/>
          <w:i w:val="0"/>
          <w:color w:val="2E6DA4"/>
          <w:sz w:val="20"/>
        </w:rPr>
        <w:t>Products whose documentation was read</w:t>
      </w:r>
    </w:p>
    <w:tbl>
      <w:tblPr>
        <w:tblStyle w:val="TableGrid"/>
        <w:tblW w:type="auto" w:w="0"/>
        <w:tblLook w:firstColumn="1" w:firstRow="1" w:lastColumn="0" w:lastRow="0" w:noHBand="0" w:noVBand="1" w:val="04A0"/>
      </w:tblPr>
      <w:tblGrid>
        <w:gridCol w:w="4680"/>
        <w:gridCol w:w="4680"/>
      </w:tblGrid>
      <w:tr>
        <w:tc>
          <w:tcPr>
            <w:tcW w:type="dxa" w:w="3456"/>
            <w:shd w:fill="1A3A5C" w:val="clear"/>
          </w:tcPr>
          <w:p>
            <w:r>
              <w:rPr>
                <w:b/>
                <w:color w:val="FFFFFF"/>
                <w:sz w:val="17"/>
              </w:rPr>
              <w:t>Product</w:t>
            </w:r>
          </w:p>
        </w:tc>
        <w:tc>
          <w:tcPr>
            <w:tcW w:type="dxa" w:w="5904"/>
            <w:shd w:fill="1A3A5C" w:val="clear"/>
          </w:tcPr>
          <w:p>
            <w:r>
              <w:rPr>
                <w:b/>
                <w:color w:val="FFFFFF"/>
                <w:sz w:val="17"/>
              </w:rPr>
              <w:t>What it contributed</w:t>
            </w:r>
          </w:p>
        </w:tc>
      </w:tr>
      <w:tr>
        <w:tc>
          <w:tcPr>
            <w:tcW w:type="dxa" w:w="3456"/>
            <w:shd w:fill="EEF4FA" w:val="clear"/>
          </w:tcPr>
          <w:p>
            <w:r>
              <w:rPr>
                <w:sz w:val="17"/>
              </w:rPr>
              <w:t>Thales CipherTrust Manager</w:t>
            </w:r>
          </w:p>
        </w:tc>
        <w:tc>
          <w:tcPr>
            <w:tcW w:type="dxa" w:w="5904"/>
            <w:shd w:fill="EEF4FA" w:val="clear"/>
          </w:tcPr>
          <w:p>
            <w:r>
              <w:rPr>
                <w:sz w:val="17"/>
              </w:rPr>
              <w:t>HA clustering and intelligent key sharing, multi-tenancy, REST API, key lifecycle scope, deployment options.</w:t>
            </w:r>
          </w:p>
        </w:tc>
      </w:tr>
      <w:tr>
        <w:tc>
          <w:tcPr>
            <w:tcW w:type="dxa" w:w="3456"/>
            <w:shd w:fill="FFFFFF" w:val="clear"/>
          </w:tcPr>
          <w:p>
            <w:r>
              <w:rPr>
                <w:sz w:val="17"/>
              </w:rPr>
              <w:t>Fortanix Data Security Manager</w:t>
            </w:r>
          </w:p>
        </w:tc>
        <w:tc>
          <w:tcPr>
            <w:tcW w:type="dxa" w:w="5904"/>
            <w:shd w:fill="FFFFFF" w:val="clear"/>
          </w:tcPr>
          <w:p>
            <w:r>
              <w:rPr>
                <w:sz w:val="17"/>
              </w:rPr>
              <w:t>Quorum approval policy, BYOK and BYOKMS, cloud EKM and AWS XKS, tokenization, FIPS 140-2 Level 3 appliance.</w:t>
            </w:r>
          </w:p>
        </w:tc>
      </w:tr>
      <w:tr>
        <w:tc>
          <w:tcPr>
            <w:tcW w:type="dxa" w:w="3456"/>
            <w:shd w:fill="EEF4FA" w:val="clear"/>
          </w:tcPr>
          <w:p>
            <w:r>
              <w:rPr>
                <w:sz w:val="17"/>
              </w:rPr>
              <w:t>Entrust KeyControl</w:t>
            </w:r>
          </w:p>
        </w:tc>
        <w:tc>
          <w:tcPr>
            <w:tcW w:type="dxa" w:w="5904"/>
            <w:shd w:fill="EEF4FA" w:val="clear"/>
          </w:tcPr>
          <w:p>
            <w:r>
              <w:rPr>
                <w:sz w:val="17"/>
              </w:rPr>
              <w:t>Distributed isolated vaults for data residency; a compliance dashboard covering PCI DSS, HIPAA and NIST SP 800-130; automated rotation, backup and revocation; FIPS 140-3 and Common Criteria EAL4+ HSM integration.</w:t>
            </w:r>
          </w:p>
        </w:tc>
      </w:tr>
      <w:tr>
        <w:tc>
          <w:tcPr>
            <w:tcW w:type="dxa" w:w="3456"/>
            <w:shd w:fill="FFFFFF" w:val="clear"/>
          </w:tcPr>
          <w:p>
            <w:r>
              <w:rPr>
                <w:sz w:val="17"/>
              </w:rPr>
              <w:t>Utimaco Enterprise Secure Key Manager</w:t>
            </w:r>
          </w:p>
        </w:tc>
        <w:tc>
          <w:tcPr>
            <w:tcW w:type="dxa" w:w="5904"/>
            <w:shd w:fill="FFFFFF" w:val="clear"/>
          </w:tcPr>
          <w:p>
            <w:r>
              <w:rPr>
                <w:sz w:val="17"/>
              </w:rPr>
              <w:t>Enterprise deployment expectations, HA and DR framing.</w:t>
            </w:r>
          </w:p>
        </w:tc>
      </w:tr>
      <w:tr>
        <w:tc>
          <w:tcPr>
            <w:tcW w:type="dxa" w:w="3456"/>
            <w:shd w:fill="EEF4FA" w:val="clear"/>
          </w:tcPr>
          <w:p>
            <w:r>
              <w:rPr>
                <w:sz w:val="17"/>
              </w:rPr>
              <w:t>AWS KMS, Azure Key Vault Managed HSM, Google Cloud KMS</w:t>
            </w:r>
          </w:p>
        </w:tc>
        <w:tc>
          <w:tcPr>
            <w:tcW w:type="dxa" w:w="5904"/>
            <w:shd w:fill="EEF4FA" w:val="clear"/>
          </w:tcPr>
          <w:p>
            <w:r>
              <w:rPr>
                <w:sz w:val="17"/>
              </w:rPr>
              <w:t>External key store patterns — AWS XKS, Azure external key management, Google Cloud EKM — BYOK import, rotation intervals, and the FIPS levels each is validated to.</w:t>
            </w:r>
          </w:p>
        </w:tc>
      </w:tr>
      <w:tr>
        <w:tc>
          <w:tcPr>
            <w:tcW w:type="dxa" w:w="3456"/>
            <w:shd w:fill="FFFFFF" w:val="clear"/>
          </w:tcPr>
          <w:p>
            <w:r>
              <w:rPr>
                <w:sz w:val="17"/>
              </w:rPr>
              <w:t>Bloombase KeyCastle</w:t>
            </w:r>
          </w:p>
        </w:tc>
        <w:tc>
          <w:tcPr>
            <w:tcW w:type="dxa" w:w="5904"/>
            <w:shd w:fill="FFFFFF" w:val="clear"/>
          </w:tcPr>
          <w:p>
            <w:r>
              <w:rPr>
                <w:sz w:val="17"/>
              </w:rPr>
              <w:t>The appliance-era operations surface: web console, SNMP v1/v2c/v3 and syslog with rotation and archival, multiple certificate authorities, X.509 and PKCS#12 import and export, and a published interoperability programme — which is what KMIP interoperability certification looks like in practice.</w:t>
            </w:r>
          </w:p>
        </w:tc>
      </w:tr>
      <w:tr>
        <w:tc>
          <w:tcPr>
            <w:tcW w:type="dxa" w:w="3456"/>
            <w:shd w:fill="EEF4FA" w:val="clear"/>
          </w:tcPr>
          <w:p>
            <w:r>
              <w:rPr>
                <w:sz w:val="17"/>
              </w:rPr>
              <w:t>Cosmian / Eviden KMS</w:t>
            </w:r>
          </w:p>
        </w:tc>
        <w:tc>
          <w:tcPr>
            <w:tcW w:type="dxa" w:w="5904"/>
            <w:shd w:fill="EEF4FA" w:val="clear"/>
          </w:tcPr>
          <w:p>
            <w:r>
              <w:rPr>
                <w:sz w:val="17"/>
              </w:rPr>
              <w:t>KMIP in JSON as well as binary TTLV; post-quantum algorithms shipping now; an encryption oracle rather than key delivery; SQLite, PostgreSQL, MySQL, MariaDB and Redis backends; OpenTelemetry; OpenAPI 3.1 with an interactive explorer; and deployment inside a confidential VM.</w:t>
            </w:r>
          </w:p>
        </w:tc>
      </w:tr>
      <w:tr>
        <w:tc>
          <w:tcPr>
            <w:tcW w:type="dxa" w:w="3456"/>
            <w:shd w:fill="FFFFFF" w:val="clear"/>
          </w:tcPr>
          <w:p>
            <w:r>
              <w:rPr>
                <w:sz w:val="17"/>
              </w:rPr>
              <w:t>Securosys CyberVault KMS</w:t>
            </w:r>
          </w:p>
        </w:tc>
        <w:tc>
          <w:tcPr>
            <w:tcW w:type="dxa" w:w="5904"/>
            <w:shd w:fill="FFFFFF" w:val="clear"/>
          </w:tcPr>
          <w:p>
            <w:r>
              <w:rPr>
                <w:sz w:val="17"/>
              </w:rPr>
              <w:t>Smart Key Attributes — quorum approval, time-locks and timeouts bound to the key and enforced inside the HSM rather than by the management server; certificate discovery and expiry monitoring; posture checks for unused keys and weak configurations; ML-KEM, ML-DSA, SLH-DSA and LMS; REST, KMIP, PKCS#11, JCE and CNG side by side.</w:t>
            </w:r>
          </w:p>
        </w:tc>
      </w:tr>
      <w:tr>
        <w:tc>
          <w:tcPr>
            <w:tcW w:type="dxa" w:w="3456"/>
            <w:shd w:fill="EEF4FA" w:val="clear"/>
          </w:tcPr>
          <w:p>
            <w:r>
              <w:rPr>
                <w:sz w:val="17"/>
              </w:rPr>
              <w:t>HashiCorp Vault</w:t>
            </w:r>
          </w:p>
        </w:tc>
        <w:tc>
          <w:tcPr>
            <w:tcW w:type="dxa" w:w="5904"/>
            <w:shd w:fill="EEF4FA" w:val="clear"/>
          </w:tcPr>
          <w:p>
            <w:r>
              <w:rPr>
                <w:sz w:val="17"/>
              </w:rPr>
              <w:t>The vault architecture: a service that starts sealed and unseals on a quorum of Shamir shares or a trusted device; namespaces with their own policies; identity entities and groups; rate-limit quotas; performance and disaster-recovery replication; encryption as a service through the transit engine; and KMIP as one more front end.</w:t>
            </w:r>
          </w:p>
        </w:tc>
      </w:tr>
    </w:tbl>
    <w:p/>
    <w:p>
      <w:r>
        <w:rPr>
          <w:b/>
          <w:i w:val="0"/>
          <w:color w:val="2E6DA4"/>
          <w:sz w:val="20"/>
        </w:rPr>
        <w:t>Standards and specifications</w:t>
      </w:r>
    </w:p>
    <w:tbl>
      <w:tblPr>
        <w:tblStyle w:val="TableGrid"/>
        <w:tblW w:type="auto" w:w="0"/>
        <w:tblLook w:firstColumn="1" w:firstRow="1" w:lastColumn="0" w:lastRow="0" w:noHBand="0" w:noVBand="1" w:val="04A0"/>
      </w:tblPr>
      <w:tblGrid>
        <w:gridCol w:w="4680"/>
        <w:gridCol w:w="4680"/>
      </w:tblGrid>
      <w:tr>
        <w:tc>
          <w:tcPr>
            <w:tcW w:type="dxa" w:w="3456"/>
            <w:shd w:fill="1A3A5C" w:val="clear"/>
          </w:tcPr>
          <w:p>
            <w:r>
              <w:rPr>
                <w:b/>
                <w:color w:val="FFFFFF"/>
                <w:sz w:val="17"/>
              </w:rPr>
              <w:t>Source</w:t>
            </w:r>
          </w:p>
        </w:tc>
        <w:tc>
          <w:tcPr>
            <w:tcW w:type="dxa" w:w="5904"/>
            <w:shd w:fill="1A3A5C" w:val="clear"/>
          </w:tcPr>
          <w:p>
            <w:r>
              <w:rPr>
                <w:b/>
                <w:color w:val="FFFFFF"/>
                <w:sz w:val="17"/>
              </w:rPr>
              <w:t>What it contributed</w:t>
            </w:r>
          </w:p>
        </w:tc>
      </w:tr>
      <w:tr>
        <w:tc>
          <w:tcPr>
            <w:tcW w:type="dxa" w:w="3456"/>
            <w:shd w:fill="EEF4FA" w:val="clear"/>
          </w:tcPr>
          <w:p>
            <w:r>
              <w:rPr>
                <w:sz w:val="17"/>
              </w:rPr>
              <w:t>OASIS KMIP 2.1, and the 3.0 draft (CSD02, May 2026)</w:t>
            </w:r>
          </w:p>
        </w:tc>
        <w:tc>
          <w:tcPr>
            <w:tcW w:type="dxa" w:w="5904"/>
            <w:shd w:fill="EEF4FA" w:val="clear"/>
          </w:tcPr>
          <w:p>
            <w:r>
              <w:rPr>
                <w:sz w:val="17"/>
              </w:rPr>
              <w:t>Protocol scope, and what the protocol deliberately leaves out. The 3.0 draft is where ML-KEM, ML-DSA, SLH-DSA and the Encapsulate / Decapsulate operations arrive.</w:t>
            </w:r>
          </w:p>
        </w:tc>
      </w:tr>
      <w:tr>
        <w:tc>
          <w:tcPr>
            <w:tcW w:type="dxa" w:w="3456"/>
            <w:shd w:fill="FFFFFF" w:val="clear"/>
          </w:tcPr>
          <w:p>
            <w:r>
              <w:rPr>
                <w:sz w:val="17"/>
              </w:rPr>
              <w:t>NIST SP 800-57 Part 1</w:t>
            </w:r>
          </w:p>
        </w:tc>
        <w:tc>
          <w:tcPr>
            <w:tcW w:type="dxa" w:w="5904"/>
            <w:shd w:fill="FFFFFF" w:val="clear"/>
          </w:tcPr>
          <w:p>
            <w:r>
              <w:rPr>
                <w:sz w:val="17"/>
              </w:rPr>
              <w:t>Key lifecycle states and cryptoperiod expectations.</w:t>
            </w:r>
          </w:p>
        </w:tc>
      </w:tr>
      <w:tr>
        <w:tc>
          <w:tcPr>
            <w:tcW w:type="dxa" w:w="3456"/>
            <w:shd w:fill="EEF4FA" w:val="clear"/>
          </w:tcPr>
          <w:p>
            <w:r>
              <w:rPr>
                <w:sz w:val="17"/>
              </w:rPr>
              <w:t>NIST SP 800-152 (CKMS profile)</w:t>
            </w:r>
          </w:p>
        </w:tc>
        <w:tc>
          <w:tcPr>
            <w:tcW w:type="dxa" w:w="5904"/>
            <w:shd w:fill="EEF4FA" w:val="clear"/>
          </w:tcPr>
          <w:p>
            <w:r>
              <w:rPr>
                <w:sz w:val="17"/>
              </w:rPr>
              <w:t>Backup, recovery, audit and disaster-recovery requirements.</w:t>
            </w:r>
          </w:p>
        </w:tc>
      </w:tr>
      <w:tr>
        <w:tc>
          <w:tcPr>
            <w:tcW w:type="dxa" w:w="3456"/>
            <w:shd w:fill="FFFFFF" w:val="clear"/>
          </w:tcPr>
          <w:p>
            <w:r>
              <w:rPr>
                <w:sz w:val="17"/>
              </w:rPr>
              <w:t>This repository at 2964dee</w:t>
            </w:r>
          </w:p>
        </w:tc>
        <w:tc>
          <w:tcPr>
            <w:tcW w:type="dxa" w:w="5904"/>
            <w:shd w:fill="FFFFFF" w:val="clear"/>
          </w:tcPr>
          <w:p>
            <w:r>
              <w:rPr>
                <w:sz w:val="17"/>
              </w:rPr>
              <w:t>Every entry in the coverage and route columns.</w:t>
            </w:r>
          </w:p>
        </w:tc>
      </w:tr>
    </w:tbl>
    <w:p/>
    <w:p>
      <w:r>
        <w:rPr>
          <w:b w:val="0"/>
          <w:i/>
          <w:sz w:val="18"/>
        </w:rPr>
        <w:t>A note on method, since it bears on how much weight the requirement list carries. The nine products above were chosen because they span the category: software-first platforms, appliance vendors, an HSM-centric control plane, a source-available implementation, a vault architecture, and the three cloud services. Their published documentation describes what each vendor chooses to advertise, so the list is a fair picture of what the market expects a KMS to do and not a substitute for a hands-on evaluation of any one product. Where several vendors describe the same capability in different words, it appears here once.</w:t>
      </w:r>
    </w:p>
    <w:p/>
    <w:p>
      <w:r>
        <w:rPr>
          <w:b w:val="0"/>
          <w:i/>
          <w:sz w:val="18"/>
        </w:rPr>
        <w:t>The four products added in this revision were researched through indexed summaries of their documentation rather than the pages themselves: the network policy in the environment this document is built in blocks all four vendor documentation domains. That is a real limit on depth and it is recorded here rather than glossed over — it is also why the provenance document marks only what a source's documentation was actually seen to name.</w:t>
      </w:r>
    </w:p>
    <w:p/>
    <w:p>
      <w:r>
        <w:rPr>
          <w:b w:val="0"/>
          <w:i/>
          <w:sz w:val="18"/>
        </w:rPr>
        <w:t>One capability was read and deliberately not made a requirement. Securosys ships a conversational assistant that generates and manages keys from natural-language instructions. It is a real feature, but a requirement list is a statement about what a key management system owes its operator, and an assistant that can issue privileged operations is not yet something the category expects — or has agreed how to audit. It is noted here so the omission is visible as a judgement rather than an oversight.</w:t>
      </w:r>
    </w:p>
    <w:p/>
    <w:p>
      <w:r>
        <w:rPr>
          <w:b w:val="0"/>
          <w:i/>
          <w:sz w:val="18"/>
        </w:rPr>
        <w:t>This document is generated. Re-run generate_kms_gap_matrix.py after closing a gap, and update ASSESSED_AT at the top of that file so a reader can tell whether the coverage column still describes the code.</w:t>
      </w:r>
    </w:p>
    <w:p/>
    <w:p>
      <w:pPr>
        <w:jc w:val="center"/>
      </w:pPr>
      <w:r>
        <w:rPr>
          <w:color w:val="808080"/>
          <w:sz w:val="16"/>
        </w:rPr>
        <w:t>KMIP on PKCS#11 — Enterprise KMS Gap Matrix — 12 September 2026</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