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14 steps in 5 stages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50 of 82 assessed features are short of full coverage</w:t>
            </w:r>
          </w:p>
        </w:tc>
      </w:tr>
      <w:tr>
        <w:tc>
          <w:tcPr>
            <w:tcW w:type="dxa" w:w="2304"/>
            <w:shd w:fill="1A3A5C" w:val="clear"/>
          </w:tcPr>
          <w:p>
            <w:r>
              <w:rPr>
                <w:b/>
                <w:color w:val="FFFFFF"/>
                <w:sz w:val="18"/>
              </w:rPr>
              <w:t>This plan closes</w:t>
            </w:r>
          </w:p>
        </w:tc>
        <w:tc>
          <w:tcPr>
            <w:tcW w:type="dxa" w:w="7056"/>
          </w:tcPr>
          <w:p>
            <w:r>
              <w:rPr>
                <w:sz w:val="18"/>
              </w:rPr>
              <w:t>34 of those 50, across 14 steps</w:t>
            </w:r>
          </w:p>
        </w:tc>
      </w:tr>
      <w:tr>
        <w:tc>
          <w:tcPr>
            <w:tcW w:type="dxa" w:w="2304"/>
            <w:shd w:fill="1A3A5C" w:val="clear"/>
          </w:tcPr>
          <w:p>
            <w:r>
              <w:rPr>
                <w:b/>
                <w:color w:val="FFFFFF"/>
                <w:sz w:val="18"/>
              </w:rPr>
              <w:t>Deliberately not closed</w:t>
            </w:r>
          </w:p>
        </w:tc>
        <w:tc>
          <w:tcPr>
            <w:tcW w:type="dxa" w:w="7056"/>
          </w:tcPr>
          <w:p>
            <w:r>
              <w:rPr>
                <w:sz w:val="18"/>
              </w:rPr>
              <w:t>16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12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82 assessed features, 50 are short of full coverage today — 18 partial and 32 absent. The 14 steps close 34 of them. The remaining 16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4</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3</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7</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r>
        <w:tc>
          <w:tcPr>
            <w:tcW w:type="dxa" w:w="864"/>
            <w:shd w:fill="EEF4FA" w:val="clear"/>
          </w:tcPr>
          <w:p>
            <w:r>
              <w:rPr>
                <w:sz w:val="17"/>
              </w:rPr>
              <w:t>13</w:t>
            </w:r>
          </w:p>
        </w:tc>
        <w:tc>
          <w:tcPr>
            <w:tcW w:type="dxa" w:w="1008"/>
            <w:shd w:fill="EEF4FA" w:val="clear"/>
          </w:tcPr>
          <w:p>
            <w:r>
              <w:rPr>
                <w:sz w:val="17"/>
              </w:rPr>
              <w:t>E</w:t>
            </w:r>
          </w:p>
        </w:tc>
        <w:tc>
          <w:tcPr>
            <w:tcW w:type="dxa" w:w="5616"/>
            <w:shd w:fill="EEF4FA" w:val="clear"/>
          </w:tcPr>
          <w:p>
            <w:r>
              <w:rPr>
                <w:sz w:val="17"/>
              </w:rPr>
              <w:t>KMIP JSON and XML encodings</w:t>
            </w:r>
          </w:p>
        </w:tc>
        <w:tc>
          <w:tcPr>
            <w:tcW w:type="dxa" w:w="1872"/>
            <w:shd w:fill="EEF4FA" w:val="clear"/>
          </w:tcPr>
          <w:p>
            <w:r>
              <w:rPr>
                <w:sz w:val="17"/>
              </w:rPr>
              <w:t>1</w:t>
            </w:r>
          </w:p>
        </w:tc>
      </w:tr>
      <w:tr>
        <w:tc>
          <w:tcPr>
            <w:tcW w:type="dxa" w:w="864"/>
            <w:shd w:fill="FFFFFF" w:val="clear"/>
          </w:tcPr>
          <w:p>
            <w:r>
              <w:rPr>
                <w:sz w:val="17"/>
              </w:rPr>
              <w:t>14</w:t>
            </w:r>
          </w:p>
        </w:tc>
        <w:tc>
          <w:tcPr>
            <w:tcW w:type="dxa" w:w="1008"/>
            <w:shd w:fill="FFFFFF" w:val="clear"/>
          </w:tcPr>
          <w:p>
            <w:r>
              <w:rPr>
                <w:sz w:val="17"/>
              </w:rPr>
              <w:t>E</w:t>
            </w:r>
          </w:p>
        </w:tc>
        <w:tc>
          <w:tcPr>
            <w:tcW w:type="dxa" w:w="5616"/>
            <w:shd w:fill="FFFFFF" w:val="clear"/>
          </w:tcPr>
          <w:p>
            <w:r>
              <w:rPr>
                <w:sz w:val="17"/>
              </w:rPr>
              <w:t>Certificate discovery and expiry monitoring</w:t>
            </w:r>
          </w:p>
        </w:tc>
        <w:tc>
          <w:tcPr>
            <w:tcW w:type="dxa" w:w="1872"/>
            <w:shd w:fill="FFFFFF" w:val="clear"/>
          </w:tcPr>
          <w:p>
            <w:r>
              <w:rPr>
                <w:sz w:val="17"/>
              </w:rPr>
              <w:t>1</w:t>
            </w:r>
          </w:p>
        </w:tc>
      </w:tr>
    </w:tbl>
    <w:p/>
    <w:p>
      <w:r>
        <w:rPr>
          <w:b/>
          <w:i w:val="0"/>
          <w:color w:val="2E6DA4"/>
          <w:sz w:val="20"/>
        </w:rPr>
        <w:t>The 5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r>
        <w:tc>
          <w:tcPr>
            <w:tcW w:type="dxa" w:w="1008"/>
            <w:shd w:fill="EEF4FA" w:val="clear"/>
          </w:tcPr>
          <w:p>
            <w:r>
              <w:rPr>
                <w:sz w:val="17"/>
              </w:rPr>
              <w:t>E</w:t>
            </w:r>
          </w:p>
        </w:tc>
        <w:tc>
          <w:tcPr>
            <w:tcW w:type="dxa" w:w="3168"/>
            <w:shd w:fill="EEF4FA" w:val="clear"/>
          </w:tcPr>
          <w:p>
            <w:r>
              <w:rPr>
                <w:sz w:val="17"/>
              </w:rPr>
              <w:t>Protocol and estate reach</w:t>
            </w:r>
          </w:p>
        </w:tc>
        <w:tc>
          <w:tcPr>
            <w:tcW w:type="dxa" w:w="5184"/>
            <w:shd w:fill="EEF4FA" w:val="clear"/>
          </w:tcPr>
          <w:p>
            <w:r>
              <w:rPr>
                <w:sz w:val="17"/>
              </w:rPr>
              <w:t>Additive, independent of D, verifiable here.</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8F5610"/>
          <w:sz w:val="19"/>
        </w:rPr>
        <w:t>Impact on the existing design</w:t>
      </w:r>
    </w:p>
    <w:p>
      <w:pPr>
        <w:pStyle w:val="ListBullet"/>
        <w:ind w:left="461"/>
      </w:pPr>
      <w:r>
        <w:rPr>
          <w:sz w:val="19"/>
        </w:rPr>
        <w:t>OperationDispatcher loses its cross-cutting logic and becomes a codec: decode, call the service, encode.</w:t>
      </w:r>
    </w:p>
    <w:p>
      <w:pPr>
        <w:pStyle w:val="ListBullet"/>
        <w:ind w:left="461"/>
      </w:pPr>
      <w:r>
        <w:rPr>
          <w:sz w:val="19"/>
        </w:rPr>
        <w:t>access_control.py and dual_control.py are invoked from one place instead of being wired into a transport.</w:t>
      </w:r>
    </w:p>
    <w:p>
      <w:pPr>
        <w:pStyle w:val="ListBullet"/>
        <w:ind w:left="461"/>
      </w:pPr>
      <w:r>
        <w:rPr>
          <w:sz w:val="19"/>
        </w:rPr>
        <w:t>No schema change, no configuration change, nothing on the wire changes.</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8F5610"/>
          <w:sz w:val="19"/>
        </w:rPr>
        <w:t>Impact on the existing design</w:t>
      </w:r>
    </w:p>
    <w:p>
      <w:pPr>
        <w:pStyle w:val="ListBullet"/>
        <w:ind w:left="461"/>
      </w:pPr>
      <w:r>
        <w:rPr>
          <w:sz w:val="19"/>
        </w:rPr>
        <w:t>metadata/store.py gains paged query methods; the existing locate() is untouched, so the KMIP handler is unaffected.</w:t>
      </w:r>
    </w:p>
    <w:p>
      <w:pPr>
        <w:pStyle w:val="ListBullet"/>
        <w:ind w:left="461"/>
      </w:pPr>
      <w:r>
        <w:rPr>
          <w:sz w:val="19"/>
        </w:rPr>
        <w:t>New indexes on the sortable columns — the first schema migration since Phase 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8F5610"/>
          <w:sz w:val="19"/>
        </w:rPr>
        <w:t>Impact on the existing design</w:t>
      </w:r>
    </w:p>
    <w:p>
      <w:pPr>
        <w:pStyle w:val="ListBullet"/>
        <w:ind w:left="461"/>
      </w:pPr>
      <w:r>
        <w:rPr>
          <w:sz w:val="19"/>
        </w:rPr>
        <w:t>A second listener and a second authenticated entry point: the security surface roughly doubles.</w:t>
      </w:r>
    </w:p>
    <w:p>
      <w:pPr>
        <w:pStyle w:val="ListBullet"/>
        <w:ind w:left="461"/>
      </w:pPr>
      <w:r>
        <w:rPr>
          <w:sz w:val="19"/>
        </w:rPr>
        <w:t>New config section, new tables for tokens, new failure modes the KMIP path never had (429, CSRF).</w:t>
      </w:r>
    </w:p>
    <w:p>
      <w:pPr>
        <w:pStyle w:val="ListBullet"/>
        <w:ind w:left="461"/>
      </w:pPr>
      <w:r>
        <w:rPr>
          <w:sz w:val="19"/>
        </w:rPr>
        <w:t>observability.py keeps its own unauthenticated port, deliberately separate.</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8F5610"/>
          <w:sz w:val="19"/>
        </w:rPr>
        <w:t>Impact on the existing design</w:t>
      </w:r>
    </w:p>
    <w:p>
      <w:pPr>
        <w:pStyle w:val="ListBullet"/>
        <w:ind w:left="461"/>
      </w:pPr>
      <w:r>
        <w:rPr>
          <w:sz w:val="19"/>
        </w:rPr>
        <w:t>Read paths gain an HTTP representation; the KMIP path does not change at all.</w:t>
      </w:r>
    </w:p>
    <w:p>
      <w:pPr>
        <w:pStyle w:val="ListBullet"/>
        <w:ind w:left="461"/>
      </w:pPr>
      <w:r>
        <w:rPr>
          <w:sz w:val="19"/>
        </w:rPr>
        <w:t>The 404-versus-403 decision becomes an API contract every later step must preserve.</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~1,350 lines, ~68 tests.</w:t>
      </w:r>
    </w:p>
    <w:p>
      <w:r>
        <w:rPr>
          <w:b/>
          <w:i w:val="0"/>
          <w:sz w:val="21"/>
        </w:rPr>
        <w:t>Lifecycle and delegation over REST, with governance applying by construction rather than by remembering.</w:t>
      </w:r>
    </w:p>
    <w:p/>
    <w:p>
      <w:r>
        <w:rPr>
          <w:b/>
          <w:i w:val="0"/>
          <w:color w:val="8F5610"/>
          <w:sz w:val="19"/>
        </w:rPr>
        <w:t>Impact on the existing design</w:t>
      </w:r>
    </w:p>
    <w:p>
      <w:pPr>
        <w:pStyle w:val="ListBullet"/>
        <w:ind w:left="461"/>
      </w:pPr>
      <w:r>
        <w:rPr>
          <w:sz w:val="19"/>
        </w:rPr>
        <w:t>Write paths over HTTP, with governance applied through the guard rather than re-implemented beside it.</w:t>
      </w:r>
    </w:p>
    <w:p>
      <w:pPr>
        <w:pStyle w:val="ListBullet"/>
        <w:ind w:left="461"/>
      </w:pPr>
      <w:r>
        <w:rPr>
          <w:sz w:val="19"/>
        </w:rPr>
        <w:t>lifecycle/governance.py extends to key pairs, create_split_key gains a second method, and the service layer gains transactions.</w:t>
      </w:r>
    </w:p>
    <w:p>
      <w:pPr>
        <w:pStyle w:val="ListBullet"/>
        <w:ind w:left="461"/>
      </w:pPr>
      <w:r>
        <w:rPr>
          <w:sz w:val="19"/>
        </w:rPr>
        <w:t>The server acquires a data plane. Until now every caller fetched a key reference and asked the token to act on it; now applications send data and never see a key at all.</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Pr>
        <w:pStyle w:val="ListBullet"/>
        <w:ind w:left="461"/>
      </w:pPr>
      <w:r>
        <w:rPr>
          <w:sz w:val="19"/>
        </w:rPr>
        <w:t>The data plane beside the control plane: POST /keys/{uid}/encrypt | decrypt | sign | mac, and /datakey returning a fresh key both wrapped under the named key and in the clear — the surface applications actually consume, and the primitives already run inside the token.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Pr>
        <w:pStyle w:val="ListBullet"/>
        <w:ind w:left="461"/>
      </w:pPr>
      <w:r>
        <w:rPr>
          <w:sz w:val="19"/>
        </w:rPr>
        <w:t>The crypto endpoints are thin: they translate JSON to the arguments the existing Encrypt, Decrypt, Sign and MAC handlers already take. Re-wrap is decrypt-then-encrypt under the successor key, inside one guarded call so plaintext never leaves the process.</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Pr>
        <w:pStyle w:val="ListBullet"/>
        <w:ind w:left="461"/>
      </w:pPr>
      <w:r>
        <w:rPr>
          <w:sz w:val="19"/>
        </w:rPr>
        <w:t>Ciphertext from the REST encrypt endpoint decrypts over KMIP and the reverse — one test body, both transports, so the two cannot diverge.</w:t>
      </w:r>
    </w:p>
    <w:p>
      <w:pPr>
        <w:pStyle w:val="ListBullet"/>
        <w:ind w:left="461"/>
      </w:pPr>
      <w:r>
        <w:rPr>
          <w:sz w:val="19"/>
        </w:rPr>
        <w:t>A data key returns a wrapped form that unwraps to the plaintext form; re-wrap to the successor key yields the original plaintext and the old ciphertext no longer decrypts under the new version.</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pPr>
        <w:pStyle w:val="ListBullet"/>
        <w:ind w:left="461"/>
      </w:pPr>
      <w:r>
        <w:rPr>
          <w:sz w:val="19"/>
        </w:rPr>
        <w:t>Encryption as a service (data-plane API)</w:t>
      </w:r>
    </w:p>
    <w:p>
      <w:r>
        <w:br w:type="page"/>
      </w:r>
    </w:p>
    <w:p>
      <w:pPr>
        <w:pStyle w:val="Heading2"/>
      </w:pPr>
      <w:r>
        <w:rPr>
          <w:color w:val="1A3A5C"/>
        </w:rPr>
        <w:t>Step 6 — Administration, OpenAPI, separation of duties</w:t>
      </w:r>
    </w:p>
    <w:p>
      <w:r>
        <w:rPr>
          <w:rFonts w:ascii="Courier New" w:hAnsi="Courier New"/>
          <w:color w:val="2E6DA4"/>
          <w:sz w:val="17"/>
        </w:rPr>
        <w:t>Stage B   ·   ~900 lines, ~50 tests.</w:t>
      </w:r>
    </w:p>
    <w:p>
      <w:r>
        <w:rPr>
          <w:b/>
          <w:i w:val="0"/>
          <w:sz w:val="21"/>
        </w:rPr>
        <w:t>Complete the API surface and split the administrator so no one role can both grant access and use it.</w:t>
      </w:r>
    </w:p>
    <w:p/>
    <w:p>
      <w:r>
        <w:rPr>
          <w:b/>
          <w:i w:val="0"/>
          <w:color w:val="8F5610"/>
          <w:sz w:val="19"/>
        </w:rPr>
        <w:t>Impact on the existing design</w:t>
      </w:r>
    </w:p>
    <w:p>
      <w:pPr>
        <w:pStyle w:val="ListBullet"/>
        <w:ind w:left="461"/>
      </w:pPr>
      <w:r>
        <w:rPr>
          <w:sz w:val="19"/>
        </w:rPr>
        <w:t>The admin role splits in two — the first change to the authorization model since Phase 5, and the first needing a migration for existing deployments.</w:t>
      </w:r>
    </w:p>
    <w:p>
      <w:pPr>
        <w:pStyle w:val="ListBullet"/>
        <w:ind w:left="461"/>
      </w:pPr>
      <w:r>
        <w:rPr>
          <w:sz w:val="19"/>
        </w:rPr>
        <w:t>An OpenAPI document becomes a build artefact CI has to keep in step with the router.</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Pr>
        <w:pStyle w:val="ListBullet"/>
        <w:ind w:left="461"/>
      </w:pPr>
      <w:r>
        <w:rPr>
          <w:sz w:val="19"/>
        </w:rPr>
        <w:t>An interactive explorer served from that document, and client libraries generated from it in CI rather than written by hand, for the same reason: anything maintained separately from the router drifts from it.</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A client generated from the document round-trips a create, read and delete against a live server, so the specification is proved usable and not merely well-formed.</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pPr>
        <w:pStyle w:val="ListBullet"/>
        <w:ind w:left="461"/>
      </w:pPr>
      <w:r>
        <w:rPr>
          <w:sz w:val="19"/>
        </w:rPr>
        <w:t>OpenAPI specification and generated clients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8F5610"/>
          <w:sz w:val="19"/>
        </w:rPr>
        <w:t>Impact on the existing design</w:t>
      </w:r>
    </w:p>
    <w:p>
      <w:pPr>
        <w:pStyle w:val="ListBullet"/>
        <w:ind w:left="461"/>
      </w:pPr>
      <w:r>
        <w:rPr>
          <w:sz w:val="19"/>
        </w:rPr>
        <w:t>A front-end build enters the repository — the first artefact that is neither Python nor documentation tooling.</w:t>
      </w:r>
    </w:p>
    <w:p>
      <w:pPr>
        <w:pStyle w:val="ListBullet"/>
        <w:ind w:left="461"/>
      </w:pPr>
      <w:r>
        <w:rPr>
          <w:sz w:val="19"/>
        </w:rPr>
        <w:t>Content Security Policy and cookie handling become part of the security review surface.</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8F5610"/>
          <w:sz w:val="19"/>
        </w:rPr>
        <w:t>Impact on the existing design</w:t>
      </w:r>
    </w:p>
    <w:p>
      <w:pPr>
        <w:pStyle w:val="ListBullet"/>
        <w:ind w:left="461"/>
      </w:pPr>
      <w:r>
        <w:rPr>
          <w:sz w:val="19"/>
        </w:rPr>
        <w:t>Identity resolution gains a third path beside password and mTLS certificate.</w:t>
      </w:r>
    </w:p>
    <w:p>
      <w:pPr>
        <w:pStyle w:val="ListBullet"/>
        <w:ind w:left="461"/>
      </w:pPr>
      <w:r>
        <w:rPr>
          <w:sz w:val="19"/>
        </w:rPr>
        <w:t>The guard gains a policy evaluation point — the first change to its order of checks since step 1.</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~1,350 lines, ~60 tests.</w:t>
      </w:r>
    </w:p>
    <w:p>
      <w:r>
        <w:rPr>
          <w:b/>
          <w:i w:val="0"/>
          <w:sz w:val="21"/>
        </w:rPr>
        <w:t>Make the audit trail survive an attacker with file access, and produce the evidence an auditor asks for.</w:t>
      </w:r>
    </w:p>
    <w:p/>
    <w:p>
      <w:r>
        <w:rPr>
          <w:b/>
          <w:i w:val="0"/>
          <w:color w:val="8F5610"/>
          <w:sz w:val="19"/>
        </w:rPr>
        <w:t>Impact on the existing design</w:t>
      </w:r>
    </w:p>
    <w:p>
      <w:pPr>
        <w:pStyle w:val="ListBullet"/>
        <w:ind w:left="461"/>
      </w:pPr>
      <w:r>
        <w:rPr>
          <w:sz w:val="19"/>
        </w:rPr>
        <w:t>The audit log stops being purely local: it gains an outbound path and an external dependency.</w:t>
      </w:r>
    </w:p>
    <w:p>
      <w:pPr>
        <w:pStyle w:val="ListBullet"/>
        <w:ind w:left="461"/>
      </w:pPr>
      <w:r>
        <w:rPr>
          <w:sz w:val="19"/>
        </w:rPr>
        <w:t>Worker 0 takes on a third single-instance responsibility beside the scheduler and the metrics endpoint.</w:t>
      </w:r>
    </w:p>
    <w:p>
      <w:pPr>
        <w:pStyle w:val="ListBullet"/>
        <w:ind w:left="461"/>
      </w:pPr>
      <w:r>
        <w:rPr>
          <w:sz w:val="19"/>
        </w:rPr>
        <w:t>Startup gains a sealed state. Every health check, every deployment script and every operator runbook has to account for a service that is running but not yet open.</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producing a signed transcript of what was done, by whom and witnessed by whom — extended to the token PIN itself, split into operator-held shares so the service starts sealed and a quorum opens it. Today one PIN holder is the whole ceremony.</w:t>
      </w:r>
    </w:p>
    <w:p>
      <w:pPr>
        <w:pStyle w:val="ListBullet"/>
        <w:ind w:left="461"/>
      </w:pPr>
      <w:r>
        <w:rPr>
          <w:sz w:val="19"/>
        </w:rPr>
        <w:t>OpenTelemetry spans around every guarded operation and token call. Metrics say a request was slow; a span says which PKCS#11 call it waited on.</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Pr>
        <w:pStyle w:val="ListBullet"/>
        <w:ind w:left="461"/>
      </w:pPr>
      <w:r>
        <w:rPr>
          <w:sz w:val="19"/>
        </w:rPr>
        <w:t>Any k of n unseal shares start the service and any k-1 leave it sealed; a sealed service answers /health and refuses every KMIP and REST operation rather than failing obscurely deep in the shim.</w:t>
      </w:r>
    </w:p>
    <w:p>
      <w:pPr>
        <w:pStyle w:val="ListBullet"/>
        <w:ind w:left="461"/>
      </w:pPr>
      <w:r>
        <w:rPr>
          <w:sz w:val="19"/>
        </w:rPr>
        <w:t>A traced request carries one trace id from the HTTP layer through the guard to the token call, and a sampled-out request costs no spans.</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pPr>
        <w:pStyle w:val="ListBullet"/>
        <w:ind w:left="461"/>
      </w:pPr>
      <w:r>
        <w:rPr>
          <w:sz w:val="19"/>
        </w:rPr>
        <w:t>Distributed tracing</w:t>
      </w:r>
    </w:p>
    <w:p>
      <w:pPr>
        <w:pStyle w:val="ListBullet"/>
        <w:ind w:left="461"/>
      </w:pPr>
      <w:r>
        <w:rPr>
          <w:sz w:val="19"/>
        </w:rPr>
        <w:t>Sealed startup with quorum unseal</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8F5610"/>
          <w:sz w:val="19"/>
        </w:rPr>
        <w:t>Impact on the existing design</w:t>
      </w:r>
    </w:p>
    <w:p>
      <w:pPr>
        <w:pStyle w:val="ListBullet"/>
        <w:ind w:left="461"/>
      </w:pPr>
      <w:r>
        <w:rPr>
          <w:sz w:val="19"/>
        </w:rPr>
        <w:t>metadata/store.py stops being SQLite and becomes an interface with two implementations — the largest structural change in the plan.</w:t>
      </w:r>
    </w:p>
    <w:p>
      <w:pPr>
        <w:pStyle w:val="ListBullet"/>
        <w:ind w:left="461"/>
      </w:pPr>
      <w:r>
        <w:rPr>
          <w:sz w:val="19"/>
        </w:rPr>
        <w:t>Every SQLite-specific mechanism needs a deliberate equivalent, including the lock that stops the audit chain forking.</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8F5610"/>
          <w:sz w:val="19"/>
        </w:rPr>
        <w:t>Impact on the existing design</w:t>
      </w:r>
    </w:p>
    <w:p>
      <w:pPr>
        <w:pStyle w:val="ListBullet"/>
        <w:ind w:left="461"/>
      </w:pPr>
      <w:r>
        <w:rPr>
          <w:sz w:val="19"/>
        </w:rPr>
        <w:t>Single-process assumptions become cluster-wide ones: the scheduler needs a leader lock, not a worker index.</w:t>
      </w:r>
    </w:p>
    <w:p>
      <w:pPr>
        <w:pStyle w:val="ListBullet"/>
        <w:ind w:left="461"/>
      </w:pPr>
      <w:r>
        <w:rPr>
          <w:sz w:val="19"/>
        </w:rPr>
        <w:t>pkcs11_shim gains a pool and health checks — the first change to the shim's contract since the capability probe.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8F5610"/>
          <w:sz w:val="19"/>
        </w:rPr>
        <w:t>Impact on the existing design</w:t>
      </w:r>
    </w:p>
    <w:p>
      <w:pPr>
        <w:pStyle w:val="ListBullet"/>
        <w:ind w:left="461"/>
      </w:pPr>
      <w:r>
        <w:rPr>
          <w:sz w:val="19"/>
        </w:rPr>
        <w:t>A tenant column reaches every table, every query, the audit log, the CLI and the API.</w:t>
      </w:r>
    </w:p>
    <w:p>
      <w:pPr>
        <w:pStyle w:val="ListBullet"/>
        <w:ind w:left="461"/>
      </w:pPr>
      <w:r>
        <w:rPr>
          <w:sz w:val="19"/>
        </w:rPr>
        <w:t>Object names stop being globally unique — the change most likely to surprise an existing deployment.</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2"/>
      </w:pPr>
      <w:r>
        <w:rPr>
          <w:color w:val="1A3A5C"/>
        </w:rPr>
        <w:t>Step 13 — KMIP JSON and XML encodings</w:t>
      </w:r>
    </w:p>
    <w:p>
      <w:r>
        <w:rPr>
          <w:rFonts w:ascii="Courier New" w:hAnsi="Courier New"/>
          <w:color w:val="2E6DA4"/>
          <w:sz w:val="17"/>
        </w:rPr>
        <w:t>Stage E   ·   ~700 lines, ~40 tests — mostly the existing corpus re-parametrised.</w:t>
      </w:r>
    </w:p>
    <w:p>
      <w:r>
        <w:rPr>
          <w:b/>
          <w:i w:val="0"/>
          <w:sz w:val="21"/>
        </w:rPr>
        <w:t>Let a client speak KMIP without implementing a TTLV codec.</w:t>
      </w:r>
    </w:p>
    <w:p/>
    <w:p>
      <w:r>
        <w:rPr>
          <w:b/>
          <w:i w:val="0"/>
          <w:color w:val="8F5610"/>
          <w:sz w:val="19"/>
        </w:rPr>
        <w:t>Impact on the existing design</w:t>
      </w:r>
    </w:p>
    <w:p>
      <w:pPr>
        <w:pStyle w:val="ListBullet"/>
        <w:ind w:left="461"/>
      </w:pPr>
      <w:r>
        <w:rPr>
          <w:sz w:val="19"/>
        </w:rPr>
        <w:t>core/ttlv.py stops being the only codec, and the tag registry becomes shared infrastructure rather than a TTLV detail.</w:t>
      </w:r>
    </w:p>
    <w:p>
      <w:pPr>
        <w:pStyle w:val="ListBullet"/>
        <w:ind w:left="461"/>
      </w:pPr>
      <w:r>
        <w:rPr>
          <w:sz w:val="19"/>
        </w:rPr>
        <w:t>Nothing above the codec changes. That is the point of the step: the service layer cannot tell which encoding a request arrived in.</w:t>
      </w:r>
    </w:p>
    <w:p/>
    <w:p>
      <w:r>
        <w:rPr>
          <w:b/>
          <w:i w:val="0"/>
          <w:color w:val="2E6DA4"/>
          <w:sz w:val="19"/>
        </w:rPr>
        <w:t>Design</w:t>
      </w:r>
    </w:p>
    <w:p>
      <w:pPr>
        <w:pStyle w:val="ListBullet"/>
        <w:ind w:left="461"/>
      </w:pPr>
      <w:r>
        <w:rPr>
          <w:sz w:val="19"/>
        </w:rPr>
        <w:t>The object model does not change. What changes is the wire: a JSON codec and an XML one beside core/ttlv.py, both driven by the same tag and type tables, so a new tag is still added in one place.</w:t>
      </w:r>
    </w:p>
    <w:p>
      <w:pPr>
        <w:pStyle w:val="ListBullet"/>
        <w:ind w:left="461"/>
      </w:pPr>
      <w:r>
        <w:rPr>
          <w:sz w:val="19"/>
        </w:rPr>
        <w:t>An HTTPS binding on the API listener — POST /kmip, encoding chosen by Content-Type — rather than a second socket. The KMIP TCP port is untouched.</w:t>
      </w:r>
    </w:p>
    <w:p>
      <w:pPr>
        <w:pStyle w:val="ListBullet"/>
        <w:ind w:left="461"/>
      </w:pPr>
      <w:r>
        <w:rPr>
          <w:sz w:val="19"/>
        </w:rPr>
        <w:t>Encoding is a transport concern, so it sits below the service layer: the same guard, the same handlers, the same audit rows.</w:t>
      </w:r>
    </w:p>
    <w:p/>
    <w:p>
      <w:r>
        <w:rPr>
          <w:b/>
          <w:i w:val="0"/>
          <w:color w:val="2E6DA4"/>
          <w:sz w:val="19"/>
        </w:rPr>
        <w:t>Implementation</w:t>
      </w:r>
    </w:p>
    <w:p>
      <w:pPr>
        <w:pStyle w:val="ListBullet"/>
        <w:ind w:left="461"/>
      </w:pPr>
      <w:r>
        <w:rPr>
          <w:sz w:val="19"/>
        </w:rPr>
        <w:t>core/encodings/ with json.py and xml.py implementing the OASIS profiles, sharing the tag registry the TTLV codec already reads.</w:t>
      </w:r>
    </w:p>
    <w:p>
      <w:pPr>
        <w:pStyle w:val="ListBullet"/>
        <w:ind w:left="461"/>
      </w:pPr>
      <w:r>
        <w:rPr>
          <w:sz w:val="19"/>
        </w:rPr>
        <w:t>Content negotiation, and 415 for an encoding that is not enabled. Both are off by default: a new parser is new attack surface.</w:t>
      </w:r>
    </w:p>
    <w:p/>
    <w:p>
      <w:r>
        <w:rPr>
          <w:b/>
          <w:i w:val="0"/>
          <w:color w:val="2E6DA4"/>
          <w:sz w:val="19"/>
        </w:rPr>
        <w:t>Tests</w:t>
      </w:r>
    </w:p>
    <w:p>
      <w:pPr>
        <w:pStyle w:val="ListBullet"/>
        <w:ind w:left="461"/>
      </w:pPr>
      <w:r>
        <w:rPr>
          <w:sz w:val="19"/>
        </w:rPr>
        <w:t>Round-trip every operation's request and response through all three encodings and assert the decoded structures are identical — the existing conformance corpus re-run twice, not a new set of assertions.</w:t>
      </w:r>
    </w:p>
    <w:p>
      <w:pPr>
        <w:pStyle w:val="ListBullet"/>
        <w:ind w:left="461"/>
      </w:pPr>
      <w:r>
        <w:rPr>
          <w:sz w:val="19"/>
        </w:rPr>
        <w:t>The OASIS JSON and XML test vectors decode to what the TTLV vectors decode to.</w:t>
      </w:r>
    </w:p>
    <w:p>
      <w:pPr>
        <w:pStyle w:val="ListBullet"/>
        <w:ind w:left="461"/>
      </w:pPr>
      <w:r>
        <w:rPr>
          <w:sz w:val="19"/>
        </w:rPr>
        <w:t>A batch, a wrapped key and a dual-control refusal behave the same over JSON as over TTLV, so an encoding cannot change semantics.</w:t>
      </w:r>
    </w:p>
    <w:p>
      <w:pPr>
        <w:pStyle w:val="ListBullet"/>
        <w:ind w:left="461"/>
      </w:pPr>
      <w:r>
        <w:rPr>
          <w:sz w:val="19"/>
        </w:rPr>
        <w:t>An unknown tag, a truncated document and a type mismatch are refused with the same error the TTLV codec raises.</w:t>
      </w:r>
    </w:p>
    <w:p/>
    <w:p>
      <w:r>
        <w:rPr>
          <w:b/>
          <w:i w:val="0"/>
          <w:color w:val="1E802E"/>
          <w:sz w:val="19"/>
        </w:rPr>
        <w:t>Gate</w:t>
      </w:r>
    </w:p>
    <w:p>
      <w:r>
        <w:rPr>
          <w:b w:val="0"/>
          <w:i w:val="0"/>
          <w:sz w:val="19"/>
        </w:rPr>
        <w:t>The conformance suite passes unchanged when re-run against the JSON and XML encodings, and a request refused over TTLV is refused identically over both.</w:t>
      </w:r>
    </w:p>
    <w:p/>
    <w:p>
      <w:r>
        <w:rPr>
          <w:b/>
          <w:i w:val="0"/>
          <w:color w:val="2E6DA4"/>
          <w:sz w:val="19"/>
        </w:rPr>
        <w:t>Closes</w:t>
      </w:r>
    </w:p>
    <w:p>
      <w:pPr>
        <w:pStyle w:val="ListBullet"/>
        <w:ind w:left="461"/>
      </w:pPr>
      <w:r>
        <w:rPr>
          <w:sz w:val="19"/>
        </w:rPr>
        <w:t>KMIP JSON and XML encodings</w:t>
      </w:r>
    </w:p>
    <w:p>
      <w:r>
        <w:br w:type="page"/>
      </w:r>
    </w:p>
    <w:p>
      <w:pPr>
        <w:pStyle w:val="Heading2"/>
      </w:pPr>
      <w:r>
        <w:rPr>
          <w:color w:val="1A3A5C"/>
        </w:rPr>
        <w:t>Step 14 — Certificate discovery and expiry monitoring</w:t>
      </w:r>
    </w:p>
    <w:p>
      <w:r>
        <w:rPr>
          <w:rFonts w:ascii="Courier New" w:hAnsi="Courier New"/>
          <w:color w:val="2E6DA4"/>
          <w:sz w:val="17"/>
        </w:rPr>
        <w:t>Stage E   ·   ~600 lines, ~30 tests.</w:t>
      </w:r>
    </w:p>
    <w:p>
      <w:r>
        <w:rPr>
          <w:b/>
          <w:i w:val="0"/>
          <w:sz w:val="21"/>
        </w:rPr>
        <w:t>Know which certificates the estate is actually running, and warn before one expires.</w:t>
      </w:r>
    </w:p>
    <w:p/>
    <w:p>
      <w:r>
        <w:rPr>
          <w:b/>
          <w:i w:val="0"/>
          <w:color w:val="8F5610"/>
          <w:sz w:val="19"/>
        </w:rPr>
        <w:t>Impact on the existing design</w:t>
      </w:r>
    </w:p>
    <w:p>
      <w:pPr>
        <w:pStyle w:val="ListBullet"/>
        <w:ind w:left="461"/>
      </w:pPr>
      <w:r>
        <w:rPr>
          <w:sz w:val="19"/>
        </w:rPr>
        <w:t>The server starts reaching outward. Everything else here waits to be called; this initiates connections, which is a new posture for the service and for its firewall rules.</w:t>
      </w:r>
    </w:p>
    <w:p>
      <w:pPr>
        <w:pStyle w:val="ListBullet"/>
        <w:ind w:left="461"/>
      </w:pPr>
      <w:r>
        <w:rPr>
          <w:sz w:val="19"/>
        </w:rPr>
        <w:t>The inventory stops being a view of what this KMS holds and becomes a view of the estate, including certificates it does not manage.</w:t>
      </w:r>
    </w:p>
    <w:p/>
    <w:p>
      <w:r>
        <w:rPr>
          <w:b/>
          <w:i w:val="0"/>
          <w:color w:val="2E6DA4"/>
          <w:sz w:val="19"/>
        </w:rPr>
        <w:t>Design</w:t>
      </w:r>
    </w:p>
    <w:p>
      <w:pPr>
        <w:pStyle w:val="ListBullet"/>
        <w:ind w:left="461"/>
      </w:pPr>
      <w:r>
        <w:rPr>
          <w:sz w:val="19"/>
        </w:rPr>
        <w:t>A scanner that connects to configured TLS endpoints, records the chain presented, and stores subject, issuer, fingerprint and validity window against the inventory.</w:t>
      </w:r>
    </w:p>
    <w:p>
      <w:pPr>
        <w:pStyle w:val="ListBullet"/>
        <w:ind w:left="461"/>
      </w:pPr>
      <w:r>
        <w:rPr>
          <w:sz w:val="19"/>
        </w:rPr>
        <w:t>Certificates registered here are matched by fingerprint, so the report separates what this KMS manages from what it does not — the second number is the one that matters.</w:t>
      </w:r>
    </w:p>
    <w:p>
      <w:pPr>
        <w:pStyle w:val="ListBullet"/>
        <w:ind w:left="461"/>
      </w:pPr>
      <w:r>
        <w:rPr>
          <w:sz w:val="19"/>
        </w:rPr>
        <w:t>Expiry thresholds feed the alerting rules built in step 9 rather than opening a second notification path.</w:t>
      </w:r>
    </w:p>
    <w:p/>
    <w:p>
      <w:r>
        <w:rPr>
          <w:b/>
          <w:i w:val="0"/>
          <w:color w:val="2E6DA4"/>
          <w:sz w:val="19"/>
        </w:rPr>
        <w:t>Implementation</w:t>
      </w:r>
    </w:p>
    <w:p>
      <w:pPr>
        <w:pStyle w:val="ListBullet"/>
        <w:ind w:left="461"/>
      </w:pPr>
      <w:r>
        <w:rPr>
          <w:sz w:val="19"/>
        </w:rPr>
        <w:t>kmip_pkcs11/discovery/ with the scanner, a scheduler entry beside the cryptoperiod scheduler in worker 0, and the inventory tables.</w:t>
      </w:r>
    </w:p>
    <w:p>
      <w:pPr>
        <w:pStyle w:val="ListBullet"/>
        <w:ind w:left="461"/>
      </w:pPr>
      <w:r>
        <w:rPr>
          <w:sz w:val="19"/>
        </w:rPr>
        <w:t>Scanning is read-only and rate-limited. This is a tool that touches production endpoints, and it should be incapable of harming them.</w:t>
      </w:r>
    </w:p>
    <w:p/>
    <w:p>
      <w:r>
        <w:rPr>
          <w:b/>
          <w:i w:val="0"/>
          <w:color w:val="2E6DA4"/>
          <w:sz w:val="19"/>
        </w:rPr>
        <w:t>Tests</w:t>
      </w:r>
    </w:p>
    <w:p>
      <w:pPr>
        <w:pStyle w:val="ListBullet"/>
        <w:ind w:left="461"/>
      </w:pPr>
      <w:r>
        <w:rPr>
          <w:sz w:val="19"/>
        </w:rPr>
        <w:t>A scan of local TLS servers with known certificates records exactly those chains, intermediate included.</w:t>
      </w:r>
    </w:p>
    <w:p>
      <w:pPr>
        <w:pStyle w:val="ListBullet"/>
        <w:ind w:left="461"/>
      </w:pPr>
      <w:r>
        <w:rPr>
          <w:sz w:val="19"/>
        </w:rPr>
        <w:t>A certificate registered here and the same certificate found by scanning reconcile to one inventory row, matched on fingerprint.</w:t>
      </w:r>
    </w:p>
    <w:p>
      <w:pPr>
        <w:pStyle w:val="ListBullet"/>
        <w:ind w:left="461"/>
      </w:pPr>
      <w:r>
        <w:rPr>
          <w:sz w:val="19"/>
        </w:rPr>
        <w:t>An endpoint that times out, presents an expired certificate, or drops the handshake is recorded as such rather than skipped silently.</w:t>
      </w:r>
    </w:p>
    <w:p>
      <w:pPr>
        <w:pStyle w:val="ListBullet"/>
        <w:ind w:left="461"/>
      </w:pPr>
      <w:r>
        <w:rPr>
          <w:sz w:val="19"/>
        </w:rPr>
        <w:t>An expiry threshold fires once per certificate per window, not on every scan.</w:t>
      </w:r>
    </w:p>
    <w:p/>
    <w:p>
      <w:r>
        <w:rPr>
          <w:b/>
          <w:i w:val="0"/>
          <w:color w:val="1E802E"/>
          <w:sz w:val="19"/>
        </w:rPr>
        <w:t>Gate</w:t>
      </w:r>
    </w:p>
    <w:p>
      <w:r>
        <w:rPr>
          <w:b w:val="0"/>
          <w:i w:val="0"/>
          <w:sz w:val="19"/>
        </w:rPr>
        <w:t>A scan of a fixture estate reports every certificate, splits managed from unmanaged correctly, and raises an expiry alert exactly once for a certificate inside the warning window.</w:t>
      </w:r>
    </w:p>
    <w:p/>
    <w:p>
      <w:r>
        <w:rPr>
          <w:b/>
          <w:i w:val="0"/>
          <w:color w:val="2E6DA4"/>
          <w:sz w:val="19"/>
        </w:rPr>
        <w:t>Closes</w:t>
      </w:r>
    </w:p>
    <w:p>
      <w:pPr>
        <w:pStyle w:val="ListBullet"/>
        <w:ind w:left="461"/>
      </w:pPr>
      <w:r>
        <w:rPr>
          <w:sz w:val="19"/>
        </w:rPr>
        <w:t>Certificate discovery and expiry monitoring</w:t>
      </w:r>
    </w:p>
    <w:p>
      <w:r>
        <w:br w:type="page"/>
      </w:r>
    </w:p>
    <w:p>
      <w:pPr>
        <w:pStyle w:val="Heading1"/>
      </w:pPr>
      <w:r>
        <w:rPr>
          <w:color w:val="1A3A5C"/>
        </w:rPr>
        <w:t>5  What the plan does not close</w:t>
      </w:r>
    </w:p>
    <w:p>
      <w:r>
        <w:rPr>
          <w:b w:val="0"/>
          <w:i w:val="0"/>
          <w:sz w:val="20"/>
        </w:rPr>
        <w:t>16 features remain open after step 12. None is an oversight; each is here because it depends on something other than engineering time, or because it belongs to a different product.</w:t>
      </w:r>
    </w:p>
    <w:p/>
    <w:tbl>
      <w:tblPr>
        <w:tblStyle w:val="TableGrid"/>
        <w:tblW w:type="auto" w:w="0"/>
        <w:tblLook w:firstColumn="1" w:firstRow="1" w:lastColumn="0" w:lastRow="0" w:noHBand="0" w:noVBand="1" w:val="04A0"/>
      </w:tblPr>
      <w:tblGrid>
        <w:gridCol w:w="3120"/>
        <w:gridCol w:w="3120"/>
        <w:gridCol w:w="3120"/>
      </w:tblGrid>
      <w:tr>
        <w:tc>
          <w:tcPr>
            <w:tcW w:type="dxa" w:w="2736"/>
            <w:shd w:fill="1A3A5C" w:val="clear"/>
          </w:tcPr>
          <w:p>
            <w:r>
              <w:rPr>
                <w:b/>
                <w:color w:val="FFFFFF"/>
                <w:sz w:val="17"/>
              </w:rPr>
              <w:t>Feature</w:t>
            </w:r>
          </w:p>
        </w:tc>
        <w:tc>
          <w:tcPr>
            <w:tcW w:type="dxa" w:w="2160"/>
            <w:shd w:fill="1A3A5C" w:val="clear"/>
          </w:tcPr>
          <w:p>
            <w:r>
              <w:rPr>
                <w:b/>
                <w:color w:val="FFFFFF"/>
                <w:sz w:val="17"/>
              </w:rPr>
              <w:t>Why not now</w:t>
            </w:r>
          </w:p>
        </w:tc>
        <w:tc>
          <w:tcPr>
            <w:tcW w:type="dxa" w:w="4464"/>
            <w:shd w:fill="1A3A5C" w:val="clear"/>
          </w:tcPr>
          <w:p>
            <w:r>
              <w:rPr>
                <w:b/>
                <w:color w:val="FFFFFF"/>
                <w:sz w:val="17"/>
              </w:rPr>
              <w:t>Detail</w:t>
            </w:r>
          </w:p>
        </w:tc>
      </w:tr>
      <w:tr>
        <w:tc>
          <w:tcPr>
            <w:tcW w:type="dxa" w:w="2736"/>
            <w:shd w:fill="EEF4FA" w:val="clear"/>
          </w:tcPr>
          <w:p>
            <w:r>
              <w:rPr>
                <w:sz w:val="17"/>
              </w:rPr>
              <w:t>Cloud BYOK (AWS, Azure, GCP)</w:t>
            </w:r>
          </w:p>
        </w:tc>
        <w:tc>
          <w:tcPr>
            <w:tcW w:type="dxa" w:w="2160"/>
            <w:shd w:fill="EEF4FA" w:val="clear"/>
          </w:tcPr>
          <w:p>
            <w:r>
              <w:rPr>
                <w:sz w:val="17"/>
              </w:rPr>
              <w:t>Additive work, best done after stage B</w:t>
            </w:r>
          </w:p>
        </w:tc>
        <w:tc>
          <w:tcPr>
            <w:tcW w:type="dxa" w:w="4464"/>
            <w:shd w:fill="EEF4FA" w:val="clear"/>
          </w:tcPr>
          <w:p>
            <w:r>
              <w:rPr>
                <w:sz w:val="17"/>
              </w:rPr>
              <w:t>Per-cloud connectors calling each provider's import API. Well understood, additive, and best done once the REST layer exists to configure it.</w:t>
            </w:r>
          </w:p>
        </w:tc>
      </w:tr>
      <w:tr>
        <w:tc>
          <w:tcPr>
            <w:tcW w:type="dxa" w:w="2736"/>
            <w:shd w:fill="FFFFFF" w:val="clear"/>
          </w:tcPr>
          <w:p>
            <w:r>
              <w:rPr>
                <w:sz w:val="17"/>
              </w:rPr>
              <w:t>Cloud EKM / XKS / hold-your-own-key</w:t>
            </w:r>
          </w:p>
        </w:tc>
        <w:tc>
          <w:tcPr>
            <w:tcW w:type="dxa" w:w="2160"/>
            <w:shd w:fill="FFFFFF" w:val="clear"/>
          </w:tcPr>
          <w:p>
            <w:r>
              <w:rPr>
                <w:sz w:val="17"/>
              </w:rPr>
              <w:t>Additive work, best done after stage B</w:t>
            </w:r>
          </w:p>
        </w:tc>
        <w:tc>
          <w:tcPr>
            <w:tcW w:type="dxa" w:w="4464"/>
            <w:shd w:fill="FFFFFF" w:val="clear"/>
          </w:tcPr>
          <w:p>
            <w:r>
              <w:rPr>
                <w:sz w:val="17"/>
              </w:rPr>
              <w:t>Implement the AWS XKS proxy or GCP EKM API in front of the same service layer. A natural extension of stage B.</w:t>
            </w:r>
          </w:p>
        </w:tc>
      </w:tr>
      <w:tr>
        <w:tc>
          <w:tcPr>
            <w:tcW w:type="dxa" w:w="2736"/>
            <w:shd w:fill="EEF4FA" w:val="clear"/>
          </w:tcPr>
          <w:p>
            <w:r>
              <w:rPr>
                <w:sz w:val="17"/>
              </w:rPr>
              <w:t>Database TDE integration</w:t>
            </w:r>
          </w:p>
        </w:tc>
        <w:tc>
          <w:tcPr>
            <w:tcW w:type="dxa" w:w="2160"/>
            <w:shd w:fill="EEF4FA" w:val="clear"/>
          </w:tcPr>
          <w:p>
            <w:r>
              <w:rPr>
                <w:sz w:val="17"/>
              </w:rPr>
              <w:t>Testing against a vendor, not new code</w:t>
            </w:r>
          </w:p>
        </w:tc>
        <w:tc>
          <w:tcPr>
            <w:tcW w:type="dxa" w:w="4464"/>
            <w:shd w:fill="EEF4FA" w:val="clear"/>
          </w:tcPr>
          <w:p>
            <w:r>
              <w:rPr>
                <w:sz w:val="17"/>
              </w:rPr>
              <w:t>Oracle, SQL Server and MongoDB already speak KMIP; the work is profile conformance and vendor testing, not new protocol.</w:t>
            </w:r>
          </w:p>
        </w:tc>
      </w:tr>
      <w:tr>
        <w:tc>
          <w:tcPr>
            <w:tcW w:type="dxa" w:w="2736"/>
            <w:shd w:fill="FFFFFF" w:val="clear"/>
          </w:tcPr>
          <w:p>
            <w:r>
              <w:rPr>
                <w:sz w:val="17"/>
              </w:rPr>
              <w:t>Storage, backup and VM integrations</w:t>
            </w:r>
          </w:p>
        </w:tc>
        <w:tc>
          <w:tcPr>
            <w:tcW w:type="dxa" w:w="2160"/>
            <w:shd w:fill="FFFFFF" w:val="clear"/>
          </w:tcPr>
          <w:p>
            <w:r>
              <w:rPr>
                <w:sz w:val="17"/>
              </w:rPr>
              <w:t>Testing against a vendor, not new code</w:t>
            </w:r>
          </w:p>
        </w:tc>
        <w:tc>
          <w:tcPr>
            <w:tcW w:type="dxa" w:w="4464"/>
            <w:shd w:fill="FFFFFF" w:val="clear"/>
          </w:tcPr>
          <w:p>
            <w:r>
              <w:rPr>
                <w:sz w:val="17"/>
              </w:rPr>
              <w:t>As above, for VMware, NetApp and Veeam.</w:t>
            </w:r>
          </w:p>
        </w:tc>
      </w:tr>
      <w:tr>
        <w:tc>
          <w:tcPr>
            <w:tcW w:type="dxa" w:w="2736"/>
            <w:shd w:fill="EEF4FA" w:val="clear"/>
          </w:tcPr>
          <w:p>
            <w:r>
              <w:rPr>
                <w:sz w:val="17"/>
              </w:rPr>
              <w:t>Secrets management</w:t>
            </w:r>
          </w:p>
        </w:tc>
        <w:tc>
          <w:tcPr>
            <w:tcW w:type="dxa" w:w="2160"/>
            <w:shd w:fill="EEF4FA" w:val="clear"/>
          </w:tcPr>
          <w:p>
            <w:r>
              <w:rPr>
                <w:sz w:val="17"/>
              </w:rPr>
              <w:t>A different product surface</w:t>
            </w:r>
          </w:p>
        </w:tc>
        <w:tc>
          <w:tcPr>
            <w:tcW w:type="dxa" w:w="4464"/>
            <w:shd w:fill="EEF4FA" w:val="clear"/>
          </w:tcPr>
          <w:p>
            <w:r>
              <w:rPr>
                <w:sz w:val="17"/>
              </w:rPr>
              <w:t>Static custody exists as SecretData. A Vault-style engine — dynamic credentials, leases, templating — is a different product surface.</w:t>
            </w:r>
          </w:p>
        </w:tc>
      </w:tr>
      <w:tr>
        <w:tc>
          <w:tcPr>
            <w:tcW w:type="dxa" w:w="2736"/>
            <w:shd w:fill="FFFFFF" w:val="clear"/>
          </w:tcPr>
          <w:p>
            <w:r>
              <w:rPr>
                <w:sz w:val="17"/>
              </w:rPr>
              <w:t>Certificate lifecycle</w:t>
            </w:r>
          </w:p>
        </w:tc>
        <w:tc>
          <w:tcPr>
            <w:tcW w:type="dxa" w:w="2160"/>
            <w:shd w:fill="FFFFFF" w:val="clear"/>
          </w:tcPr>
          <w:p>
            <w:r>
              <w:rPr>
                <w:sz w:val="17"/>
              </w:rPr>
              <w:t>A different product surface</w:t>
            </w:r>
          </w:p>
        </w:tc>
        <w:tc>
          <w:tcPr>
            <w:tcW w:type="dxa" w:w="4464"/>
            <w:shd w:fill="FFFFFF" w:val="clear"/>
          </w:tcPr>
          <w:p>
            <w:r>
              <w:rPr>
                <w:sz w:val="17"/>
              </w:rPr>
              <w:t>Front the deployment with a real CA such as EJBCA. KMIP's Certify was never a CA and should not become one.</w:t>
            </w:r>
          </w:p>
        </w:tc>
      </w:tr>
      <w:tr>
        <w:tc>
          <w:tcPr>
            <w:tcW w:type="dxa" w:w="2736"/>
            <w:shd w:fill="EEF4FA" w:val="clear"/>
          </w:tcPr>
          <w:p>
            <w:r>
              <w:rPr>
                <w:sz w:val="17"/>
              </w:rPr>
              <w:t>Algorithm breadth</w:t>
            </w:r>
          </w:p>
        </w:tc>
        <w:tc>
          <w:tcPr>
            <w:tcW w:type="dxa" w:w="2160"/>
            <w:shd w:fill="EEF4FA" w:val="clear"/>
          </w:tcPr>
          <w:p>
            <w:r>
              <w:rPr>
                <w:sz w:val="17"/>
              </w:rPr>
              <w:t>Depends on the token</w:t>
            </w:r>
          </w:p>
        </w:tc>
        <w:tc>
          <w:tcPr>
            <w:tcW w:type="dxa" w:w="4464"/>
            <w:shd w:fill="EEF4FA" w:val="clear"/>
          </w:tcPr>
          <w:p>
            <w:r>
              <w:rPr>
                <w:sz w:val="17"/>
              </w:rPr>
              <w:t>15 of 40 algorithms work on this token. A richer token activates more with no code change; the shim already probes.</w:t>
            </w:r>
          </w:p>
        </w:tc>
      </w:tr>
      <w:tr>
        <w:tc>
          <w:tcPr>
            <w:tcW w:type="dxa" w:w="2736"/>
            <w:shd w:fill="FFFFFF" w:val="clear"/>
          </w:tcPr>
          <w:p>
            <w:r>
              <w:rPr>
                <w:sz w:val="17"/>
              </w:rPr>
              <w:t>Post-quantum (ML-KEM, ML-DSA, SLH-DSA)</w:t>
            </w:r>
          </w:p>
        </w:tc>
        <w:tc>
          <w:tcPr>
            <w:tcW w:type="dxa" w:w="2160"/>
            <w:shd w:fill="FFFFFF" w:val="clear"/>
          </w:tcPr>
          <w:p>
            <w:r>
              <w:rPr>
                <w:sz w:val="17"/>
              </w:rPr>
              <w:t>Depends on the token</w:t>
            </w:r>
          </w:p>
        </w:tc>
        <w:tc>
          <w:tcPr>
            <w:tcW w:type="dxa" w:w="4464"/>
            <w:shd w:fill="FFFFFF" w:val="clear"/>
          </w:tcPr>
          <w:p>
            <w:r>
              <w:rPr>
                <w:sz w:val="17"/>
              </w:rPr>
              <w:t>Needs a token that implements the algorithms and KMIP 3.0 to express them. SoftHSM's ML-DSA work is unreleased; vendor-range enums would interoperate with nothing.</w:t>
            </w:r>
          </w:p>
        </w:tc>
      </w:tr>
      <w:tr>
        <w:tc>
          <w:tcPr>
            <w:tcW w:type="dxa" w:w="2736"/>
            <w:shd w:fill="EEF4FA" w:val="clear"/>
          </w:tcPr>
          <w:p>
            <w:r>
              <w:rPr>
                <w:sz w:val="17"/>
              </w:rPr>
              <w:t>KMIP 3.0</w:t>
            </w:r>
          </w:p>
        </w:tc>
        <w:tc>
          <w:tcPr>
            <w:tcW w:type="dxa" w:w="2160"/>
            <w:shd w:fill="EEF4FA" w:val="clear"/>
          </w:tcPr>
          <w:p>
            <w:r>
              <w:rPr>
                <w:sz w:val="17"/>
              </w:rPr>
              <w:t>Schedulable, but only worth doing with a capable token</w:t>
            </w:r>
          </w:p>
        </w:tc>
        <w:tc>
          <w:tcPr>
            <w:tcW w:type="dxa" w:w="4464"/>
            <w:shd w:fill="EEF4FA" w:val="clear"/>
          </w:tcPr>
          <w:p>
            <w:r>
              <w:rPr>
                <w:sz w:val="17"/>
              </w:rPr>
              <w:t>Enum and operation additions including Encapsulate and Decapsulate. Entirely in-protocol and schedulable, but only worth doing alongside a PQC-capable token.</w:t>
            </w:r>
          </w:p>
        </w:tc>
      </w:tr>
      <w:tr>
        <w:tc>
          <w:tcPr>
            <w:tcW w:type="dxa" w:w="2736"/>
            <w:shd w:fill="FFFFFF" w:val="clear"/>
          </w:tcPr>
          <w:p>
            <w:r>
              <w:rPr>
                <w:sz w:val="17"/>
              </w:rPr>
              <w:t>KMIP interoperability certification</w:t>
            </w:r>
          </w:p>
        </w:tc>
        <w:tc>
          <w:tcPr>
            <w:tcW w:type="dxa" w:w="2160"/>
            <w:shd w:fill="FFFFFF" w:val="clear"/>
          </w:tcPr>
          <w:p>
            <w:r>
              <w:rPr>
                <w:sz w:val="17"/>
              </w:rPr>
              <w:t>Depends on an external event</w:t>
            </w:r>
          </w:p>
        </w:tc>
        <w:tc>
          <w:tcPr>
            <w:tcW w:type="dxa" w:w="4464"/>
            <w:shd w:fill="FFFFFF" w:val="clear"/>
          </w:tcPr>
          <w:p>
            <w:r>
              <w:rPr>
                <w:sz w:val="17"/>
              </w:rPr>
              <w:t>An OASIS interop event. The conformance tests are already mapped; this is process and scheduling.</w:t>
            </w:r>
          </w:p>
        </w:tc>
      </w:tr>
      <w:tr>
        <w:tc>
          <w:tcPr>
            <w:tcW w:type="dxa" w:w="2736"/>
            <w:shd w:fill="EEF4FA" w:val="clear"/>
          </w:tcPr>
          <w:p>
            <w:r>
              <w:rPr>
                <w:sz w:val="17"/>
              </w:rPr>
              <w:t>PKCS#11 provider for applications</w:t>
            </w:r>
          </w:p>
        </w:tc>
        <w:tc>
          <w:tcPr>
            <w:tcW w:type="dxa" w:w="2160"/>
            <w:shd w:fill="EEF4FA" w:val="clear"/>
          </w:tcPr>
          <w:p>
            <w:r>
              <w:rPr>
                <w:sz w:val="17"/>
              </w:rPr>
              <w:t>Build only if asked for</w:t>
            </w:r>
          </w:p>
        </w:tc>
        <w:tc>
          <w:tcPr>
            <w:tcW w:type="dxa" w:w="4464"/>
            <w:shd w:fill="EEF4FA" w:val="clear"/>
          </w:tcPr>
          <w:p>
            <w:r>
              <w:rPr>
                <w:sz w:val="17"/>
              </w:rPr>
              <w:t>A library fronting the KMIP server, so applications that speak PKCS#11 plug in. Worth building only if asked for.</w:t>
            </w:r>
          </w:p>
        </w:tc>
      </w:tr>
      <w:tr>
        <w:tc>
          <w:tcPr>
            <w:tcW w:type="dxa" w:w="2736"/>
            <w:shd w:fill="FFFFFF" w:val="clear"/>
          </w:tcPr>
          <w:p>
            <w:r>
              <w:rPr>
                <w:sz w:val="17"/>
              </w:rPr>
              <w:t>Tokenization / format-preserving encryption</w:t>
            </w:r>
          </w:p>
        </w:tc>
        <w:tc>
          <w:tcPr>
            <w:tcW w:type="dxa" w:w="2160"/>
            <w:shd w:fill="FFFFFF" w:val="clear"/>
          </w:tcPr>
          <w:p>
            <w:r>
              <w:rPr>
                <w:sz w:val="17"/>
              </w:rPr>
              <w:t>Deliberately not this product</w:t>
            </w:r>
          </w:p>
        </w:tc>
        <w:tc>
          <w:tcPr>
            <w:tcW w:type="dxa" w:w="4464"/>
            <w:shd w:fill="FFFFFF" w:val="clear"/>
          </w:tcPr>
          <w:p>
            <w:r>
              <w:rPr>
                <w:sz w:val="17"/>
              </w:rPr>
              <w:t>Neither a KMIP operation nor a token mechanism. A separate service.</w:t>
            </w:r>
          </w:p>
        </w:tc>
      </w:tr>
      <w:tr>
        <w:tc>
          <w:tcPr>
            <w:tcW w:type="dxa" w:w="2736"/>
            <w:shd w:fill="EEF4FA" w:val="clear"/>
          </w:tcPr>
          <w:p>
            <w:r>
              <w:rPr>
                <w:sz w:val="17"/>
              </w:rPr>
              <w:t>FIPS 140-2/3 validated HSM</w:t>
            </w:r>
          </w:p>
        </w:tc>
        <w:tc>
          <w:tcPr>
            <w:tcW w:type="dxa" w:w="2160"/>
            <w:shd w:fill="EEF4FA" w:val="clear"/>
          </w:tcPr>
          <w:p>
            <w:r>
              <w:rPr>
                <w:sz w:val="17"/>
              </w:rPr>
              <w:t>Buying and testing, not building</w:t>
            </w:r>
          </w:p>
        </w:tc>
        <w:tc>
          <w:tcPr>
            <w:tcW w:type="dxa" w:w="4464"/>
            <w:shd w:fill="EEF4FA" w:val="clear"/>
          </w:tcPr>
          <w:p>
            <w:r>
              <w:rPr>
                <w:sz w:val="17"/>
              </w:rPr>
              <w:t>Belongs to the token. The PKCS#11 boundary makes the swap cheap; running the suite against validated hardware is the actual work.</w:t>
            </w:r>
          </w:p>
        </w:tc>
      </w:tr>
      <w:tr>
        <w:tc>
          <w:tcPr>
            <w:tcW w:type="dxa" w:w="2736"/>
            <w:shd w:fill="FFFFFF" w:val="clear"/>
          </w:tcPr>
          <w:p>
            <w:r>
              <w:rPr>
                <w:sz w:val="17"/>
              </w:rPr>
              <w:t>Common Criteria / eIDAS</w:t>
            </w:r>
          </w:p>
        </w:tc>
        <w:tc>
          <w:tcPr>
            <w:tcW w:type="dxa" w:w="2160"/>
            <w:shd w:fill="FFFFFF" w:val="clear"/>
          </w:tcPr>
          <w:p>
            <w:r>
              <w:rPr>
                <w:sz w:val="17"/>
              </w:rPr>
              <w:t>Buying and testing, not building</w:t>
            </w:r>
          </w:p>
        </w:tc>
        <w:tc>
          <w:tcPr>
            <w:tcW w:type="dxa" w:w="4464"/>
            <w:shd w:fill="FFFFFF" w:val="clear"/>
          </w:tcPr>
          <w:p>
            <w:r>
              <w:rPr>
                <w:sz w:val="17"/>
              </w:rPr>
              <w:t>As above.</w:t>
            </w:r>
          </w:p>
        </w:tc>
      </w:tr>
      <w:tr>
        <w:tc>
          <w:tcPr>
            <w:tcW w:type="dxa" w:w="2736"/>
            <w:shd w:fill="EEF4FA" w:val="clear"/>
          </w:tcPr>
          <w:p>
            <w:r>
              <w:rPr>
                <w:sz w:val="17"/>
              </w:rPr>
              <w:t>Key-bound usage policy enforced in hardware</w:t>
            </w:r>
          </w:p>
        </w:tc>
        <w:tc>
          <w:tcPr>
            <w:tcW w:type="dxa" w:w="2160"/>
            <w:shd w:fill="EEF4FA" w:val="clear"/>
          </w:tcPr>
          <w:p>
            <w:r>
              <w:rPr>
                <w:sz w:val="17"/>
              </w:rPr>
              <w:t>Depends on the token</w:t>
            </w:r>
          </w:p>
        </w:tc>
        <w:tc>
          <w:tcPr>
            <w:tcW w:type="dxa" w:w="4464"/>
            <w:shd w:fill="EEF4FA" w:val="clear"/>
          </w:tcPr>
          <w:p>
            <w:r>
              <w:rPr>
                <w:sz w:val="17"/>
              </w:rPr>
              <w:t>The quorum, time-lock and usage limits would have to live in the key's own attributes and be enforced by the token, so that owning the server is not owning the policy. SoftHSM has no such mechanism; this is a property of the HSM, and the reason to prefer one that has it.</w:t>
            </w:r>
          </w:p>
        </w:tc>
      </w:tr>
      <w:tr>
        <w:tc>
          <w:tcPr>
            <w:tcW w:type="dxa" w:w="2736"/>
            <w:shd w:fill="FFFFFF" w:val="clear"/>
          </w:tcPr>
          <w:p>
            <w:r>
              <w:rPr>
                <w:sz w:val="17"/>
              </w:rPr>
              <w:t>Confidential computing deployment</w:t>
            </w:r>
          </w:p>
        </w:tc>
        <w:tc>
          <w:tcPr>
            <w:tcW w:type="dxa" w:w="2160"/>
            <w:shd w:fill="FFFFFF" w:val="clear"/>
          </w:tcPr>
          <w:p>
            <w:r>
              <w:rPr>
                <w:sz w:val="17"/>
              </w:rPr>
              <w:t>Depends on hardware and deployment, not code</w:t>
            </w:r>
          </w:p>
        </w:tc>
        <w:tc>
          <w:tcPr>
            <w:tcW w:type="dxa" w:w="4464"/>
            <w:shd w:fill="FFFFFF" w:val="clear"/>
          </w:tcPr>
          <w:p>
            <w:r>
              <w:rPr>
                <w:sz w:val="17"/>
              </w:rPr>
              <w:t>Attested hardware, a store designed for an untrusted host, and an attestation clients check before trusting the service. Nothing in the plan depends on it and nothing in this environment can verify it.</w:t>
            </w:r>
          </w:p>
        </w:tc>
      </w:tr>
    </w:tbl>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40 of 50.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12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