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KMIP on PKCS#11</w:t>
      </w:r>
    </w:p>
    <w:p>
      <w:pPr>
        <w:jc w:val="center"/>
      </w:pPr>
      <w:r>
        <w:rPr>
          <w:color w:val="2E6DA4"/>
          <w:sz w:val="32"/>
        </w:rPr>
        <w:t>Delivery Plan — a complete KMS with a REST control plane</w:t>
      </w:r>
    </w:p>
    <w:p>
      <w:pPr>
        <w:jc w:val="center"/>
      </w:pPr>
      <w:r>
        <w:rPr>
          <w:color w:val="404040"/>
          <w:sz w:val="24"/>
        </w:rPr>
        <w:t>14 steps in 5 stages · design, implementation and test coverage for each</w:t>
      </w:r>
    </w:p>
    <w:p/>
    <w:tbl>
      <w:tblPr>
        <w:tblStyle w:val="TableGrid"/>
        <w:tblW w:type="auto" w:w="0"/>
        <w:tblLook w:firstColumn="1" w:firstRow="1" w:lastColumn="0" w:lastRow="0" w:noHBand="0" w:noVBand="1" w:val="04A0"/>
      </w:tblPr>
      <w:tblGrid>
        <w:gridCol w:w="4680"/>
        <w:gridCol w:w="4680"/>
      </w:tblGrid>
      <w:tr>
        <w:tc>
          <w:tcPr>
            <w:tcW w:type="dxa" w:w="2304"/>
            <w:shd w:fill="1A3A5C" w:val="clear"/>
          </w:tcPr>
          <w:p>
            <w:r>
              <w:rPr>
                <w:b/>
                <w:color w:val="FFFFFF"/>
                <w:sz w:val="18"/>
              </w:rPr>
              <w:t>Baseline</w:t>
            </w:r>
          </w:p>
        </w:tc>
        <w:tc>
          <w:tcPr>
            <w:tcW w:type="dxa" w:w="7056"/>
          </w:tcPr>
          <w:p>
            <w:r>
              <w:rPr>
                <w:sz w:val="18"/>
              </w:rPr>
              <w:t>e44a2ef — 816 tests green, 41 of 53 KMIP 2.1 operations</w:t>
            </w:r>
          </w:p>
        </w:tc>
      </w:tr>
      <w:tr>
        <w:tc>
          <w:tcPr>
            <w:tcW w:type="dxa" w:w="2304"/>
            <w:shd w:fill="1A3A5C" w:val="clear"/>
          </w:tcPr>
          <w:p>
            <w:r>
              <w:rPr>
                <w:b/>
                <w:color w:val="FFFFFF"/>
                <w:sz w:val="18"/>
              </w:rPr>
              <w:t>Starting position</w:t>
            </w:r>
          </w:p>
        </w:tc>
        <w:tc>
          <w:tcPr>
            <w:tcW w:type="dxa" w:w="7056"/>
          </w:tcPr>
          <w:p>
            <w:r>
              <w:rPr>
                <w:sz w:val="18"/>
              </w:rPr>
              <w:t>50 of 82 assessed features are short of full coverage</w:t>
            </w:r>
          </w:p>
        </w:tc>
      </w:tr>
      <w:tr>
        <w:tc>
          <w:tcPr>
            <w:tcW w:type="dxa" w:w="2304"/>
            <w:shd w:fill="1A3A5C" w:val="clear"/>
          </w:tcPr>
          <w:p>
            <w:r>
              <w:rPr>
                <w:b/>
                <w:color w:val="FFFFFF"/>
                <w:sz w:val="18"/>
              </w:rPr>
              <w:t>This plan closes</w:t>
            </w:r>
          </w:p>
        </w:tc>
        <w:tc>
          <w:tcPr>
            <w:tcW w:type="dxa" w:w="7056"/>
          </w:tcPr>
          <w:p>
            <w:r>
              <w:rPr>
                <w:sz w:val="18"/>
              </w:rPr>
              <w:t>34 of those 50, across 14 steps</w:t>
            </w:r>
          </w:p>
        </w:tc>
      </w:tr>
      <w:tr>
        <w:tc>
          <w:tcPr>
            <w:tcW w:type="dxa" w:w="2304"/>
            <w:shd w:fill="1A3A5C" w:val="clear"/>
          </w:tcPr>
          <w:p>
            <w:r>
              <w:rPr>
                <w:b/>
                <w:color w:val="FFFFFF"/>
                <w:sz w:val="18"/>
              </w:rPr>
              <w:t>Deliberately not closed</w:t>
            </w:r>
          </w:p>
        </w:tc>
        <w:tc>
          <w:tcPr>
            <w:tcW w:type="dxa" w:w="7056"/>
          </w:tcPr>
          <w:p>
            <w:r>
              <w:rPr>
                <w:sz w:val="18"/>
              </w:rPr>
              <w:t>16 — supplier, procurement, external event, or out of product scope</w:t>
            </w:r>
          </w:p>
        </w:tc>
      </w:tr>
      <w:tr>
        <w:tc>
          <w:tcPr>
            <w:tcW w:type="dxa" w:w="2304"/>
            <w:shd w:fill="1A3A5C" w:val="clear"/>
          </w:tcPr>
          <w:p>
            <w:r>
              <w:rPr>
                <w:b/>
                <w:color w:val="FFFFFF"/>
                <w:sz w:val="18"/>
              </w:rPr>
              <w:t>Method</w:t>
            </w:r>
          </w:p>
        </w:tc>
        <w:tc>
          <w:tcPr>
            <w:tcW w:type="dxa" w:w="7056"/>
          </w:tcPr>
          <w:p>
            <w:r>
              <w:rPr>
                <w:sz w:val="18"/>
              </w:rPr>
              <w:t>Every step: a design, an implementation, a test plan, and a gate that must be demonstrated</w:t>
            </w:r>
          </w:p>
        </w:tc>
      </w:tr>
      <w:tr>
        <w:tc>
          <w:tcPr>
            <w:tcW w:type="dxa" w:w="2304"/>
            <w:shd w:fill="1A3A5C" w:val="clear"/>
          </w:tcPr>
          <w:p>
            <w:r>
              <w:rPr>
                <w:b/>
                <w:color w:val="FFFFFF"/>
                <w:sz w:val="18"/>
              </w:rPr>
              <w:t>Date</w:t>
            </w:r>
          </w:p>
        </w:tc>
        <w:tc>
          <w:tcPr>
            <w:tcW w:type="dxa" w:w="7056"/>
          </w:tcPr>
          <w:p>
            <w:r>
              <w:rPr>
                <w:sz w:val="18"/>
              </w:rPr>
              <w:t>12 September 2026</w:t>
            </w:r>
          </w:p>
        </w:tc>
      </w:tr>
    </w:tbl>
    <w:p>
      <w:r>
        <w:br w:type="page"/>
      </w:r>
    </w:p>
    <w:p>
      <w:pPr>
        <w:pStyle w:val="Heading1"/>
      </w:pPr>
      <w:r>
        <w:rPr>
          <w:color w:val="1A3A5C"/>
        </w:rPr>
        <w:t>1  How this plan works</w:t>
      </w:r>
    </w:p>
    <w:p>
      <w:r>
        <w:rPr>
          <w:b w:val="0"/>
          <w:i w:val="0"/>
          <w:sz w:val="20"/>
        </w:rPr>
        <w:t>Phases 0 to 5 of this project succeeded because each had a gate — a condition someone could watch you meet — rather than a checklist. This plan keeps that structure and adds the two things the request asks for: a design deliverable before implementation, and a named test plan rather than a promise of coverage.</w:t>
      </w:r>
    </w:p>
    <w:p/>
    <w:p>
      <w:r>
        <w:rPr>
          <w:b/>
          <w:i w:val="0"/>
          <w:color w:val="2E6DA4"/>
          <w:sz w:val="20"/>
        </w:rPr>
        <w:t>Each step carries five things</w:t>
      </w:r>
    </w:p>
    <w:tbl>
      <w:tblPr>
        <w:tblStyle w:val="TableGrid"/>
        <w:tblW w:type="auto" w:w="0"/>
        <w:tblLook w:firstColumn="1" w:firstRow="1" w:lastColumn="0" w:lastRow="0" w:noHBand="0" w:noVBand="1" w:val="04A0"/>
      </w:tblPr>
      <w:tblGrid>
        <w:gridCol w:w="4680"/>
        <w:gridCol w:w="4680"/>
      </w:tblGrid>
      <w:tr>
        <w:tc>
          <w:tcPr>
            <w:tcW w:type="dxa" w:w="1872"/>
            <w:shd w:fill="1A3A5C" w:val="clear"/>
          </w:tcPr>
          <w:p>
            <w:r>
              <w:rPr>
                <w:b/>
                <w:color w:val="FFFFFF"/>
                <w:sz w:val="17"/>
              </w:rPr>
              <w:t>Part</w:t>
            </w:r>
          </w:p>
        </w:tc>
        <w:tc>
          <w:tcPr>
            <w:tcW w:type="dxa" w:w="7488"/>
            <w:shd w:fill="1A3A5C" w:val="clear"/>
          </w:tcPr>
          <w:p>
            <w:r>
              <w:rPr>
                <w:b/>
                <w:color w:val="FFFFFF"/>
                <w:sz w:val="17"/>
              </w:rPr>
              <w:t>What it means</w:t>
            </w:r>
          </w:p>
        </w:tc>
      </w:tr>
      <w:tr>
        <w:tc>
          <w:tcPr>
            <w:tcW w:type="dxa" w:w="1872"/>
            <w:shd w:fill="EEF4FA" w:val="clear"/>
          </w:tcPr>
          <w:p>
            <w:r>
              <w:rPr>
                <w:sz w:val="17"/>
              </w:rPr>
              <w:t>Objective</w:t>
            </w:r>
          </w:p>
        </w:tc>
        <w:tc>
          <w:tcPr>
            <w:tcW w:type="dxa" w:w="7488"/>
            <w:shd w:fill="EEF4FA" w:val="clear"/>
          </w:tcPr>
          <w:p>
            <w:r>
              <w:rPr>
                <w:sz w:val="17"/>
              </w:rPr>
              <w:t>One sentence. If it needs two, the step is two steps.</w:t>
            </w:r>
          </w:p>
        </w:tc>
      </w:tr>
      <w:tr>
        <w:tc>
          <w:tcPr>
            <w:tcW w:type="dxa" w:w="1872"/>
            <w:shd w:fill="FFFFFF" w:val="clear"/>
          </w:tcPr>
          <w:p>
            <w:r>
              <w:rPr>
                <w:sz w:val="17"/>
              </w:rPr>
              <w:t>Design</w:t>
            </w:r>
          </w:p>
        </w:tc>
        <w:tc>
          <w:tcPr>
            <w:tcW w:type="dxa" w:w="7488"/>
            <w:shd w:fill="FFFFFF" w:val="clear"/>
          </w:tcPr>
          <w:p>
            <w:r>
              <w:rPr>
                <w:sz w:val="17"/>
              </w:rPr>
              <w:t>Written and reviewed before code. Names the interfaces, the data, and the decisions that are hard to reverse.</w:t>
            </w:r>
          </w:p>
        </w:tc>
      </w:tr>
      <w:tr>
        <w:tc>
          <w:tcPr>
            <w:tcW w:type="dxa" w:w="1872"/>
            <w:shd w:fill="EEF4FA" w:val="clear"/>
          </w:tcPr>
          <w:p>
            <w:r>
              <w:rPr>
                <w:sz w:val="17"/>
              </w:rPr>
              <w:t>Implementation</w:t>
            </w:r>
          </w:p>
        </w:tc>
        <w:tc>
          <w:tcPr>
            <w:tcW w:type="dxa" w:w="7488"/>
            <w:shd w:fill="EEF4FA" w:val="clear"/>
          </w:tcPr>
          <w:p>
            <w:r>
              <w:rPr>
                <w:sz w:val="17"/>
              </w:rPr>
              <w:t>What changes, and equally what deliberately does not.</w:t>
            </w:r>
          </w:p>
        </w:tc>
      </w:tr>
      <w:tr>
        <w:tc>
          <w:tcPr>
            <w:tcW w:type="dxa" w:w="1872"/>
            <w:shd w:fill="FFFFFF" w:val="clear"/>
          </w:tcPr>
          <w:p>
            <w:r>
              <w:rPr>
                <w:sz w:val="17"/>
              </w:rPr>
              <w:t>Tests</w:t>
            </w:r>
          </w:p>
        </w:tc>
        <w:tc>
          <w:tcPr>
            <w:tcW w:type="dxa" w:w="7488"/>
            <w:shd w:fill="FFFFFF" w:val="clear"/>
          </w:tcPr>
          <w:p>
            <w:r>
              <w:rPr>
                <w:sz w:val="17"/>
              </w:rPr>
              <w:t>Named cases, not a coverage percentage. Every step adds regressions for the behaviour it introduces, and the existing suite must stay green.</w:t>
            </w:r>
          </w:p>
        </w:tc>
      </w:tr>
      <w:tr>
        <w:tc>
          <w:tcPr>
            <w:tcW w:type="dxa" w:w="1872"/>
            <w:shd w:fill="EEF4FA" w:val="clear"/>
          </w:tcPr>
          <w:p>
            <w:r>
              <w:rPr>
                <w:sz w:val="17"/>
              </w:rPr>
              <w:t>Gate</w:t>
            </w:r>
          </w:p>
        </w:tc>
        <w:tc>
          <w:tcPr>
            <w:tcW w:type="dxa" w:w="7488"/>
            <w:shd w:fill="EEF4FA" w:val="clear"/>
          </w:tcPr>
          <w:p>
            <w:r>
              <w:rPr>
                <w:sz w:val="17"/>
              </w:rPr>
              <w:t>A demonstrable condition. The step is finished when the gate is shown, not when the code is written.</w:t>
            </w:r>
          </w:p>
        </w:tc>
      </w:tr>
    </w:tbl>
    <w:p/>
    <w:p>
      <w:r>
        <w:rPr>
          <w:b/>
          <w:i w:val="0"/>
          <w:color w:val="2E6DA4"/>
          <w:sz w:val="20"/>
        </w:rPr>
        <w:t>Rules every step inherits</w:t>
      </w:r>
    </w:p>
    <w:p>
      <w:pPr>
        <w:pStyle w:val="ListBullet"/>
        <w:ind w:left="461"/>
      </w:pPr>
      <w:r>
        <w:rPr>
          <w:sz w:val="20"/>
        </w:rPr>
        <w:t>Tests run live against a real SoftHSM2 token. The token is never mocked — the defects worth catching are in the boundary.</w:t>
      </w:r>
    </w:p>
    <w:p>
      <w:pPr>
        <w:pStyle w:val="ListBullet"/>
        <w:ind w:left="461"/>
      </w:pPr>
      <w:r>
        <w:rPr>
          <w:sz w:val="20"/>
        </w:rPr>
        <w:t>The suite stays green at every step. A step that leaves it red is not finished, and the next step does not start.</w:t>
      </w:r>
    </w:p>
    <w:p>
      <w:pPr>
        <w:pStyle w:val="ListBullet"/>
        <w:ind w:left="461"/>
      </w:pPr>
      <w:r>
        <w:rPr>
          <w:sz w:val="20"/>
        </w:rPr>
        <w:t>Anything that could not be tested in this environment is recorded as untested rather than shipped as though it had been.</w:t>
      </w:r>
    </w:p>
    <w:p>
      <w:pPr>
        <w:pStyle w:val="ListBullet"/>
        <w:ind w:left="461"/>
      </w:pPr>
      <w:r>
        <w:rPr>
          <w:sz w:val="20"/>
        </w:rPr>
        <w:t>Documents are regenerated, not hand-edited, and the gap matrix's ASSESSED_AT is bumped whenever coverage changes.</w:t>
      </w:r>
    </w:p>
    <w:p/>
    <w:p>
      <w:r>
        <w:rPr>
          <w:b w:val="0"/>
          <w:i/>
          <w:sz w:val="18"/>
        </w:rPr>
        <w:t>The arithmetic in this document is checked at build time against generate_kms_gap_matrix.py. If a step claims a feature the matrix does not list as open, claims one twice, or an open feature appears in neither the plan nor the deferred list, the generator refuses to build. That is deliberate: a plan whose numbers do not reconcile with the assessment it derives from is worse than no plan.</w:t>
      </w:r>
    </w:p>
    <w:p>
      <w:r>
        <w:br w:type="page"/>
      </w:r>
    </w:p>
    <w:p>
      <w:pPr>
        <w:pStyle w:val="Heading1"/>
      </w:pPr>
      <w:r>
        <w:rPr>
          <w:color w:val="1A3A5C"/>
        </w:rPr>
        <w:t>2  What the plan closes</w:t>
      </w:r>
    </w:p>
    <w:p>
      <w:r>
        <w:rPr>
          <w:b w:val="0"/>
          <w:i w:val="0"/>
          <w:sz w:val="20"/>
        </w:rPr>
        <w:t>Of 82 assessed features, 50 are short of full coverage today — 18 partial and 32 absent. The 14 steps close 34 of them. The remaining 16 are listed in section 5 with the reason each is not engineering work this plan can schedule.</w:t>
      </w:r>
    </w:p>
    <w:p/>
    <w:tbl>
      <w:tblPr>
        <w:tblStyle w:val="TableGrid"/>
        <w:tblW w:type="auto" w:w="0"/>
        <w:tblLook w:firstColumn="1" w:firstRow="1" w:lastColumn="0" w:lastRow="0" w:noHBand="0" w:noVBand="1" w:val="04A0"/>
      </w:tblPr>
      <w:tblGrid>
        <w:gridCol w:w="2340"/>
        <w:gridCol w:w="2340"/>
        <w:gridCol w:w="2340"/>
        <w:gridCol w:w="2340"/>
      </w:tblGrid>
      <w:tr>
        <w:tc>
          <w:tcPr>
            <w:tcW w:type="dxa" w:w="864"/>
            <w:shd w:fill="1A3A5C" w:val="clear"/>
          </w:tcPr>
          <w:p>
            <w:r>
              <w:rPr>
                <w:b/>
                <w:color w:val="FFFFFF"/>
                <w:sz w:val="17"/>
              </w:rPr>
              <w:t>Step</w:t>
            </w:r>
          </w:p>
        </w:tc>
        <w:tc>
          <w:tcPr>
            <w:tcW w:type="dxa" w:w="1008"/>
            <w:shd w:fill="1A3A5C" w:val="clear"/>
          </w:tcPr>
          <w:p>
            <w:r>
              <w:rPr>
                <w:b/>
                <w:color w:val="FFFFFF"/>
                <w:sz w:val="17"/>
              </w:rPr>
              <w:t>Stage</w:t>
            </w:r>
          </w:p>
        </w:tc>
        <w:tc>
          <w:tcPr>
            <w:tcW w:type="dxa" w:w="5616"/>
            <w:shd w:fill="1A3A5C" w:val="clear"/>
          </w:tcPr>
          <w:p>
            <w:r>
              <w:rPr>
                <w:b/>
                <w:color w:val="FFFFFF"/>
                <w:sz w:val="17"/>
              </w:rPr>
              <w:t>Title</w:t>
            </w:r>
          </w:p>
        </w:tc>
        <w:tc>
          <w:tcPr>
            <w:tcW w:type="dxa" w:w="1872"/>
            <w:shd w:fill="1A3A5C" w:val="clear"/>
          </w:tcPr>
          <w:p>
            <w:r>
              <w:rPr>
                <w:b/>
                <w:color w:val="FFFFFF"/>
                <w:sz w:val="17"/>
              </w:rPr>
              <w:t>Features closed</w:t>
            </w:r>
          </w:p>
        </w:tc>
      </w:tr>
      <w:tr>
        <w:tc>
          <w:tcPr>
            <w:tcW w:type="dxa" w:w="864"/>
            <w:shd w:fill="EEF4FA" w:val="clear"/>
          </w:tcPr>
          <w:p>
            <w:r>
              <w:rPr>
                <w:sz w:val="17"/>
              </w:rPr>
              <w:t>1</w:t>
            </w:r>
          </w:p>
        </w:tc>
        <w:tc>
          <w:tcPr>
            <w:tcW w:type="dxa" w:w="1008"/>
            <w:shd w:fill="EEF4FA" w:val="clear"/>
          </w:tcPr>
          <w:p>
            <w:r>
              <w:rPr>
                <w:sz w:val="17"/>
              </w:rPr>
              <w:t>A</w:t>
            </w:r>
          </w:p>
        </w:tc>
        <w:tc>
          <w:tcPr>
            <w:tcW w:type="dxa" w:w="5616"/>
            <w:shd w:fill="EEF4FA" w:val="clear"/>
          </w:tcPr>
          <w:p>
            <w:r>
              <w:rPr>
                <w:sz w:val="17"/>
              </w:rPr>
              <w:t>Service layer and guard</w:t>
            </w:r>
          </w:p>
        </w:tc>
        <w:tc>
          <w:tcPr>
            <w:tcW w:type="dxa" w:w="1872"/>
            <w:shd w:fill="EEF4FA" w:val="clear"/>
          </w:tcPr>
          <w:p>
            <w:r>
              <w:rPr>
                <w:sz w:val="17"/>
              </w:rPr>
              <w:t>—</w:t>
            </w:r>
          </w:p>
        </w:tc>
      </w:tr>
      <w:tr>
        <w:tc>
          <w:tcPr>
            <w:tcW w:type="dxa" w:w="864"/>
            <w:shd w:fill="FFFFFF" w:val="clear"/>
          </w:tcPr>
          <w:p>
            <w:r>
              <w:rPr>
                <w:sz w:val="17"/>
              </w:rPr>
              <w:t>2</w:t>
            </w:r>
          </w:p>
        </w:tc>
        <w:tc>
          <w:tcPr>
            <w:tcW w:type="dxa" w:w="1008"/>
            <w:shd w:fill="FFFFFF" w:val="clear"/>
          </w:tcPr>
          <w:p>
            <w:r>
              <w:rPr>
                <w:sz w:val="17"/>
              </w:rPr>
              <w:t>A</w:t>
            </w:r>
          </w:p>
        </w:tc>
        <w:tc>
          <w:tcPr>
            <w:tcW w:type="dxa" w:w="5616"/>
            <w:shd w:fill="FFFFFF" w:val="clear"/>
          </w:tcPr>
          <w:p>
            <w:r>
              <w:rPr>
                <w:sz w:val="17"/>
              </w:rPr>
              <w:t>Query and reporting layer</w:t>
            </w:r>
          </w:p>
        </w:tc>
        <w:tc>
          <w:tcPr>
            <w:tcW w:type="dxa" w:w="1872"/>
            <w:shd w:fill="FFFFFF" w:val="clear"/>
          </w:tcPr>
          <w:p>
            <w:r>
              <w:rPr>
                <w:sz w:val="17"/>
              </w:rPr>
              <w:t>2</w:t>
            </w:r>
          </w:p>
        </w:tc>
      </w:tr>
      <w:tr>
        <w:tc>
          <w:tcPr>
            <w:tcW w:type="dxa" w:w="864"/>
            <w:shd w:fill="EEF4FA" w:val="clear"/>
          </w:tcPr>
          <w:p>
            <w:r>
              <w:rPr>
                <w:sz w:val="17"/>
              </w:rPr>
              <w:t>3</w:t>
            </w:r>
          </w:p>
        </w:tc>
        <w:tc>
          <w:tcPr>
            <w:tcW w:type="dxa" w:w="1008"/>
            <w:shd w:fill="EEF4FA" w:val="clear"/>
          </w:tcPr>
          <w:p>
            <w:r>
              <w:rPr>
                <w:sz w:val="17"/>
              </w:rPr>
              <w:t>B</w:t>
            </w:r>
          </w:p>
        </w:tc>
        <w:tc>
          <w:tcPr>
            <w:tcW w:type="dxa" w:w="5616"/>
            <w:shd w:fill="EEF4FA" w:val="clear"/>
          </w:tcPr>
          <w:p>
            <w:r>
              <w:rPr>
                <w:sz w:val="17"/>
              </w:rPr>
              <w:t>HTTP transport, sessions and service accounts</w:t>
            </w:r>
          </w:p>
        </w:tc>
        <w:tc>
          <w:tcPr>
            <w:tcW w:type="dxa" w:w="1872"/>
            <w:shd w:fill="EEF4FA" w:val="clear"/>
          </w:tcPr>
          <w:p>
            <w:r>
              <w:rPr>
                <w:sz w:val="17"/>
              </w:rPr>
              <w:t>3</w:t>
            </w:r>
          </w:p>
        </w:tc>
      </w:tr>
      <w:tr>
        <w:tc>
          <w:tcPr>
            <w:tcW w:type="dxa" w:w="864"/>
            <w:shd w:fill="FFFFFF" w:val="clear"/>
          </w:tcPr>
          <w:p>
            <w:r>
              <w:rPr>
                <w:sz w:val="17"/>
              </w:rPr>
              <w:t>4</w:t>
            </w:r>
          </w:p>
        </w:tc>
        <w:tc>
          <w:tcPr>
            <w:tcW w:type="dxa" w:w="1008"/>
            <w:shd w:fill="FFFFFF" w:val="clear"/>
          </w:tcPr>
          <w:p>
            <w:r>
              <w:rPr>
                <w:sz w:val="17"/>
              </w:rPr>
              <w:t>B</w:t>
            </w:r>
          </w:p>
        </w:tc>
        <w:tc>
          <w:tcPr>
            <w:tcW w:type="dxa" w:w="5616"/>
            <w:shd w:fill="FFFFFF" w:val="clear"/>
          </w:tcPr>
          <w:p>
            <w:r>
              <w:rPr>
                <w:sz w:val="17"/>
              </w:rPr>
              <w:t>Read endpoints</w:t>
            </w:r>
          </w:p>
        </w:tc>
        <w:tc>
          <w:tcPr>
            <w:tcW w:type="dxa" w:w="1872"/>
            <w:shd w:fill="FFFFFF" w:val="clear"/>
          </w:tcPr>
          <w:p>
            <w:r>
              <w:rPr>
                <w:sz w:val="17"/>
              </w:rPr>
              <w:t>—</w:t>
            </w:r>
          </w:p>
        </w:tc>
      </w:tr>
      <w:tr>
        <w:tc>
          <w:tcPr>
            <w:tcW w:type="dxa" w:w="864"/>
            <w:shd w:fill="EEF4FA" w:val="clear"/>
          </w:tcPr>
          <w:p>
            <w:r>
              <w:rPr>
                <w:sz w:val="17"/>
              </w:rPr>
              <w:t>5</w:t>
            </w:r>
          </w:p>
        </w:tc>
        <w:tc>
          <w:tcPr>
            <w:tcW w:type="dxa" w:w="1008"/>
            <w:shd w:fill="EEF4FA" w:val="clear"/>
          </w:tcPr>
          <w:p>
            <w:r>
              <w:rPr>
                <w:sz w:val="17"/>
              </w:rPr>
              <w:t>B</w:t>
            </w:r>
          </w:p>
        </w:tc>
        <w:tc>
          <w:tcPr>
            <w:tcW w:type="dxa" w:w="5616"/>
            <w:shd w:fill="EEF4FA" w:val="clear"/>
          </w:tcPr>
          <w:p>
            <w:r>
              <w:rPr>
                <w:sz w:val="17"/>
              </w:rPr>
              <w:t>Write endpoints, and the governance gaps</w:t>
            </w:r>
          </w:p>
        </w:tc>
        <w:tc>
          <w:tcPr>
            <w:tcW w:type="dxa" w:w="1872"/>
            <w:shd w:fill="EEF4FA" w:val="clear"/>
          </w:tcPr>
          <w:p>
            <w:r>
              <w:rPr>
                <w:sz w:val="17"/>
              </w:rPr>
              <w:t>4</w:t>
            </w:r>
          </w:p>
        </w:tc>
      </w:tr>
      <w:tr>
        <w:tc>
          <w:tcPr>
            <w:tcW w:type="dxa" w:w="864"/>
            <w:shd w:fill="FFFFFF" w:val="clear"/>
          </w:tcPr>
          <w:p>
            <w:r>
              <w:rPr>
                <w:sz w:val="17"/>
              </w:rPr>
              <w:t>6</w:t>
            </w:r>
          </w:p>
        </w:tc>
        <w:tc>
          <w:tcPr>
            <w:tcW w:type="dxa" w:w="1008"/>
            <w:shd w:fill="FFFFFF" w:val="clear"/>
          </w:tcPr>
          <w:p>
            <w:r>
              <w:rPr>
                <w:sz w:val="17"/>
              </w:rPr>
              <w:t>B</w:t>
            </w:r>
          </w:p>
        </w:tc>
        <w:tc>
          <w:tcPr>
            <w:tcW w:type="dxa" w:w="5616"/>
            <w:shd w:fill="FFFFFF" w:val="clear"/>
          </w:tcPr>
          <w:p>
            <w:r>
              <w:rPr>
                <w:sz w:val="17"/>
              </w:rPr>
              <w:t>Administration, OpenAPI, separation of duties</w:t>
            </w:r>
          </w:p>
        </w:tc>
        <w:tc>
          <w:tcPr>
            <w:tcW w:type="dxa" w:w="1872"/>
            <w:shd w:fill="FFFFFF" w:val="clear"/>
          </w:tcPr>
          <w:p>
            <w:r>
              <w:rPr>
                <w:sz w:val="17"/>
              </w:rPr>
              <w:t>3</w:t>
            </w:r>
          </w:p>
        </w:tc>
      </w:tr>
      <w:tr>
        <w:tc>
          <w:tcPr>
            <w:tcW w:type="dxa" w:w="864"/>
            <w:shd w:fill="EEF4FA" w:val="clear"/>
          </w:tcPr>
          <w:p>
            <w:r>
              <w:rPr>
                <w:sz w:val="17"/>
              </w:rPr>
              <w:t>7</w:t>
            </w:r>
          </w:p>
        </w:tc>
        <w:tc>
          <w:tcPr>
            <w:tcW w:type="dxa" w:w="1008"/>
            <w:shd w:fill="EEF4FA" w:val="clear"/>
          </w:tcPr>
          <w:p>
            <w:r>
              <w:rPr>
                <w:sz w:val="17"/>
              </w:rPr>
              <w:t>B</w:t>
            </w:r>
          </w:p>
        </w:tc>
        <w:tc>
          <w:tcPr>
            <w:tcW w:type="dxa" w:w="5616"/>
            <w:shd w:fill="EEF4FA" w:val="clear"/>
          </w:tcPr>
          <w:p>
            <w:r>
              <w:rPr>
                <w:sz w:val="17"/>
              </w:rPr>
              <w:t>Web console and self-service</w:t>
            </w:r>
          </w:p>
        </w:tc>
        <w:tc>
          <w:tcPr>
            <w:tcW w:type="dxa" w:w="1872"/>
            <w:shd w:fill="EEF4FA" w:val="clear"/>
          </w:tcPr>
          <w:p>
            <w:r>
              <w:rPr>
                <w:sz w:val="17"/>
              </w:rPr>
              <w:t>2</w:t>
            </w:r>
          </w:p>
        </w:tc>
      </w:tr>
      <w:tr>
        <w:tc>
          <w:tcPr>
            <w:tcW w:type="dxa" w:w="864"/>
            <w:shd w:fill="FFFFFF" w:val="clear"/>
          </w:tcPr>
          <w:p>
            <w:r>
              <w:rPr>
                <w:sz w:val="17"/>
              </w:rPr>
              <w:t>8</w:t>
            </w:r>
          </w:p>
        </w:tc>
        <w:tc>
          <w:tcPr>
            <w:tcW w:type="dxa" w:w="1008"/>
            <w:shd w:fill="FFFFFF" w:val="clear"/>
          </w:tcPr>
          <w:p>
            <w:r>
              <w:rPr>
                <w:sz w:val="17"/>
              </w:rPr>
              <w:t>C</w:t>
            </w:r>
          </w:p>
        </w:tc>
        <w:tc>
          <w:tcPr>
            <w:tcW w:type="dxa" w:w="5616"/>
            <w:shd w:fill="FFFFFF" w:val="clear"/>
          </w:tcPr>
          <w:p>
            <w:r>
              <w:rPr>
                <w:sz w:val="17"/>
              </w:rPr>
              <w:t>Enterprise identity and policy</w:t>
            </w:r>
          </w:p>
        </w:tc>
        <w:tc>
          <w:tcPr>
            <w:tcW w:type="dxa" w:w="1872"/>
            <w:shd w:fill="FFFFFF" w:val="clear"/>
          </w:tcPr>
          <w:p>
            <w:r>
              <w:rPr>
                <w:sz w:val="17"/>
              </w:rPr>
              <w:t>2</w:t>
            </w:r>
          </w:p>
        </w:tc>
      </w:tr>
      <w:tr>
        <w:tc>
          <w:tcPr>
            <w:tcW w:type="dxa" w:w="864"/>
            <w:shd w:fill="EEF4FA" w:val="clear"/>
          </w:tcPr>
          <w:p>
            <w:r>
              <w:rPr>
                <w:sz w:val="17"/>
              </w:rPr>
              <w:t>9</w:t>
            </w:r>
          </w:p>
        </w:tc>
        <w:tc>
          <w:tcPr>
            <w:tcW w:type="dxa" w:w="1008"/>
            <w:shd w:fill="EEF4FA" w:val="clear"/>
          </w:tcPr>
          <w:p>
            <w:r>
              <w:rPr>
                <w:sz w:val="17"/>
              </w:rPr>
              <w:t>C</w:t>
            </w:r>
          </w:p>
        </w:tc>
        <w:tc>
          <w:tcPr>
            <w:tcW w:type="dxa" w:w="5616"/>
            <w:shd w:fill="EEF4FA" w:val="clear"/>
          </w:tcPr>
          <w:p>
            <w:r>
              <w:rPr>
                <w:sz w:val="17"/>
              </w:rPr>
              <w:t>Audit externalisation, compliance and ceremony</w:t>
            </w:r>
          </w:p>
        </w:tc>
        <w:tc>
          <w:tcPr>
            <w:tcW w:type="dxa" w:w="1872"/>
            <w:shd w:fill="EEF4FA" w:val="clear"/>
          </w:tcPr>
          <w:p>
            <w:r>
              <w:rPr>
                <w:sz w:val="17"/>
              </w:rPr>
              <w:t>7</w:t>
            </w:r>
          </w:p>
        </w:tc>
      </w:tr>
      <w:tr>
        <w:tc>
          <w:tcPr>
            <w:tcW w:type="dxa" w:w="864"/>
            <w:shd w:fill="FFFFFF" w:val="clear"/>
          </w:tcPr>
          <w:p>
            <w:r>
              <w:rPr>
                <w:sz w:val="17"/>
              </w:rPr>
              <w:t>10</w:t>
            </w:r>
          </w:p>
        </w:tc>
        <w:tc>
          <w:tcPr>
            <w:tcW w:type="dxa" w:w="1008"/>
            <w:shd w:fill="FFFFFF" w:val="clear"/>
          </w:tcPr>
          <w:p>
            <w:r>
              <w:rPr>
                <w:sz w:val="17"/>
              </w:rPr>
              <w:t>D</w:t>
            </w:r>
          </w:p>
        </w:tc>
        <w:tc>
          <w:tcPr>
            <w:tcW w:type="dxa" w:w="5616"/>
            <w:shd w:fill="FFFFFF" w:val="clear"/>
          </w:tcPr>
          <w:p>
            <w:r>
              <w:rPr>
                <w:sz w:val="17"/>
              </w:rPr>
              <w:t>Storage abstraction and PostgreSQL</w:t>
            </w:r>
          </w:p>
        </w:tc>
        <w:tc>
          <w:tcPr>
            <w:tcW w:type="dxa" w:w="1872"/>
            <w:shd w:fill="FFFFFF" w:val="clear"/>
          </w:tcPr>
          <w:p>
            <w:r>
              <w:rPr>
                <w:sz w:val="17"/>
              </w:rPr>
              <w:t>1</w:t>
            </w:r>
          </w:p>
        </w:tc>
      </w:tr>
      <w:tr>
        <w:tc>
          <w:tcPr>
            <w:tcW w:type="dxa" w:w="864"/>
            <w:shd w:fill="EEF4FA" w:val="clear"/>
          </w:tcPr>
          <w:p>
            <w:r>
              <w:rPr>
                <w:sz w:val="17"/>
              </w:rPr>
              <w:t>11</w:t>
            </w:r>
          </w:p>
        </w:tc>
        <w:tc>
          <w:tcPr>
            <w:tcW w:type="dxa" w:w="1008"/>
            <w:shd w:fill="EEF4FA" w:val="clear"/>
          </w:tcPr>
          <w:p>
            <w:r>
              <w:rPr>
                <w:sz w:val="17"/>
              </w:rPr>
              <w:t>D</w:t>
            </w:r>
          </w:p>
        </w:tc>
        <w:tc>
          <w:tcPr>
            <w:tcW w:type="dxa" w:w="5616"/>
            <w:shd w:fill="EEF4FA" w:val="clear"/>
          </w:tcPr>
          <w:p>
            <w:r>
              <w:rPr>
                <w:sz w:val="17"/>
              </w:rPr>
              <w:t>High availability, failover and deployment</w:t>
            </w:r>
          </w:p>
        </w:tc>
        <w:tc>
          <w:tcPr>
            <w:tcW w:type="dxa" w:w="1872"/>
            <w:shd w:fill="EEF4FA" w:val="clear"/>
          </w:tcPr>
          <w:p>
            <w:r>
              <w:rPr>
                <w:sz w:val="17"/>
              </w:rPr>
              <w:t>6</w:t>
            </w:r>
          </w:p>
        </w:tc>
      </w:tr>
      <w:tr>
        <w:tc>
          <w:tcPr>
            <w:tcW w:type="dxa" w:w="864"/>
            <w:shd w:fill="FFFFFF" w:val="clear"/>
          </w:tcPr>
          <w:p>
            <w:r>
              <w:rPr>
                <w:sz w:val="17"/>
              </w:rPr>
              <w:t>12</w:t>
            </w:r>
          </w:p>
        </w:tc>
        <w:tc>
          <w:tcPr>
            <w:tcW w:type="dxa" w:w="1008"/>
            <w:shd w:fill="FFFFFF" w:val="clear"/>
          </w:tcPr>
          <w:p>
            <w:r>
              <w:rPr>
                <w:sz w:val="17"/>
              </w:rPr>
              <w:t>D</w:t>
            </w:r>
          </w:p>
        </w:tc>
        <w:tc>
          <w:tcPr>
            <w:tcW w:type="dxa" w:w="5616"/>
            <w:shd w:fill="FFFFFF" w:val="clear"/>
          </w:tcPr>
          <w:p>
            <w:r>
              <w:rPr>
                <w:sz w:val="17"/>
              </w:rPr>
              <w:t>Multi-tenancy</w:t>
            </w:r>
          </w:p>
        </w:tc>
        <w:tc>
          <w:tcPr>
            <w:tcW w:type="dxa" w:w="1872"/>
            <w:shd w:fill="FFFFFF" w:val="clear"/>
          </w:tcPr>
          <w:p>
            <w:r>
              <w:rPr>
                <w:sz w:val="17"/>
              </w:rPr>
              <w:t>2</w:t>
            </w:r>
          </w:p>
        </w:tc>
      </w:tr>
      <w:tr>
        <w:tc>
          <w:tcPr>
            <w:tcW w:type="dxa" w:w="864"/>
            <w:shd w:fill="EEF4FA" w:val="clear"/>
          </w:tcPr>
          <w:p>
            <w:r>
              <w:rPr>
                <w:sz w:val="17"/>
              </w:rPr>
              <w:t>13</w:t>
            </w:r>
          </w:p>
        </w:tc>
        <w:tc>
          <w:tcPr>
            <w:tcW w:type="dxa" w:w="1008"/>
            <w:shd w:fill="EEF4FA" w:val="clear"/>
          </w:tcPr>
          <w:p>
            <w:r>
              <w:rPr>
                <w:sz w:val="17"/>
              </w:rPr>
              <w:t>E</w:t>
            </w:r>
          </w:p>
        </w:tc>
        <w:tc>
          <w:tcPr>
            <w:tcW w:type="dxa" w:w="5616"/>
            <w:shd w:fill="EEF4FA" w:val="clear"/>
          </w:tcPr>
          <w:p>
            <w:r>
              <w:rPr>
                <w:sz w:val="17"/>
              </w:rPr>
              <w:t>KMIP JSON and XML encodings</w:t>
            </w:r>
          </w:p>
        </w:tc>
        <w:tc>
          <w:tcPr>
            <w:tcW w:type="dxa" w:w="1872"/>
            <w:shd w:fill="EEF4FA" w:val="clear"/>
          </w:tcPr>
          <w:p>
            <w:r>
              <w:rPr>
                <w:sz w:val="17"/>
              </w:rPr>
              <w:t>1</w:t>
            </w:r>
          </w:p>
        </w:tc>
      </w:tr>
      <w:tr>
        <w:tc>
          <w:tcPr>
            <w:tcW w:type="dxa" w:w="864"/>
            <w:shd w:fill="FFFFFF" w:val="clear"/>
          </w:tcPr>
          <w:p>
            <w:r>
              <w:rPr>
                <w:sz w:val="17"/>
              </w:rPr>
              <w:t>14</w:t>
            </w:r>
          </w:p>
        </w:tc>
        <w:tc>
          <w:tcPr>
            <w:tcW w:type="dxa" w:w="1008"/>
            <w:shd w:fill="FFFFFF" w:val="clear"/>
          </w:tcPr>
          <w:p>
            <w:r>
              <w:rPr>
                <w:sz w:val="17"/>
              </w:rPr>
              <w:t>E</w:t>
            </w:r>
          </w:p>
        </w:tc>
        <w:tc>
          <w:tcPr>
            <w:tcW w:type="dxa" w:w="5616"/>
            <w:shd w:fill="FFFFFF" w:val="clear"/>
          </w:tcPr>
          <w:p>
            <w:r>
              <w:rPr>
                <w:sz w:val="17"/>
              </w:rPr>
              <w:t>Certificate discovery and expiry monitoring</w:t>
            </w:r>
          </w:p>
        </w:tc>
        <w:tc>
          <w:tcPr>
            <w:tcW w:type="dxa" w:w="1872"/>
            <w:shd w:fill="FFFFFF" w:val="clear"/>
          </w:tcPr>
          <w:p>
            <w:r>
              <w:rPr>
                <w:sz w:val="17"/>
              </w:rPr>
              <w:t>1</w:t>
            </w:r>
          </w:p>
        </w:tc>
      </w:tr>
    </w:tbl>
    <w:p/>
    <w:p>
      <w:r>
        <w:rPr>
          <w:b/>
          <w:i w:val="0"/>
          <w:color w:val="2E6DA4"/>
          <w:sz w:val="20"/>
        </w:rPr>
        <w:t>The 5 stages</w:t>
      </w:r>
    </w:p>
    <w:tbl>
      <w:tblPr>
        <w:tblStyle w:val="TableGrid"/>
        <w:tblW w:type="auto" w:w="0"/>
        <w:tblLook w:firstColumn="1" w:firstRow="1" w:lastColumn="0" w:lastRow="0" w:noHBand="0" w:noVBand="1" w:val="04A0"/>
      </w:tblPr>
      <w:tblGrid>
        <w:gridCol w:w="3120"/>
        <w:gridCol w:w="3120"/>
        <w:gridCol w:w="3120"/>
      </w:tblGrid>
      <w:tr>
        <w:tc>
          <w:tcPr>
            <w:tcW w:type="dxa" w:w="1008"/>
            <w:shd w:fill="1A3A5C" w:val="clear"/>
          </w:tcPr>
          <w:p>
            <w:r>
              <w:rPr>
                <w:b/>
                <w:color w:val="FFFFFF"/>
                <w:sz w:val="17"/>
              </w:rPr>
              <w:t>Stage</w:t>
            </w:r>
          </w:p>
        </w:tc>
        <w:tc>
          <w:tcPr>
            <w:tcW w:type="dxa" w:w="3168"/>
            <w:shd w:fill="1A3A5C" w:val="clear"/>
          </w:tcPr>
          <w:p>
            <w:r>
              <w:rPr>
                <w:b/>
                <w:color w:val="FFFFFF"/>
                <w:sz w:val="17"/>
              </w:rPr>
              <w:t>Name</w:t>
            </w:r>
          </w:p>
        </w:tc>
        <w:tc>
          <w:tcPr>
            <w:tcW w:type="dxa" w:w="5184"/>
            <w:shd w:fill="1A3A5C" w:val="clear"/>
          </w:tcPr>
          <w:p>
            <w:r>
              <w:rPr>
                <w:b/>
                <w:color w:val="FFFFFF"/>
                <w:sz w:val="17"/>
              </w:rPr>
              <w:t>Character</w:t>
            </w:r>
          </w:p>
        </w:tc>
      </w:tr>
      <w:tr>
        <w:tc>
          <w:tcPr>
            <w:tcW w:type="dxa" w:w="1008"/>
            <w:shd w:fill="EEF4FA" w:val="clear"/>
          </w:tcPr>
          <w:p>
            <w:r>
              <w:rPr>
                <w:sz w:val="17"/>
              </w:rPr>
              <w:t>A</w:t>
            </w:r>
          </w:p>
        </w:tc>
        <w:tc>
          <w:tcPr>
            <w:tcW w:type="dxa" w:w="3168"/>
            <w:shd w:fill="EEF4FA" w:val="clear"/>
          </w:tcPr>
          <w:p>
            <w:r>
              <w:rPr>
                <w:sz w:val="17"/>
              </w:rPr>
              <w:t>Foundation</w:t>
            </w:r>
          </w:p>
        </w:tc>
        <w:tc>
          <w:tcPr>
            <w:tcW w:type="dxa" w:w="5184"/>
            <w:shd w:fill="EEF4FA" w:val="clear"/>
          </w:tcPr>
          <w:p>
            <w:r>
              <w:rPr>
                <w:sz w:val="17"/>
              </w:rPr>
              <w:t>No new attack surface. Makes the rest safe to build.</w:t>
            </w:r>
          </w:p>
        </w:tc>
      </w:tr>
      <w:tr>
        <w:tc>
          <w:tcPr>
            <w:tcW w:type="dxa" w:w="1008"/>
            <w:shd w:fill="FFFFFF" w:val="clear"/>
          </w:tcPr>
          <w:p>
            <w:r>
              <w:rPr>
                <w:sz w:val="17"/>
              </w:rPr>
              <w:t>B</w:t>
            </w:r>
          </w:p>
        </w:tc>
        <w:tc>
          <w:tcPr>
            <w:tcW w:type="dxa" w:w="3168"/>
            <w:shd w:fill="FFFFFF" w:val="clear"/>
          </w:tcPr>
          <w:p>
            <w:r>
              <w:rPr>
                <w:sz w:val="17"/>
              </w:rPr>
              <w:t>The REST control plane</w:t>
            </w:r>
          </w:p>
        </w:tc>
        <w:tc>
          <w:tcPr>
            <w:tcW w:type="dxa" w:w="5184"/>
            <w:shd w:fill="FFFFFF" w:val="clear"/>
          </w:tcPr>
          <w:p>
            <w:r>
              <w:rPr>
                <w:sz w:val="17"/>
              </w:rPr>
              <w:t>The API, then the console that uses it.</w:t>
            </w:r>
          </w:p>
        </w:tc>
      </w:tr>
      <w:tr>
        <w:tc>
          <w:tcPr>
            <w:tcW w:type="dxa" w:w="1008"/>
            <w:shd w:fill="EEF4FA" w:val="clear"/>
          </w:tcPr>
          <w:p>
            <w:r>
              <w:rPr>
                <w:sz w:val="17"/>
              </w:rPr>
              <w:t>C</w:t>
            </w:r>
          </w:p>
        </w:tc>
        <w:tc>
          <w:tcPr>
            <w:tcW w:type="dxa" w:w="3168"/>
            <w:shd w:fill="EEF4FA" w:val="clear"/>
          </w:tcPr>
          <w:p>
            <w:r>
              <w:rPr>
                <w:sz w:val="17"/>
              </w:rPr>
              <w:t>Enterprise fit</w:t>
            </w:r>
          </w:p>
        </w:tc>
        <w:tc>
          <w:tcPr>
            <w:tcW w:type="dxa" w:w="5184"/>
            <w:shd w:fill="EEF4FA" w:val="clear"/>
          </w:tcPr>
          <w:p>
            <w:r>
              <w:rPr>
                <w:sz w:val="17"/>
              </w:rPr>
              <w:t>What an auditor and a security team ask for.</w:t>
            </w:r>
          </w:p>
        </w:tc>
      </w:tr>
      <w:tr>
        <w:tc>
          <w:tcPr>
            <w:tcW w:type="dxa" w:w="1008"/>
            <w:shd w:fill="FFFFFF" w:val="clear"/>
          </w:tcPr>
          <w:p>
            <w:r>
              <w:rPr>
                <w:sz w:val="17"/>
              </w:rPr>
              <w:t>D</w:t>
            </w:r>
          </w:p>
        </w:tc>
        <w:tc>
          <w:tcPr>
            <w:tcW w:type="dxa" w:w="3168"/>
            <w:shd w:fill="FFFFFF" w:val="clear"/>
          </w:tcPr>
          <w:p>
            <w:r>
              <w:rPr>
                <w:sz w:val="17"/>
              </w:rPr>
              <w:t>Scale, availability and tenancy</w:t>
            </w:r>
          </w:p>
        </w:tc>
        <w:tc>
          <w:tcPr>
            <w:tcW w:type="dxa" w:w="5184"/>
            <w:shd w:fill="FFFFFF" w:val="clear"/>
          </w:tcPr>
          <w:p>
            <w:r>
              <w:rPr>
                <w:sz w:val="17"/>
              </w:rPr>
              <w:t>Needs infrastructure to verify.</w:t>
            </w:r>
          </w:p>
        </w:tc>
      </w:tr>
      <w:tr>
        <w:tc>
          <w:tcPr>
            <w:tcW w:type="dxa" w:w="1008"/>
            <w:shd w:fill="EEF4FA" w:val="clear"/>
          </w:tcPr>
          <w:p>
            <w:r>
              <w:rPr>
                <w:sz w:val="17"/>
              </w:rPr>
              <w:t>E</w:t>
            </w:r>
          </w:p>
        </w:tc>
        <w:tc>
          <w:tcPr>
            <w:tcW w:type="dxa" w:w="3168"/>
            <w:shd w:fill="EEF4FA" w:val="clear"/>
          </w:tcPr>
          <w:p>
            <w:r>
              <w:rPr>
                <w:sz w:val="17"/>
              </w:rPr>
              <w:t>Protocol and estate reach</w:t>
            </w:r>
          </w:p>
        </w:tc>
        <w:tc>
          <w:tcPr>
            <w:tcW w:type="dxa" w:w="5184"/>
            <w:shd w:fill="EEF4FA" w:val="clear"/>
          </w:tcPr>
          <w:p>
            <w:r>
              <w:rPr>
                <w:sz w:val="17"/>
              </w:rPr>
              <w:t>Additive, independent of D, verifiable here.</w:t>
            </w:r>
          </w:p>
        </w:tc>
      </w:tr>
    </w:tbl>
    <w:p/>
    <w:p>
      <w:r>
        <w:rPr>
          <w:b w:val="0"/>
          <w:i/>
          <w:sz w:val="19"/>
        </w:rPr>
        <w:t>Steps 1 and 2 close nothing and are still the two most important. They are the reason the ten that follow can be built without each one re-litigating authorization, and the reason a REST endpoint cannot quietly become a path around dual control.</w:t>
      </w:r>
    </w:p>
    <w:p>
      <w:r>
        <w:br w:type="page"/>
      </w:r>
    </w:p>
    <w:p>
      <w:pPr>
        <w:pStyle w:val="Heading1"/>
      </w:pPr>
      <w:r>
        <w:rPr>
          <w:color w:val="1A3A5C"/>
        </w:rPr>
        <w:t>3  Sequence and dependencies</w:t>
      </w:r>
    </w:p>
    <w:p>
      <w:r>
        <w:rPr>
          <w:b w:val="0"/>
          <w:i w:val="0"/>
          <w:sz w:val="20"/>
        </w:rPr>
        <w:t>The order is dictated by dependency, not by visibility. Three constraints fix most of it.</w:t>
      </w:r>
    </w:p>
    <w:p/>
    <w:p>
      <w:pPr>
        <w:pStyle w:val="ListBullet"/>
        <w:ind w:left="461"/>
      </w:pPr>
      <w:r>
        <w:rPr>
          <w:sz w:val="20"/>
        </w:rPr>
        <w:t>Step 1 precedes every other step. Authorization, dual control and audit currently live inside the KMIP dispatcher; a REST layer built before they move would bypass all three, and the bypass would be silent.</w:t>
      </w:r>
    </w:p>
    <w:p>
      <w:pPr>
        <w:pStyle w:val="ListBullet"/>
        <w:ind w:left="461"/>
      </w:pPr>
      <w:r>
        <w:rPr>
          <w:sz w:val="20"/>
        </w:rPr>
        <w:t>Step 10 precedes step 11, which precedes step 12. SQLite has no multi-writer story, so clustering waits on PostgreSQL, and tenancy is only worth building on something that can survive a node failure.</w:t>
      </w:r>
    </w:p>
    <w:p>
      <w:pPr>
        <w:pStyle w:val="ListBullet"/>
        <w:ind w:left="461"/>
      </w:pPr>
      <w:r>
        <w:rPr>
          <w:sz w:val="20"/>
        </w:rPr>
        <w:t>Step 3 precedes 4, 5 and 6, which precede 7. The console is a client of the API; building it earlier means building it twice.</w:t>
      </w:r>
    </w:p>
    <w:p>
      <w:pPr>
        <w:pStyle w:val="ListBullet"/>
        <w:ind w:left="461"/>
      </w:pPr>
      <w:r>
        <w:rPr>
          <w:sz w:val="20"/>
        </w:rPr>
        <w:t>Steps 8 and 9 depend only on stage B and can run in parallel with each other, or with stage D if there are two teams.</w:t>
      </w:r>
    </w:p>
    <w:p/>
    <w:p>
      <w:r>
        <w:rPr>
          <w:b/>
          <w:i w:val="0"/>
          <w:color w:val="8F5610"/>
          <w:sz w:val="20"/>
        </w:rPr>
        <w:t>Where the plan needs infrastructure it does not have</w:t>
      </w:r>
    </w:p>
    <w:tbl>
      <w:tblPr>
        <w:tblStyle w:val="TableGrid"/>
        <w:tblW w:type="auto" w:w="0"/>
        <w:tblLook w:firstColumn="1" w:firstRow="1" w:lastColumn="0" w:lastRow="0" w:noHBand="0" w:noVBand="1" w:val="04A0"/>
      </w:tblPr>
      <w:tblGrid>
        <w:gridCol w:w="3120"/>
        <w:gridCol w:w="3120"/>
        <w:gridCol w:w="3120"/>
      </w:tblGrid>
      <w:tr>
        <w:tc>
          <w:tcPr>
            <w:tcW w:type="dxa" w:w="864"/>
            <w:shd w:fill="1A3A5C" w:val="clear"/>
          </w:tcPr>
          <w:p>
            <w:r>
              <w:rPr>
                <w:b/>
                <w:color w:val="FFFFFF"/>
                <w:sz w:val="17"/>
              </w:rPr>
              <w:t>Step</w:t>
            </w:r>
          </w:p>
        </w:tc>
        <w:tc>
          <w:tcPr>
            <w:tcW w:type="dxa" w:w="3168"/>
            <w:shd w:fill="1A3A5C" w:val="clear"/>
          </w:tcPr>
          <w:p>
            <w:r>
              <w:rPr>
                <w:b/>
                <w:color w:val="FFFFFF"/>
                <w:sz w:val="17"/>
              </w:rPr>
              <w:t>Needs</w:t>
            </w:r>
          </w:p>
        </w:tc>
        <w:tc>
          <w:tcPr>
            <w:tcW w:type="dxa" w:w="5328"/>
            <w:shd w:fill="1A3A5C" w:val="clear"/>
          </w:tcPr>
          <w:p>
            <w:r>
              <w:rPr>
                <w:b/>
                <w:color w:val="FFFFFF"/>
                <w:sz w:val="17"/>
              </w:rPr>
              <w:t>If unavailable</w:t>
            </w:r>
          </w:p>
        </w:tc>
      </w:tr>
      <w:tr>
        <w:tc>
          <w:tcPr>
            <w:tcW w:type="dxa" w:w="864"/>
            <w:shd w:fill="EEF4FA" w:val="clear"/>
          </w:tcPr>
          <w:p>
            <w:r>
              <w:rPr>
                <w:sz w:val="17"/>
              </w:rPr>
              <w:t>10</w:t>
            </w:r>
          </w:p>
        </w:tc>
        <w:tc>
          <w:tcPr>
            <w:tcW w:type="dxa" w:w="3168"/>
            <w:shd w:fill="EEF4FA" w:val="clear"/>
          </w:tcPr>
          <w:p>
            <w:r>
              <w:rPr>
                <w:sz w:val="17"/>
              </w:rPr>
              <w:t>A PostgreSQL instance in CI</w:t>
            </w:r>
          </w:p>
        </w:tc>
        <w:tc>
          <w:tcPr>
            <w:tcW w:type="dxa" w:w="5328"/>
            <w:shd w:fill="EEF4FA" w:val="clear"/>
          </w:tcPr>
          <w:p>
            <w:r>
              <w:rPr>
                <w:sz w:val="17"/>
              </w:rPr>
              <w:t>The abstraction can be built and the SQLite path kept green, but the PostgreSQL implementation cannot be claimed as verified.</w:t>
            </w:r>
          </w:p>
        </w:tc>
      </w:tr>
      <w:tr>
        <w:tc>
          <w:tcPr>
            <w:tcW w:type="dxa" w:w="864"/>
            <w:shd w:fill="FFFFFF" w:val="clear"/>
          </w:tcPr>
          <w:p>
            <w:r>
              <w:rPr>
                <w:sz w:val="17"/>
              </w:rPr>
              <w:t>11</w:t>
            </w:r>
          </w:p>
        </w:tc>
        <w:tc>
          <w:tcPr>
            <w:tcW w:type="dxa" w:w="3168"/>
            <w:shd w:fill="FFFFFF" w:val="clear"/>
          </w:tcPr>
          <w:p>
            <w:r>
              <w:rPr>
                <w:sz w:val="17"/>
              </w:rPr>
              <w:t>Multiple nodes and a second HSM token</w:t>
            </w:r>
          </w:p>
        </w:tc>
        <w:tc>
          <w:tcPr>
            <w:tcW w:type="dxa" w:w="5328"/>
            <w:shd w:fill="FFFFFF" w:val="clear"/>
          </w:tcPr>
          <w:p>
            <w:r>
              <w:rPr>
                <w:sz w:val="17"/>
              </w:rPr>
              <w:t>Failover must not be marked done. An untested failover path invites exactly the reliance it cannot support.</w:t>
            </w:r>
          </w:p>
        </w:tc>
      </w:tr>
      <w:tr>
        <w:tc>
          <w:tcPr>
            <w:tcW w:type="dxa" w:w="864"/>
            <w:shd w:fill="EEF4FA" w:val="clear"/>
          </w:tcPr>
          <w:p>
            <w:r>
              <w:rPr>
                <w:sz w:val="17"/>
              </w:rPr>
              <w:t>11</w:t>
            </w:r>
          </w:p>
        </w:tc>
        <w:tc>
          <w:tcPr>
            <w:tcW w:type="dxa" w:w="3168"/>
            <w:shd w:fill="EEF4FA" w:val="clear"/>
          </w:tcPr>
          <w:p>
            <w:r>
              <w:rPr>
                <w:sz w:val="17"/>
              </w:rPr>
              <w:t>Network access to a container registry</w:t>
            </w:r>
          </w:p>
        </w:tc>
        <w:tc>
          <w:tcPr>
            <w:tcW w:type="dxa" w:w="5328"/>
            <w:shd w:fill="EEF4FA" w:val="clear"/>
          </w:tcPr>
          <w:p>
            <w:r>
              <w:rPr>
                <w:sz w:val="17"/>
              </w:rPr>
              <w:t>The image and CI workflow have still never been executed. This step is the first opportunity to fix that.</w:t>
            </w:r>
          </w:p>
        </w:tc>
      </w:tr>
      <w:tr>
        <w:tc>
          <w:tcPr>
            <w:tcW w:type="dxa" w:w="864"/>
            <w:shd w:fill="FFFFFF" w:val="clear"/>
          </w:tcPr>
          <w:p>
            <w:r>
              <w:rPr>
                <w:sz w:val="17"/>
              </w:rPr>
              <w:t>7</w:t>
            </w:r>
          </w:p>
        </w:tc>
        <w:tc>
          <w:tcPr>
            <w:tcW w:type="dxa" w:w="3168"/>
            <w:shd w:fill="FFFFFF" w:val="clear"/>
          </w:tcPr>
          <w:p>
            <w:r>
              <w:rPr>
                <w:sz w:val="17"/>
              </w:rPr>
              <w:t>A browser in CI for end-to-end tests</w:t>
            </w:r>
          </w:p>
        </w:tc>
        <w:tc>
          <w:tcPr>
            <w:tcW w:type="dxa" w:w="5328"/>
            <w:shd w:fill="FFFFFF" w:val="clear"/>
          </w:tcPr>
          <w:p>
            <w:r>
              <w:rPr>
                <w:sz w:val="17"/>
              </w:rPr>
              <w:t>Playwright and Chromium are available in this environment, so this one is not blocked.</w:t>
            </w:r>
          </w:p>
        </w:tc>
      </w:tr>
    </w:tbl>
    <w:p>
      <w:r>
        <w:br w:type="page"/>
      </w:r>
    </w:p>
    <w:p>
      <w:pPr>
        <w:pStyle w:val="Heading1"/>
      </w:pPr>
      <w:r>
        <w:rPr>
          <w:color w:val="1A3A5C"/>
        </w:rPr>
        <w:t>4  The steps</w:t>
      </w:r>
    </w:p>
    <w:p>
      <w:r>
        <w:rPr>
          <w:b w:val="0"/>
          <w:i/>
          <w:sz w:val="18"/>
        </w:rPr>
        <w:t>Sizes are estimates for planning, not commitments. The test counts are the more meaningful figure: they say what the step has to prove.</w:t>
      </w:r>
    </w:p>
    <w:p/>
    <w:p>
      <w:pPr>
        <w:pStyle w:val="Heading2"/>
      </w:pPr>
      <w:r>
        <w:rPr>
          <w:color w:val="1A3A5C"/>
        </w:rPr>
        <w:t>Step 1 — Service layer and guard</w:t>
      </w:r>
    </w:p>
    <w:p>
      <w:r>
        <w:rPr>
          <w:rFonts w:ascii="Courier New" w:hAnsi="Courier New"/>
          <w:color w:val="2E6DA4"/>
          <w:sz w:val="17"/>
        </w:rPr>
        <w:t>Stage A   ·   ~600 lines moved, ~15 new tests. No new dependencies.</w:t>
      </w:r>
    </w:p>
    <w:p>
      <w:r>
        <w:rPr>
          <w:b/>
          <w:i w:val="0"/>
          <w:sz w:val="21"/>
        </w:rPr>
        <w:t>Make authorization, dual control, audit and metrics impossible to bypass — before a second transport exists to bypass them.</w:t>
      </w:r>
    </w:p>
    <w:p/>
    <w:p>
      <w:r>
        <w:rPr>
          <w:b/>
          <w:i w:val="0"/>
          <w:color w:val="8F5610"/>
          <w:sz w:val="19"/>
        </w:rPr>
        <w:t>Impact on the existing design</w:t>
      </w:r>
    </w:p>
    <w:p>
      <w:pPr>
        <w:pStyle w:val="ListBullet"/>
        <w:ind w:left="461"/>
      </w:pPr>
      <w:r>
        <w:rPr>
          <w:sz w:val="19"/>
        </w:rPr>
        <w:t>OperationDispatcher loses its cross-cutting logic and becomes a codec: decode, call the service, encode.</w:t>
      </w:r>
    </w:p>
    <w:p>
      <w:pPr>
        <w:pStyle w:val="ListBullet"/>
        <w:ind w:left="461"/>
      </w:pPr>
      <w:r>
        <w:rPr>
          <w:sz w:val="19"/>
        </w:rPr>
        <w:t>access_control.py and dual_control.py are invoked from one place instead of being wired into a transport.</w:t>
      </w:r>
    </w:p>
    <w:p>
      <w:pPr>
        <w:pStyle w:val="ListBullet"/>
        <w:ind w:left="461"/>
      </w:pPr>
      <w:r>
        <w:rPr>
          <w:sz w:val="19"/>
        </w:rPr>
        <w:t>No schema change, no configuration change, nothing on the wire changes.</w:t>
      </w:r>
    </w:p>
    <w:p/>
    <w:p>
      <w:r>
        <w:rPr>
          <w:b/>
          <w:i w:val="0"/>
          <w:color w:val="2E6DA4"/>
          <w:sz w:val="19"/>
        </w:rPr>
        <w:t>Design</w:t>
      </w:r>
    </w:p>
    <w:p>
      <w:pPr>
        <w:pStyle w:val="ListBullet"/>
        <w:ind w:left="461"/>
      </w:pPr>
      <w:r>
        <w:rPr>
          <w:sz w:val="19"/>
        </w:rPr>
        <w:t>A new kmip_pkcs11/service/ package: CallContext (identity, peer address, transport), a guard() context manager, and KeyService / AdminService facades over the existing handlers and store.</w:t>
      </w:r>
    </w:p>
    <w:p>
      <w:pPr>
        <w:pStyle w:val="ListBullet"/>
        <w:ind w:left="461"/>
      </w:pPr>
      <w:r>
        <w:rPr>
          <w:sz w:val="19"/>
        </w:rPr>
        <w:t>The guard runs the role allowlist, then dual control, then the operation, then audit and metrics — the exact order dispatch() uses today.</w:t>
      </w:r>
    </w:p>
    <w:p>
      <w:pPr>
        <w:pStyle w:val="ListBullet"/>
        <w:ind w:left="461"/>
      </w:pPr>
      <w:r>
        <w:rPr>
          <w:sz w:val="19"/>
        </w:rPr>
        <w:t>OperationDispatcher shrinks to: decode TTLV, call the service, encode TTLV.</w:t>
      </w:r>
    </w:p>
    <w:p/>
    <w:p>
      <w:r>
        <w:rPr>
          <w:b/>
          <w:i w:val="0"/>
          <w:color w:val="2E6DA4"/>
          <w:sz w:val="19"/>
        </w:rPr>
        <w:t>Implementation</w:t>
      </w:r>
    </w:p>
    <w:p>
      <w:pPr>
        <w:pStyle w:val="ListBullet"/>
        <w:ind w:left="461"/>
      </w:pPr>
      <w:r>
        <w:rPr>
          <w:sz w:val="19"/>
        </w:rPr>
        <w:t>Move check_operation_allowed, dual_control_enforce, _audit and _record_metric out of the dispatcher into the guard. Operation handlers are not touched.</w:t>
      </w:r>
    </w:p>
    <w:p>
      <w:pPr>
        <w:pStyle w:val="ListBullet"/>
        <w:ind w:left="461"/>
      </w:pPr>
      <w:r>
        <w:rPr>
          <w:sz w:val="19"/>
        </w:rPr>
        <w:t>Every service method takes a CallContext as its first argument, so a caller cannot forget to say who is asking.</w:t>
      </w:r>
    </w:p>
    <w:p/>
    <w:p>
      <w:r>
        <w:rPr>
          <w:b/>
          <w:i w:val="0"/>
          <w:color w:val="2E6DA4"/>
          <w:sz w:val="19"/>
        </w:rPr>
        <w:t>Tests</w:t>
      </w:r>
    </w:p>
    <w:p>
      <w:pPr>
        <w:pStyle w:val="ListBullet"/>
        <w:ind w:left="461"/>
      </w:pPr>
      <w:r>
        <w:rPr>
          <w:sz w:val="19"/>
        </w:rPr>
        <w:t>The existing suite must pass unmodified — this step changes no behaviour, and a test that needed editing would mean it did.</w:t>
      </w:r>
    </w:p>
    <w:p>
      <w:pPr>
        <w:pStyle w:val="ListBullet"/>
        <w:ind w:left="461"/>
      </w:pPr>
      <w:r>
        <w:rPr>
          <w:sz w:val="19"/>
        </w:rPr>
        <w:t>New: a reflection test that enumerates every public method on the service classes and asserts each one is guard-wrapped. This is the test that stops step 5 from quietly reintroducing a bypass.</w:t>
      </w:r>
    </w:p>
    <w:p>
      <w:pPr>
        <w:pStyle w:val="ListBullet"/>
        <w:ind w:left="461"/>
      </w:pPr>
      <w:r>
        <w:rPr>
          <w:sz w:val="19"/>
        </w:rPr>
        <w:t>New: guard writes an audit row on success and on failure; consumes a dual-control approval before the handler runs, not after; records metrics on both paths.</w:t>
      </w:r>
    </w:p>
    <w:p/>
    <w:p>
      <w:r>
        <w:rPr>
          <w:b/>
          <w:i w:val="0"/>
          <w:color w:val="1E802E"/>
          <w:sz w:val="19"/>
        </w:rPr>
        <w:t>Gate</w:t>
      </w:r>
    </w:p>
    <w:p>
      <w:r>
        <w:rPr>
          <w:b w:val="0"/>
          <w:i w:val="0"/>
          <w:sz w:val="19"/>
        </w:rPr>
        <w:t>All 816 existing tests pass with no test file modified, and the reflection test proves no service method escapes the guard.</w:t>
      </w:r>
    </w:p>
    <w:p/>
    <w:p>
      <w:r>
        <w:rPr>
          <w:b/>
          <w:i w:val="0"/>
          <w:color w:val="2E6DA4"/>
          <w:sz w:val="19"/>
        </w:rPr>
        <w:t>Closes</w:t>
      </w:r>
    </w:p>
    <w:p>
      <w:r>
        <w:rPr>
          <w:b w:val="0"/>
          <w:i/>
          <w:sz w:val="19"/>
        </w:rPr>
        <w:t>Nothing directly — this step exists so that the steps after it can be built safely.</w:t>
      </w:r>
    </w:p>
    <w:p>
      <w:r>
        <w:br w:type="page"/>
      </w:r>
    </w:p>
    <w:p>
      <w:pPr>
        <w:pStyle w:val="Heading2"/>
      </w:pPr>
      <w:r>
        <w:rPr>
          <w:color w:val="1A3A5C"/>
        </w:rPr>
        <w:t>Step 2 — Query and reporting layer</w:t>
      </w:r>
    </w:p>
    <w:p>
      <w:r>
        <w:rPr>
          <w:rFonts w:ascii="Courier New" w:hAnsi="Courier New"/>
          <w:color w:val="2E6DA4"/>
          <w:sz w:val="17"/>
        </w:rPr>
        <w:t>Stage A   ·   ~400 lines, ~20 tests.</w:t>
      </w:r>
    </w:p>
    <w:p>
      <w:r>
        <w:rPr>
          <w:b/>
          <w:i w:val="0"/>
          <w:sz w:val="21"/>
        </w:rPr>
        <w:t>Let the store answer the questions a console asks, in one query rather than N+1.</w:t>
      </w:r>
    </w:p>
    <w:p/>
    <w:p>
      <w:r>
        <w:rPr>
          <w:b/>
          <w:i w:val="0"/>
          <w:color w:val="8F5610"/>
          <w:sz w:val="19"/>
        </w:rPr>
        <w:t>Impact on the existing design</w:t>
      </w:r>
    </w:p>
    <w:p>
      <w:pPr>
        <w:pStyle w:val="ListBullet"/>
        <w:ind w:left="461"/>
      </w:pPr>
      <w:r>
        <w:rPr>
          <w:sz w:val="19"/>
        </w:rPr>
        <w:t>metadata/store.py gains paged query methods; the existing locate() is untouched, so the KMIP handler is unaffected.</w:t>
      </w:r>
    </w:p>
    <w:p>
      <w:pPr>
        <w:pStyle w:val="ListBullet"/>
        <w:ind w:left="461"/>
      </w:pPr>
      <w:r>
        <w:rPr>
          <w:sz w:val="19"/>
        </w:rPr>
        <w:t>New indexes on the sortable columns — the first schema migration since Phase 1.</w:t>
      </w:r>
    </w:p>
    <w:p/>
    <w:p>
      <w:r>
        <w:rPr>
          <w:b/>
          <w:i w:val="0"/>
          <w:color w:val="2E6DA4"/>
          <w:sz w:val="19"/>
        </w:rPr>
        <w:t>Design</w:t>
      </w:r>
    </w:p>
    <w:p>
      <w:pPr>
        <w:pStyle w:val="ListBullet"/>
        <w:ind w:left="461"/>
      </w:pPr>
      <w:r>
        <w:rPr>
          <w:sz w:val="19"/>
        </w:rPr>
        <w:t>store.locate_page(filters, sort, cursor, limit) returning full rows, an opaque cursor and a total — not the bare identifiers Locate returns.</w:t>
      </w:r>
    </w:p>
    <w:p>
      <w:pPr>
        <w:pStyle w:val="ListBullet"/>
        <w:ind w:left="461"/>
      </w:pPr>
      <w:r>
        <w:rPr>
          <w:sz w:val="19"/>
        </w:rPr>
        <w:t>Cursor is (sort key, uid) encoded, not an offset: offset paging over a table that is being written double-shows rows.</w:t>
      </w:r>
    </w:p>
    <w:p>
      <w:pPr>
        <w:pStyle w:val="ListBullet"/>
        <w:ind w:left="461"/>
      </w:pPr>
      <w:r>
        <w:rPr>
          <w:sz w:val="19"/>
        </w:rPr>
        <w:t>store.inventory_report() and store.algorithm_usage() for the two reporting gaps.</w:t>
      </w:r>
    </w:p>
    <w:p/>
    <w:p>
      <w:r>
        <w:rPr>
          <w:b/>
          <w:i w:val="0"/>
          <w:color w:val="2E6DA4"/>
          <w:sz w:val="19"/>
        </w:rPr>
        <w:t>Implementation</w:t>
      </w:r>
    </w:p>
    <w:p>
      <w:pPr>
        <w:pStyle w:val="ListBullet"/>
        <w:ind w:left="461"/>
      </w:pPr>
      <w:r>
        <w:rPr>
          <w:sz w:val="19"/>
        </w:rPr>
        <w:t>Add the new methods beside the existing locate(), which stays exactly as it is for the KMIP handler.</w:t>
      </w:r>
    </w:p>
    <w:p>
      <w:pPr>
        <w:pStyle w:val="ListBullet"/>
        <w:ind w:left="461"/>
      </w:pPr>
      <w:r>
        <w:rPr>
          <w:sz w:val="19"/>
        </w:rPr>
        <w:t>Indexes to match the sort columns the console offers.</w:t>
      </w:r>
    </w:p>
    <w:p/>
    <w:p>
      <w:r>
        <w:rPr>
          <w:b/>
          <w:i w:val="0"/>
          <w:color w:val="2E6DA4"/>
          <w:sz w:val="19"/>
        </w:rPr>
        <w:t>Tests</w:t>
      </w:r>
    </w:p>
    <w:p>
      <w:pPr>
        <w:pStyle w:val="ListBullet"/>
        <w:ind w:left="461"/>
      </w:pPr>
      <w:r>
        <w:rPr>
          <w:sz w:val="19"/>
        </w:rPr>
        <w:t>Paging over a table mutated between pages neither duplicates nor skips a row — insert and delete between fetches and assert the union.</w:t>
      </w:r>
    </w:p>
    <w:p>
      <w:pPr>
        <w:pStyle w:val="ListBullet"/>
        <w:ind w:left="461"/>
      </w:pPr>
      <w:r>
        <w:rPr>
          <w:sz w:val="19"/>
        </w:rPr>
        <w:t>Sort by each supported column, ascending and descending; total equals a brute-force count; a tampered cursor is rejected rather than trusted.</w:t>
      </w:r>
    </w:p>
    <w:p>
      <w:pPr>
        <w:pStyle w:val="ListBullet"/>
        <w:ind w:left="461"/>
      </w:pPr>
      <w:r>
        <w:rPr>
          <w:sz w:val="19"/>
        </w:rPr>
        <w:t>Inventory and algorithm counts match a brute-force scan of the same store.</w:t>
      </w:r>
    </w:p>
    <w:p/>
    <w:p>
      <w:r>
        <w:rPr>
          <w:b/>
          <w:i w:val="0"/>
          <w:color w:val="1E802E"/>
          <w:sz w:val="19"/>
        </w:rPr>
        <w:t>Gate</w:t>
      </w:r>
    </w:p>
    <w:p>
      <w:r>
        <w:rPr>
          <w:b w:val="0"/>
          <w:i w:val="0"/>
          <w:sz w:val="19"/>
        </w:rPr>
        <w:t>A store holding 12,000 objects returns page one of fifty, sorted by expiry, in a single query, with the same figures a full scan produces.</w:t>
      </w:r>
    </w:p>
    <w:p/>
    <w:p>
      <w:r>
        <w:rPr>
          <w:b/>
          <w:i w:val="0"/>
          <w:color w:val="2E6DA4"/>
          <w:sz w:val="19"/>
        </w:rPr>
        <w:t>Closes</w:t>
      </w:r>
    </w:p>
    <w:p>
      <w:pPr>
        <w:pStyle w:val="ListBullet"/>
        <w:ind w:left="461"/>
      </w:pPr>
      <w:r>
        <w:rPr>
          <w:sz w:val="19"/>
        </w:rPr>
        <w:t>Key inventory and discovery</w:t>
      </w:r>
    </w:p>
    <w:p>
      <w:pPr>
        <w:pStyle w:val="ListBullet"/>
        <w:ind w:left="461"/>
      </w:pPr>
      <w:r>
        <w:rPr>
          <w:sz w:val="19"/>
        </w:rPr>
        <w:t>Crypto-agility reporting</w:t>
      </w:r>
    </w:p>
    <w:p>
      <w:r>
        <w:br w:type="page"/>
      </w:r>
    </w:p>
    <w:p>
      <w:pPr>
        <w:pStyle w:val="Heading2"/>
      </w:pPr>
      <w:r>
        <w:rPr>
          <w:color w:val="1A3A5C"/>
        </w:rPr>
        <w:t>Step 3 — HTTP transport, sessions and service accounts</w:t>
      </w:r>
    </w:p>
    <w:p>
      <w:r>
        <w:rPr>
          <w:rFonts w:ascii="Courier New" w:hAnsi="Courier New"/>
          <w:color w:val="2E6DA4"/>
          <w:sz w:val="17"/>
        </w:rPr>
        <w:t>Stage B   ·   ~900 lines, ~35 tests.</w:t>
      </w:r>
    </w:p>
    <w:p>
      <w:r>
        <w:rPr>
          <w:b/>
          <w:i w:val="0"/>
          <w:sz w:val="21"/>
        </w:rPr>
        <w:t>An authenticated HTTPS listener that shares nothing with the KMIP port, and cannot be flooded.</w:t>
      </w:r>
    </w:p>
    <w:p/>
    <w:p>
      <w:r>
        <w:rPr>
          <w:b/>
          <w:i w:val="0"/>
          <w:color w:val="8F5610"/>
          <w:sz w:val="19"/>
        </w:rPr>
        <w:t>Impact on the existing design</w:t>
      </w:r>
    </w:p>
    <w:p>
      <w:pPr>
        <w:pStyle w:val="ListBullet"/>
        <w:ind w:left="461"/>
      </w:pPr>
      <w:r>
        <w:rPr>
          <w:sz w:val="19"/>
        </w:rPr>
        <w:t>A second listener and a second authenticated entry point: the security surface roughly doubles.</w:t>
      </w:r>
    </w:p>
    <w:p>
      <w:pPr>
        <w:pStyle w:val="ListBullet"/>
        <w:ind w:left="461"/>
      </w:pPr>
      <w:r>
        <w:rPr>
          <w:sz w:val="19"/>
        </w:rPr>
        <w:t>New config section, new tables for tokens, new failure modes the KMIP path never had (429, CSRF).</w:t>
      </w:r>
    </w:p>
    <w:p>
      <w:pPr>
        <w:pStyle w:val="ListBullet"/>
        <w:ind w:left="461"/>
      </w:pPr>
      <w:r>
        <w:rPr>
          <w:sz w:val="19"/>
        </w:rPr>
        <w:t>observability.py keeps its own unauthenticated port, deliberately separate.</w:t>
      </w:r>
    </w:p>
    <w:p/>
    <w:p>
      <w:r>
        <w:rPr>
          <w:b/>
          <w:i w:val="0"/>
          <w:color w:val="2E6DA4"/>
          <w:sz w:val="19"/>
        </w:rPr>
        <w:t>Design</w:t>
      </w:r>
    </w:p>
    <w:p>
      <w:pPr>
        <w:pStyle w:val="ListBullet"/>
        <w:ind w:left="461"/>
      </w:pPr>
      <w:r>
        <w:rPr>
          <w:sz w:val="19"/>
        </w:rPr>
        <w:t>New api: configuration section — own port, TLS mandatory, off by default. Not the observability port: /metrics and /ready are deliberately unauthenticated and must stay that way.</w:t>
      </w:r>
    </w:p>
    <w:p>
      <w:pPr>
        <w:pStyle w:val="ListBullet"/>
        <w:ind w:left="461"/>
      </w:pPr>
      <w:r>
        <w:rPr>
          <w:sz w:val="19"/>
        </w:rPr>
        <w:t>Opaque 256-bit tokens stored as SHA-256 hashes, with identity, label, created / expires / last used / revoked. Not JWTs: revocation matters more than statelessness, and there is already a database.</w:t>
      </w:r>
    </w:p>
    <w:p>
      <w:pPr>
        <w:pStyle w:val="ListBullet"/>
        <w:ind w:left="461"/>
      </w:pPr>
      <w:r>
        <w:rPr>
          <w:sz w:val="19"/>
        </w:rPr>
        <w:t>Browsers get an httpOnly, Secure, SameSite cookie plus a CSRF token; machine clients send a bearer header. Long-lived labelled tokens are the service-account mechanism.</w:t>
      </w:r>
    </w:p>
    <w:p>
      <w:pPr>
        <w:pStyle w:val="ListBullet"/>
        <w:ind w:left="461"/>
      </w:pPr>
      <w:r>
        <w:rPr>
          <w:sz w:val="19"/>
        </w:rPr>
        <w:t>A bounded connection semaphore and a per-identity token bucket.</w:t>
      </w:r>
    </w:p>
    <w:p/>
    <w:p>
      <w:r>
        <w:rPr>
          <w:b/>
          <w:i w:val="0"/>
          <w:color w:val="2E6DA4"/>
          <w:sz w:val="19"/>
        </w:rPr>
        <w:t>Implementation</w:t>
      </w:r>
    </w:p>
    <w:p>
      <w:pPr>
        <w:pStyle w:val="ListBullet"/>
        <w:ind w:left="461"/>
      </w:pPr>
      <w:r>
        <w:rPr>
          <w:sz w:val="19"/>
        </w:rPr>
        <w:t>kmip_pkcs11/api/ with a small stdlib router on ThreadingHTTPServer — the project has three runtime dependencies and none of them does cryptography, which is a property worth keeping.</w:t>
      </w:r>
    </w:p>
    <w:p>
      <w:pPr>
        <w:pStyle w:val="ListBullet"/>
        <w:ind w:left="461"/>
      </w:pPr>
      <w:r>
        <w:rPr>
          <w:sz w:val="19"/>
        </w:rPr>
        <w:t>Middleware order: authenticate, rate limit, route, translate exceptions into RFC 9457 problem+json.</w:t>
      </w:r>
    </w:p>
    <w:p>
      <w:pPr>
        <w:pStyle w:val="ListBullet"/>
        <w:ind w:left="461"/>
      </w:pPr>
      <w:r>
        <w:rPr>
          <w:sz w:val="19"/>
        </w:rPr>
        <w:t>POST and DELETE /api/v1/session, GET /api/v1/me.</w:t>
      </w:r>
    </w:p>
    <w:p/>
    <w:p>
      <w:r>
        <w:rPr>
          <w:b/>
          <w:i w:val="0"/>
          <w:color w:val="2E6DA4"/>
          <w:sz w:val="19"/>
        </w:rPr>
        <w:t>Tests</w:t>
      </w:r>
    </w:p>
    <w:p>
      <w:pPr>
        <w:pStyle w:val="ListBullet"/>
        <w:ind w:left="461"/>
      </w:pPr>
      <w:r>
        <w:rPr>
          <w:sz w:val="19"/>
        </w:rPr>
        <w:t>Login succeeds and fails correctly; a disabled identity is refused; a deleted identity's live session stops working immediately.</w:t>
      </w:r>
    </w:p>
    <w:p>
      <w:pPr>
        <w:pStyle w:val="ListBullet"/>
        <w:ind w:left="461"/>
      </w:pPr>
      <w:r>
        <w:rPr>
          <w:sz w:val="19"/>
        </w:rPr>
        <w:t>Token revocation takes effect on the next request; absolute and idle expiry; a cookie request without a CSRF token is refused while a bearer request is not.</w:t>
      </w:r>
    </w:p>
    <w:p>
      <w:pPr>
        <w:pStyle w:val="ListBullet"/>
        <w:ind w:left="461"/>
      </w:pPr>
      <w:r>
        <w:rPr>
          <w:sz w:val="19"/>
        </w:rPr>
        <w:t>Rate limiting returns 429 and recovers; the connection cap holds under 200 concurrent connections; the KMIP port is unaffected throughout.</w:t>
      </w:r>
    </w:p>
    <w:p>
      <w:pPr>
        <w:pStyle w:val="ListBullet"/>
        <w:ind w:left="461"/>
      </w:pPr>
      <w:r>
        <w:rPr>
          <w:sz w:val="19"/>
        </w:rPr>
        <w:t>Configuration validation refuses api.enabled without TLS.</w:t>
      </w:r>
    </w:p>
    <w:p>
      <w:pPr>
        <w:pStyle w:val="ListBullet"/>
        <w:ind w:left="461"/>
      </w:pPr>
      <w:r>
        <w:rPr>
          <w:sz w:val="19"/>
        </w:rPr>
        <w:t>Every login, logout, token issue and token revoke is an audit row.</w:t>
      </w:r>
    </w:p>
    <w:p/>
    <w:p>
      <w:r>
        <w:rPr>
          <w:b/>
          <w:i w:val="0"/>
          <w:color w:val="1E802E"/>
          <w:sz w:val="19"/>
        </w:rPr>
        <w:t>Gate</w:t>
      </w:r>
    </w:p>
    <w:p>
      <w:r>
        <w:rPr>
          <w:b w:val="0"/>
          <w:i w:val="0"/>
          <w:sz w:val="19"/>
        </w:rPr>
        <w:t>Two hundred concurrent connections do not exhaust the listener, a revoked token is refused on its next use, and the KMIP port serves normally while the API is under load.</w:t>
      </w:r>
    </w:p>
    <w:p/>
    <w:p>
      <w:r>
        <w:rPr>
          <w:b/>
          <w:i w:val="0"/>
          <w:color w:val="2E6DA4"/>
          <w:sz w:val="19"/>
        </w:rPr>
        <w:t>Closes</w:t>
      </w:r>
    </w:p>
    <w:p>
      <w:pPr>
        <w:pStyle w:val="ListBullet"/>
        <w:ind w:left="461"/>
      </w:pPr>
      <w:r>
        <w:rPr>
          <w:sz w:val="19"/>
        </w:rPr>
        <w:t>API keys / service accounts</w:t>
      </w:r>
    </w:p>
    <w:p>
      <w:pPr>
        <w:pStyle w:val="ListBullet"/>
        <w:ind w:left="461"/>
      </w:pPr>
      <w:r>
        <w:rPr>
          <w:sz w:val="19"/>
        </w:rPr>
        <w:t>Connection and rate limiting</w:t>
      </w:r>
    </w:p>
    <w:p>
      <w:pPr>
        <w:pStyle w:val="ListBullet"/>
        <w:ind w:left="461"/>
      </w:pPr>
      <w:r>
        <w:rPr>
          <w:sz w:val="19"/>
        </w:rPr>
        <w:t>Request bounds and DoS resistance</w:t>
      </w:r>
    </w:p>
    <w:p>
      <w:r>
        <w:br w:type="page"/>
      </w:r>
    </w:p>
    <w:p>
      <w:pPr>
        <w:pStyle w:val="Heading2"/>
      </w:pPr>
      <w:r>
        <w:rPr>
          <w:color w:val="1A3A5C"/>
        </w:rPr>
        <w:t>Step 4 — Read endpoints</w:t>
      </w:r>
    </w:p>
    <w:p>
      <w:r>
        <w:rPr>
          <w:rFonts w:ascii="Courier New" w:hAnsi="Courier New"/>
          <w:color w:val="2E6DA4"/>
          <w:sz w:val="17"/>
        </w:rPr>
        <w:t>Stage B   ·   ~700 lines, ~40 tests.</w:t>
      </w:r>
    </w:p>
    <w:p>
      <w:r>
        <w:rPr>
          <w:b/>
          <w:i w:val="0"/>
          <w:sz w:val="21"/>
        </w:rPr>
        <w:t>Everything a console displays, with authorization identical to KMIP.</w:t>
      </w:r>
    </w:p>
    <w:p/>
    <w:p>
      <w:r>
        <w:rPr>
          <w:b/>
          <w:i w:val="0"/>
          <w:color w:val="8F5610"/>
          <w:sz w:val="19"/>
        </w:rPr>
        <w:t>Impact on the existing design</w:t>
      </w:r>
    </w:p>
    <w:p>
      <w:pPr>
        <w:pStyle w:val="ListBullet"/>
        <w:ind w:left="461"/>
      </w:pPr>
      <w:r>
        <w:rPr>
          <w:sz w:val="19"/>
        </w:rPr>
        <w:t>Read paths gain an HTTP representation; the KMIP path does not change at all.</w:t>
      </w:r>
    </w:p>
    <w:p>
      <w:pPr>
        <w:pStyle w:val="ListBullet"/>
        <w:ind w:left="461"/>
      </w:pPr>
      <w:r>
        <w:rPr>
          <w:sz w:val="19"/>
        </w:rPr>
        <w:t>The 404-versus-403 decision becomes an API contract every later step must preserve.</w:t>
      </w:r>
    </w:p>
    <w:p/>
    <w:p>
      <w:r>
        <w:rPr>
          <w:b/>
          <w:i w:val="0"/>
          <w:color w:val="2E6DA4"/>
          <w:sz w:val="19"/>
        </w:rPr>
        <w:t>Design</w:t>
      </w:r>
    </w:p>
    <w:p>
      <w:pPr>
        <w:pStyle w:val="ListBullet"/>
        <w:ind w:left="461"/>
      </w:pPr>
      <w:r>
        <w:rPr>
          <w:sz w:val="19"/>
        </w:rPr>
        <w:t>GET /keys (paged, filtered, sorted), /keys/{uid}, /keys/{uid}/attributes, /audit, /audit/verify, /approvals, /reports/expiring, /reports/inventory.</w:t>
      </w:r>
    </w:p>
    <w:p>
      <w:pPr>
        <w:pStyle w:val="ListBullet"/>
        <w:ind w:left="461"/>
      </w:pPr>
      <w:r>
        <w:rPr>
          <w:sz w:val="19"/>
        </w:rPr>
        <w:t>404 and 403 are chosen deliberately: an object the caller may not see returns the same answer as one that does not exist, so the API does not become an existence oracle.</w:t>
      </w:r>
    </w:p>
    <w:p/>
    <w:p>
      <w:r>
        <w:rPr>
          <w:b/>
          <w:i w:val="0"/>
          <w:color w:val="2E6DA4"/>
          <w:sz w:val="19"/>
        </w:rPr>
        <w:t>Implementation</w:t>
      </w:r>
    </w:p>
    <w:p>
      <w:pPr>
        <w:pStyle w:val="ListBullet"/>
        <w:ind w:left="461"/>
      </w:pPr>
      <w:r>
        <w:rPr>
          <w:sz w:val="19"/>
        </w:rPr>
        <w:t>Read-only handlers calling the services from step 1 — no store access from the transport layer, which the guard reflection test enforces.</w:t>
      </w:r>
    </w:p>
    <w:p/>
    <w:p>
      <w:r>
        <w:rPr>
          <w:b/>
          <w:i w:val="0"/>
          <w:color w:val="2E6DA4"/>
          <w:sz w:val="19"/>
        </w:rPr>
        <w:t>Tests</w:t>
      </w:r>
    </w:p>
    <w:p>
      <w:pPr>
        <w:pStyle w:val="ListBullet"/>
        <w:ind w:left="461"/>
      </w:pPr>
      <w:r>
        <w:rPr>
          <w:sz w:val="19"/>
        </w:rPr>
        <w:t>Authorization parity: for a given identity, GET /keys returns exactly the set KMIP Locate returns. Parametrised over owner, admin, grantee, group member and stranger.</w:t>
      </w:r>
    </w:p>
    <w:p>
      <w:pPr>
        <w:pStyle w:val="ListBullet"/>
        <w:ind w:left="461"/>
      </w:pPr>
      <w:r>
        <w:rPr>
          <w:sz w:val="19"/>
        </w:rPr>
        <w:t>The paging contract from step 2 holds through the HTTP layer.</w:t>
      </w:r>
    </w:p>
    <w:p>
      <w:pPr>
        <w:pStyle w:val="ListBullet"/>
        <w:ind w:left="461"/>
      </w:pPr>
      <w:r>
        <w:rPr>
          <w:sz w:val="19"/>
        </w:rPr>
        <w:t>Audit filters by identity, object, result and time range; the approval queue lists pending requests only.</w:t>
      </w:r>
    </w:p>
    <w:p>
      <w:pPr>
        <w:pStyle w:val="ListBullet"/>
        <w:ind w:left="461"/>
      </w:pPr>
      <w:r>
        <w:rPr>
          <w:sz w:val="19"/>
        </w:rPr>
        <w:t>A read of an object the caller may not see is indistinguishable from a read of one that does not exist.</w:t>
      </w:r>
    </w:p>
    <w:p>
      <w:pPr>
        <w:pStyle w:val="ListBullet"/>
        <w:ind w:left="461"/>
      </w:pPr>
      <w:r>
        <w:rPr>
          <w:sz w:val="19"/>
        </w:rPr>
        <w:t>Every read is audited — 'who exported this key' is a read.</w:t>
      </w:r>
    </w:p>
    <w:p/>
    <w:p>
      <w:r>
        <w:rPr>
          <w:b/>
          <w:i w:val="0"/>
          <w:color w:val="1E802E"/>
          <w:sz w:val="19"/>
        </w:rPr>
        <w:t>Gate</w:t>
      </w:r>
    </w:p>
    <w:p>
      <w:r>
        <w:rPr>
          <w:b w:val="0"/>
          <w:i w:val="0"/>
          <w:sz w:val="19"/>
        </w:rPr>
        <w:t>A read-only console renders key inventory, audit search and the approval queue against real data, and a test proves no write path is reachable through any registered route.</w:t>
      </w:r>
    </w:p>
    <w:p/>
    <w:p>
      <w:r>
        <w:rPr>
          <w:b/>
          <w:i w:val="0"/>
          <w:color w:val="2E6DA4"/>
          <w:sz w:val="19"/>
        </w:rPr>
        <w:t>Closes</w:t>
      </w:r>
    </w:p>
    <w:p>
      <w:r>
        <w:rPr>
          <w:b w:val="0"/>
          <w:i/>
          <w:sz w:val="19"/>
        </w:rPr>
        <w:t>Nothing directly — this step exists so that the steps after it can be built safely.</w:t>
      </w:r>
    </w:p>
    <w:p>
      <w:r>
        <w:br w:type="page"/>
      </w:r>
    </w:p>
    <w:p>
      <w:pPr>
        <w:pStyle w:val="Heading2"/>
      </w:pPr>
      <w:r>
        <w:rPr>
          <w:color w:val="1A3A5C"/>
        </w:rPr>
        <w:t>Step 5 — Write endpoints, and the governance gaps</w:t>
      </w:r>
    </w:p>
    <w:p>
      <w:r>
        <w:rPr>
          <w:rFonts w:ascii="Courier New" w:hAnsi="Courier New"/>
          <w:color w:val="2E6DA4"/>
          <w:sz w:val="17"/>
        </w:rPr>
        <w:t>Stage B   ·   ~1,350 lines, ~68 tests.</w:t>
      </w:r>
    </w:p>
    <w:p>
      <w:r>
        <w:rPr>
          <w:b/>
          <w:i w:val="0"/>
          <w:sz w:val="21"/>
        </w:rPr>
        <w:t>Lifecycle and delegation over REST, with governance applying by construction rather than by remembering.</w:t>
      </w:r>
    </w:p>
    <w:p/>
    <w:p>
      <w:r>
        <w:rPr>
          <w:b/>
          <w:i w:val="0"/>
          <w:color w:val="8F5610"/>
          <w:sz w:val="19"/>
        </w:rPr>
        <w:t>Impact on the existing design</w:t>
      </w:r>
    </w:p>
    <w:p>
      <w:pPr>
        <w:pStyle w:val="ListBullet"/>
        <w:ind w:left="461"/>
      </w:pPr>
      <w:r>
        <w:rPr>
          <w:sz w:val="19"/>
        </w:rPr>
        <w:t>Write paths over HTTP, with governance applied through the guard rather than re-implemented beside it.</w:t>
      </w:r>
    </w:p>
    <w:p>
      <w:pPr>
        <w:pStyle w:val="ListBullet"/>
        <w:ind w:left="461"/>
      </w:pPr>
      <w:r>
        <w:rPr>
          <w:sz w:val="19"/>
        </w:rPr>
        <w:t>lifecycle/governance.py extends to key pairs, create_split_key gains a second method, and the service layer gains transactions.</w:t>
      </w:r>
    </w:p>
    <w:p>
      <w:pPr>
        <w:pStyle w:val="ListBullet"/>
        <w:ind w:left="461"/>
      </w:pPr>
      <w:r>
        <w:rPr>
          <w:sz w:val="19"/>
        </w:rPr>
        <w:t>The server acquires a data plane. Until now every caller fetched a key reference and asked the token to act on it; now applications send data and never see a key at all.</w:t>
      </w:r>
    </w:p>
    <w:p/>
    <w:p>
      <w:r>
        <w:rPr>
          <w:b/>
          <w:i w:val="0"/>
          <w:color w:val="2E6DA4"/>
          <w:sz w:val="19"/>
        </w:rPr>
        <w:t>Design</w:t>
      </w:r>
    </w:p>
    <w:p>
      <w:pPr>
        <w:pStyle w:val="ListBullet"/>
        <w:ind w:left="461"/>
      </w:pPr>
      <w:r>
        <w:rPr>
          <w:sz w:val="19"/>
        </w:rPr>
        <w:t>POST /keys; POST /keys/{uid}/activate | revoke | rekey; DELETE /keys/{uid}; PUT /keys/{uid}/cryptoperiod; grants, groups and role permissions; POST /approvals/{id}/approve.</w:t>
      </w:r>
    </w:p>
    <w:p>
      <w:pPr>
        <w:pStyle w:val="ListBullet"/>
        <w:ind w:left="461"/>
      </w:pPr>
      <w:r>
        <w:rPr>
          <w:sz w:val="19"/>
        </w:rPr>
        <w:t>A dual-control refusal returns 403 carrying the approval request id and the count outstanding, so the console can render 'awaiting 2 approvals' and link to the queue. That falls out of the existing enforcement.</w:t>
      </w:r>
    </w:p>
    <w:p>
      <w:pPr>
        <w:pStyle w:val="ListBullet"/>
        <w:ind w:left="461"/>
      </w:pPr>
      <w:r>
        <w:rPr>
          <w:sz w:val="19"/>
        </w:rPr>
        <w:t>Three matrix gaps are closed here because they are lifecycle work: asymmetric auto-rotation, Shamir threshold split keys, and batch atomicity via a service-level transaction.</w:t>
      </w:r>
    </w:p>
    <w:p>
      <w:pPr>
        <w:pStyle w:val="ListBullet"/>
        <w:ind w:left="461"/>
      </w:pPr>
      <w:r>
        <w:rPr>
          <w:sz w:val="19"/>
        </w:rPr>
        <w:t>The data plane beside the control plane: POST /keys/{uid}/encrypt | decrypt | sign | mac, and /datakey returning a fresh key both wrapped under the named key and in the clear — the surface applications actually consume, and the primitives already run inside the token.</w:t>
      </w:r>
    </w:p>
    <w:p/>
    <w:p>
      <w:r>
        <w:rPr>
          <w:b/>
          <w:i w:val="0"/>
          <w:color w:val="2E6DA4"/>
          <w:sz w:val="19"/>
        </w:rPr>
        <w:t>Implementation</w:t>
      </w:r>
    </w:p>
    <w:p>
      <w:pPr>
        <w:pStyle w:val="ListBullet"/>
        <w:ind w:left="461"/>
      </w:pPr>
      <w:r>
        <w:rPr>
          <w:sz w:val="19"/>
        </w:rPr>
        <w:t>All writes go through the guard. Scheduled rotation extends to key pairs using the existing ReKeyKeyPair handler; CreateSplitKey gains a Shamir method alongside XOR; the service layer wraps a batch in one transaction so a mid-batch failure rolls back.</w:t>
      </w:r>
    </w:p>
    <w:p>
      <w:pPr>
        <w:pStyle w:val="ListBullet"/>
        <w:ind w:left="461"/>
      </w:pPr>
      <w:r>
        <w:rPr>
          <w:sz w:val="19"/>
        </w:rPr>
        <w:t>The crypto endpoints are thin: they translate JSON to the arguments the existing Encrypt, Decrypt, Sign and MAC handlers already take. Re-wrap is decrypt-then-encrypt under the successor key, inside one guarded call so plaintext never leaves the process.</w:t>
      </w:r>
    </w:p>
    <w:p/>
    <w:p>
      <w:r>
        <w:rPr>
          <w:b/>
          <w:i w:val="0"/>
          <w:color w:val="2E6DA4"/>
          <w:sz w:val="19"/>
        </w:rPr>
        <w:t>Tests</w:t>
      </w:r>
    </w:p>
    <w:p>
      <w:pPr>
        <w:pStyle w:val="ListBullet"/>
        <w:ind w:left="461"/>
      </w:pPr>
      <w:r>
        <w:rPr>
          <w:sz w:val="19"/>
        </w:rPr>
        <w:t>The dual-control assertion from the KMIP wire test, run verbatim against REST: the first Destroy is refused, the key survives, two other identities approve, the retry succeeds, and the approval is spent.</w:t>
      </w:r>
    </w:p>
    <w:p>
      <w:pPr>
        <w:pStyle w:val="ListBullet"/>
        <w:ind w:left="461"/>
      </w:pPr>
      <w:r>
        <w:rPr>
          <w:sz w:val="19"/>
        </w:rPr>
        <w:t>Role allowlists and group grants behave identically over both transports — parametrised over the transport, one test body.</w:t>
      </w:r>
    </w:p>
    <w:p>
      <w:pPr>
        <w:pStyle w:val="ListBullet"/>
        <w:ind w:left="461"/>
      </w:pPr>
      <w:r>
        <w:rPr>
          <w:sz w:val="19"/>
        </w:rPr>
        <w:t>Asymmetric rotation cross-links both new objects to both old ones.</w:t>
      </w:r>
    </w:p>
    <w:p>
      <w:pPr>
        <w:pStyle w:val="ListBullet"/>
        <w:ind w:left="461"/>
      </w:pPr>
      <w:r>
        <w:rPr>
          <w:sz w:val="19"/>
        </w:rPr>
        <w:t>Shamir: any k of n shares reconstruct, any k-1 fail.</w:t>
      </w:r>
    </w:p>
    <w:p>
      <w:pPr>
        <w:pStyle w:val="ListBullet"/>
        <w:ind w:left="461"/>
      </w:pPr>
      <w:r>
        <w:rPr>
          <w:sz w:val="19"/>
        </w:rPr>
        <w:t>A batch whose third item fails leaves the first two unapplied.</w:t>
      </w:r>
    </w:p>
    <w:p>
      <w:pPr>
        <w:pStyle w:val="ListBullet"/>
        <w:ind w:left="461"/>
      </w:pPr>
      <w:r>
        <w:rPr>
          <w:sz w:val="19"/>
        </w:rPr>
        <w:t>Ciphertext from the REST encrypt endpoint decrypts over KMIP and the reverse — one test body, both transports, so the two cannot diverge.</w:t>
      </w:r>
    </w:p>
    <w:p>
      <w:pPr>
        <w:pStyle w:val="ListBullet"/>
        <w:ind w:left="461"/>
      </w:pPr>
      <w:r>
        <w:rPr>
          <w:sz w:val="19"/>
        </w:rPr>
        <w:t>A data key returns a wrapped form that unwraps to the plaintext form; re-wrap to the successor key yields the original plaintext and the old ciphertext no longer decrypts under the new version.</w:t>
      </w:r>
    </w:p>
    <w:p/>
    <w:p>
      <w:r>
        <w:rPr>
          <w:b/>
          <w:i w:val="0"/>
          <w:color w:val="1E802E"/>
          <w:sz w:val="19"/>
        </w:rPr>
        <w:t>Gate</w:t>
      </w:r>
    </w:p>
    <w:p>
      <w:r>
        <w:rPr>
          <w:b w:val="0"/>
          <w:i w:val="0"/>
          <w:sz w:val="19"/>
        </w:rPr>
        <w:t>The KMIP dual-control test and the REST dual-control test share one body and both pass.</w:t>
      </w:r>
    </w:p>
    <w:p/>
    <w:p>
      <w:r>
        <w:rPr>
          <w:b/>
          <w:i w:val="0"/>
          <w:color w:val="2E6DA4"/>
          <w:sz w:val="19"/>
        </w:rPr>
        <w:t>Closes</w:t>
      </w:r>
    </w:p>
    <w:p>
      <w:pPr>
        <w:pStyle w:val="ListBullet"/>
        <w:ind w:left="461"/>
      </w:pPr>
      <w:r>
        <w:rPr>
          <w:sz w:val="19"/>
        </w:rPr>
        <w:t>Automatic rotation</w:t>
      </w:r>
    </w:p>
    <w:p>
      <w:pPr>
        <w:pStyle w:val="ListBullet"/>
        <w:ind w:left="461"/>
      </w:pPr>
      <w:r>
        <w:rPr>
          <w:sz w:val="19"/>
        </w:rPr>
        <w:t>Split knowledge / M-of-N shares</w:t>
      </w:r>
    </w:p>
    <w:p>
      <w:pPr>
        <w:pStyle w:val="ListBullet"/>
        <w:ind w:left="461"/>
      </w:pPr>
      <w:r>
        <w:rPr>
          <w:sz w:val="19"/>
        </w:rPr>
        <w:t>Bulk and batch operations</w:t>
      </w:r>
    </w:p>
    <w:p>
      <w:pPr>
        <w:pStyle w:val="ListBullet"/>
        <w:ind w:left="461"/>
      </w:pPr>
      <w:r>
        <w:rPr>
          <w:sz w:val="19"/>
        </w:rPr>
        <w:t>Encryption as a service (data-plane API)</w:t>
      </w:r>
    </w:p>
    <w:p>
      <w:r>
        <w:br w:type="page"/>
      </w:r>
    </w:p>
    <w:p>
      <w:pPr>
        <w:pStyle w:val="Heading2"/>
      </w:pPr>
      <w:r>
        <w:rPr>
          <w:color w:val="1A3A5C"/>
        </w:rPr>
        <w:t>Step 6 — Administration, OpenAPI, separation of duties</w:t>
      </w:r>
    </w:p>
    <w:p>
      <w:r>
        <w:rPr>
          <w:rFonts w:ascii="Courier New" w:hAnsi="Courier New"/>
          <w:color w:val="2E6DA4"/>
          <w:sz w:val="17"/>
        </w:rPr>
        <w:t>Stage B   ·   ~900 lines, ~50 tests.</w:t>
      </w:r>
    </w:p>
    <w:p>
      <w:r>
        <w:rPr>
          <w:b/>
          <w:i w:val="0"/>
          <w:sz w:val="21"/>
        </w:rPr>
        <w:t>Complete the API surface and split the administrator so no one role can both grant access and use it.</w:t>
      </w:r>
    </w:p>
    <w:p/>
    <w:p>
      <w:r>
        <w:rPr>
          <w:b/>
          <w:i w:val="0"/>
          <w:color w:val="8F5610"/>
          <w:sz w:val="19"/>
        </w:rPr>
        <w:t>Impact on the existing design</w:t>
      </w:r>
    </w:p>
    <w:p>
      <w:pPr>
        <w:pStyle w:val="ListBullet"/>
        <w:ind w:left="461"/>
      </w:pPr>
      <w:r>
        <w:rPr>
          <w:sz w:val="19"/>
        </w:rPr>
        <w:t>The admin role splits in two — the first change to the authorization model since Phase 5, and the first needing a migration for existing deployments.</w:t>
      </w:r>
    </w:p>
    <w:p>
      <w:pPr>
        <w:pStyle w:val="ListBullet"/>
        <w:ind w:left="461"/>
      </w:pPr>
      <w:r>
        <w:rPr>
          <w:sz w:val="19"/>
        </w:rPr>
        <w:t>An OpenAPI document becomes a build artefact CI has to keep in step with the router.</w:t>
      </w:r>
    </w:p>
    <w:p/>
    <w:p>
      <w:r>
        <w:rPr>
          <w:b/>
          <w:i w:val="0"/>
          <w:color w:val="2E6DA4"/>
          <w:sz w:val="19"/>
        </w:rPr>
        <w:t>Design</w:t>
      </w:r>
    </w:p>
    <w:p>
      <w:pPr>
        <w:pStyle w:val="ListBullet"/>
        <w:ind w:left="461"/>
      </w:pPr>
      <w:r>
        <w:rPr>
          <w:sz w:val="19"/>
        </w:rPr>
        <w:t>Identity, role and group administration endpoints.</w:t>
      </w:r>
    </w:p>
    <w:p>
      <w:pPr>
        <w:pStyle w:val="ListBullet"/>
        <w:ind w:left="461"/>
      </w:pPr>
      <w:r>
        <w:rPr>
          <w:sz w:val="19"/>
        </w:rPr>
        <w:t>The admin role splits into security-admin (identities, roles, policy) and key-admin (objects, cryptoperiods), so a key administrator cannot grant themselves access to what they administer.</w:t>
      </w:r>
    </w:p>
    <w:p>
      <w:pPr>
        <w:pStyle w:val="ListBullet"/>
        <w:ind w:left="461"/>
      </w:pPr>
      <w:r>
        <w:rPr>
          <w:sz w:val="19"/>
        </w:rPr>
        <w:t>An OpenAPI 3.1 document generated from the router's route table, not hand-written — a hand-written spec drifts within a month.</w:t>
      </w:r>
    </w:p>
    <w:p>
      <w:pPr>
        <w:pStyle w:val="ListBullet"/>
        <w:ind w:left="461"/>
      </w:pPr>
      <w:r>
        <w:rPr>
          <w:sz w:val="19"/>
        </w:rPr>
        <w:t>An interactive explorer served from that document, and client libraries generated from it in CI rather than written by hand, for the same reason: anything maintained separately from the router drifts from it.</w:t>
      </w:r>
    </w:p>
    <w:p/>
    <w:p>
      <w:r>
        <w:rPr>
          <w:b/>
          <w:i w:val="0"/>
          <w:color w:val="2E6DA4"/>
          <w:sz w:val="19"/>
        </w:rPr>
        <w:t>Implementation</w:t>
      </w:r>
    </w:p>
    <w:p>
      <w:pPr>
        <w:pStyle w:val="ListBullet"/>
        <w:ind w:left="461"/>
      </w:pPr>
      <w:r>
        <w:rPr>
          <w:sz w:val="19"/>
        </w:rPr>
        <w:t>Migration assigns both new roles to anyone holding admin today, so an upgrade changes nobody's access until an operator splits them.</w:t>
      </w:r>
    </w:p>
    <w:p/>
    <w:p>
      <w:r>
        <w:rPr>
          <w:b/>
          <w:i w:val="0"/>
          <w:color w:val="2E6DA4"/>
          <w:sz w:val="19"/>
        </w:rPr>
        <w:t>Tests</w:t>
      </w:r>
    </w:p>
    <w:p>
      <w:pPr>
        <w:pStyle w:val="ListBullet"/>
        <w:ind w:left="461"/>
      </w:pPr>
      <w:r>
        <w:rPr>
          <w:sz w:val="19"/>
        </w:rPr>
        <w:t>A key-admin cannot create an identity; a security-admin cannot read key material; neither can escalate to the other.</w:t>
      </w:r>
    </w:p>
    <w:p>
      <w:pPr>
        <w:pStyle w:val="ListBullet"/>
        <w:ind w:left="461"/>
      </w:pPr>
      <w:r>
        <w:rPr>
          <w:sz w:val="19"/>
        </w:rPr>
        <w:t>The generated OpenAPI document validates against the 3.1 schema, and a reflection test asserts every registered route appears in it.</w:t>
      </w:r>
    </w:p>
    <w:p>
      <w:pPr>
        <w:pStyle w:val="ListBullet"/>
        <w:ind w:left="461"/>
      </w:pPr>
      <w:r>
        <w:rPr>
          <w:sz w:val="19"/>
        </w:rPr>
        <w:t>A client generated from the document round-trips a create, read and delete against a live server, so the specification is proved usable and not merely well-formed.</w:t>
      </w:r>
    </w:p>
    <w:p>
      <w:pPr>
        <w:pStyle w:val="ListBullet"/>
        <w:ind w:left="461"/>
      </w:pPr>
      <w:r>
        <w:rPr>
          <w:sz w:val="19"/>
        </w:rPr>
        <w:t>Responses for a sample of endpoints match their declared schemas.</w:t>
      </w:r>
    </w:p>
    <w:p/>
    <w:p>
      <w:r>
        <w:rPr>
          <w:b/>
          <w:i w:val="0"/>
          <w:color w:val="1E802E"/>
          <w:sz w:val="19"/>
        </w:rPr>
        <w:t>Gate</w:t>
      </w:r>
    </w:p>
    <w:p>
      <w:r>
        <w:rPr>
          <w:b w:val="0"/>
          <w:i w:val="0"/>
          <w:sz w:val="19"/>
        </w:rPr>
        <w:t>openapi.json validates, covers every route the router knows about, and the two admin roles are provably disjoint in capability.</w:t>
      </w:r>
    </w:p>
    <w:p/>
    <w:p>
      <w:r>
        <w:rPr>
          <w:b/>
          <w:i w:val="0"/>
          <w:color w:val="2E6DA4"/>
          <w:sz w:val="19"/>
        </w:rPr>
        <w:t>Closes</w:t>
      </w:r>
    </w:p>
    <w:p>
      <w:pPr>
        <w:pStyle w:val="ListBullet"/>
        <w:ind w:left="461"/>
      </w:pPr>
      <w:r>
        <w:rPr>
          <w:sz w:val="19"/>
        </w:rPr>
        <w:t>REST / JSON API</w:t>
      </w:r>
    </w:p>
    <w:p>
      <w:pPr>
        <w:pStyle w:val="ListBullet"/>
        <w:ind w:left="461"/>
      </w:pPr>
      <w:r>
        <w:rPr>
          <w:sz w:val="19"/>
        </w:rPr>
        <w:t>Separation of duties</w:t>
      </w:r>
    </w:p>
    <w:p>
      <w:pPr>
        <w:pStyle w:val="ListBullet"/>
        <w:ind w:left="461"/>
      </w:pPr>
      <w:r>
        <w:rPr>
          <w:sz w:val="19"/>
        </w:rPr>
        <w:t>OpenAPI specification and generated clients</w:t>
      </w:r>
    </w:p>
    <w:p>
      <w:r>
        <w:br w:type="page"/>
      </w:r>
    </w:p>
    <w:p>
      <w:pPr>
        <w:pStyle w:val="Heading2"/>
      </w:pPr>
      <w:r>
        <w:rPr>
          <w:color w:val="1A3A5C"/>
        </w:rPr>
        <w:t>Step 7 — Web console and self-service</w:t>
      </w:r>
    </w:p>
    <w:p>
      <w:r>
        <w:rPr>
          <w:rFonts w:ascii="Courier New" w:hAnsi="Courier New"/>
          <w:color w:val="2E6DA4"/>
          <w:sz w:val="17"/>
        </w:rPr>
        <w:t>Stage B   ·   ~2,000 lines of front-end, ~30 tests.</w:t>
      </w:r>
    </w:p>
    <w:p>
      <w:r>
        <w:rPr>
          <w:b/>
          <w:i w:val="0"/>
          <w:sz w:val="21"/>
        </w:rPr>
        <w:t>The interface most of the market considers table stakes, and the reason the API exists.</w:t>
      </w:r>
    </w:p>
    <w:p/>
    <w:p>
      <w:r>
        <w:rPr>
          <w:b/>
          <w:i w:val="0"/>
          <w:color w:val="8F5610"/>
          <w:sz w:val="19"/>
        </w:rPr>
        <w:t>Impact on the existing design</w:t>
      </w:r>
    </w:p>
    <w:p>
      <w:pPr>
        <w:pStyle w:val="ListBullet"/>
        <w:ind w:left="461"/>
      </w:pPr>
      <w:r>
        <w:rPr>
          <w:sz w:val="19"/>
        </w:rPr>
        <w:t>A front-end build enters the repository — the first artefact that is neither Python nor documentation tooling.</w:t>
      </w:r>
    </w:p>
    <w:p>
      <w:pPr>
        <w:pStyle w:val="ListBullet"/>
        <w:ind w:left="461"/>
      </w:pPr>
      <w:r>
        <w:rPr>
          <w:sz w:val="19"/>
        </w:rPr>
        <w:t>Content Security Policy and cookie handling become part of the security review surface.</w:t>
      </w:r>
    </w:p>
    <w:p/>
    <w:p>
      <w:r>
        <w:rPr>
          <w:b/>
          <w:i w:val="0"/>
          <w:color w:val="2E6DA4"/>
          <w:sz w:val="19"/>
        </w:rPr>
        <w:t>Design</w:t>
      </w:r>
    </w:p>
    <w:p>
      <w:pPr>
        <w:pStyle w:val="ListBullet"/>
        <w:ind w:left="461"/>
      </w:pPr>
      <w:r>
        <w:rPr>
          <w:sz w:val="19"/>
        </w:rPr>
        <w:t>A single-page client of the API. No privileged path: the console can do nothing the API forbids, and holds no credential the API would not accept from curl.</w:t>
      </w:r>
    </w:p>
    <w:p>
      <w:pPr>
        <w:pStyle w:val="ListBullet"/>
        <w:ind w:left="461"/>
      </w:pPr>
      <w:r>
        <w:rPr>
          <w:sz w:val="19"/>
        </w:rPr>
        <w:t>Views: key inventory, key detail, approval queue, audit search, expiry report, identity and role administration.</w:t>
      </w:r>
    </w:p>
    <w:p>
      <w:pPr>
        <w:pStyle w:val="ListBullet"/>
        <w:ind w:left="461"/>
      </w:pPr>
      <w:r>
        <w:rPr>
          <w:sz w:val="19"/>
        </w:rPr>
        <w:t>Self-service: a team member creates and rotates keys within their group's grants, without an administrator.</w:t>
      </w:r>
    </w:p>
    <w:p/>
    <w:p>
      <w:r>
        <w:rPr>
          <w:b/>
          <w:i w:val="0"/>
          <w:color w:val="2E6DA4"/>
          <w:sz w:val="19"/>
        </w:rPr>
        <w:t>Implementation</w:t>
      </w:r>
    </w:p>
    <w:p>
      <w:pPr>
        <w:pStyle w:val="ListBullet"/>
        <w:ind w:left="461"/>
      </w:pPr>
      <w:r>
        <w:rPr>
          <w:sz w:val="19"/>
        </w:rPr>
        <w:t>Served by the API listener or a CDN. Strict CSP with no unsafe-inline. Session in an httpOnly cookie, never in localStorage.</w:t>
      </w:r>
    </w:p>
    <w:p/>
    <w:p>
      <w:r>
        <w:rPr>
          <w:b/>
          <w:i w:val="0"/>
          <w:color w:val="2E6DA4"/>
          <w:sz w:val="19"/>
        </w:rPr>
        <w:t>Tests</w:t>
      </w:r>
    </w:p>
    <w:p>
      <w:pPr>
        <w:pStyle w:val="ListBullet"/>
        <w:ind w:left="461"/>
      </w:pPr>
      <w:r>
        <w:rPr>
          <w:sz w:val="19"/>
        </w:rPr>
        <w:t>End-to-end with a headless browser (Playwright is available): log in, list keys, open the approval queue, approve a request, watch a blocked Destroy succeed on retry.</w:t>
      </w:r>
    </w:p>
    <w:p>
      <w:pPr>
        <w:pStyle w:val="ListBullet"/>
        <w:ind w:left="461"/>
      </w:pPr>
      <w:r>
        <w:rPr>
          <w:sz w:val="19"/>
        </w:rPr>
        <w:t>The CSP contains no unsafe-inline and no unsafe-eval.</w:t>
      </w:r>
    </w:p>
    <w:p>
      <w:pPr>
        <w:pStyle w:val="ListBullet"/>
        <w:ind w:left="461"/>
      </w:pPr>
      <w:r>
        <w:rPr>
          <w:sz w:val="19"/>
        </w:rPr>
        <w:t>A route the API forbids to this identity is not reachable from the console by any means, including direct navigation.</w:t>
      </w:r>
    </w:p>
    <w:p/>
    <w:p>
      <w:r>
        <w:rPr>
          <w:b/>
          <w:i w:val="0"/>
          <w:color w:val="1E802E"/>
          <w:sz w:val="19"/>
        </w:rPr>
        <w:t>Gate</w:t>
      </w:r>
    </w:p>
    <w:p>
      <w:r>
        <w:rPr>
          <w:b w:val="0"/>
          <w:i w:val="0"/>
          <w:sz w:val="19"/>
        </w:rPr>
        <w:t>An operator completes a full day of routine work — provisioning, approving, investigating an audit question — without touching the CLI.</w:t>
      </w:r>
    </w:p>
    <w:p/>
    <w:p>
      <w:r>
        <w:rPr>
          <w:b/>
          <w:i w:val="0"/>
          <w:color w:val="2E6DA4"/>
          <w:sz w:val="19"/>
        </w:rPr>
        <w:t>Closes</w:t>
      </w:r>
    </w:p>
    <w:p>
      <w:pPr>
        <w:pStyle w:val="ListBullet"/>
        <w:ind w:left="461"/>
      </w:pPr>
      <w:r>
        <w:rPr>
          <w:sz w:val="19"/>
        </w:rPr>
        <w:t>Web console</w:t>
      </w:r>
    </w:p>
    <w:p>
      <w:pPr>
        <w:pStyle w:val="ListBullet"/>
        <w:ind w:left="461"/>
      </w:pPr>
      <w:r>
        <w:rPr>
          <w:sz w:val="19"/>
        </w:rPr>
        <w:t>Self-service developer portal</w:t>
      </w:r>
    </w:p>
    <w:p>
      <w:r>
        <w:br w:type="page"/>
      </w:r>
    </w:p>
    <w:p>
      <w:pPr>
        <w:pStyle w:val="Heading2"/>
      </w:pPr>
      <w:r>
        <w:rPr>
          <w:color w:val="1A3A5C"/>
        </w:rPr>
        <w:t>Step 8 — Enterprise identity and policy</w:t>
      </w:r>
    </w:p>
    <w:p>
      <w:r>
        <w:rPr>
          <w:rFonts w:ascii="Courier New" w:hAnsi="Courier New"/>
          <w:color w:val="2E6DA4"/>
          <w:sz w:val="17"/>
        </w:rPr>
        <w:t>Stage C   ·   ~900 lines, ~40 tests.</w:t>
      </w:r>
    </w:p>
    <w:p>
      <w:r>
        <w:rPr>
          <w:b/>
          <w:i w:val="0"/>
          <w:sz w:val="21"/>
        </w:rPr>
        <w:t>Authenticate against the corporate directory, and express conditions the role model cannot.</w:t>
      </w:r>
    </w:p>
    <w:p/>
    <w:p>
      <w:r>
        <w:rPr>
          <w:b/>
          <w:i w:val="0"/>
          <w:color w:val="8F5610"/>
          <w:sz w:val="19"/>
        </w:rPr>
        <w:t>Impact on the existing design</w:t>
      </w:r>
    </w:p>
    <w:p>
      <w:pPr>
        <w:pStyle w:val="ListBullet"/>
        <w:ind w:left="461"/>
      </w:pPr>
      <w:r>
        <w:rPr>
          <w:sz w:val="19"/>
        </w:rPr>
        <w:t>Identity resolution gains a third path beside password and mTLS certificate.</w:t>
      </w:r>
    </w:p>
    <w:p>
      <w:pPr>
        <w:pStyle w:val="ListBullet"/>
        <w:ind w:left="461"/>
      </w:pPr>
      <w:r>
        <w:rPr>
          <w:sz w:val="19"/>
        </w:rPr>
        <w:t>The guard gains a policy evaluation point — the first change to its order of checks since step 1.</w:t>
      </w:r>
    </w:p>
    <w:p/>
    <w:p>
      <w:r>
        <w:rPr>
          <w:b/>
          <w:i w:val="0"/>
          <w:color w:val="2E6DA4"/>
          <w:sz w:val="19"/>
        </w:rPr>
        <w:t>Design</w:t>
      </w:r>
    </w:p>
    <w:p>
      <w:pPr>
        <w:pStyle w:val="ListBullet"/>
        <w:ind w:left="461"/>
      </w:pPr>
      <w:r>
        <w:rPr>
          <w:sz w:val="19"/>
        </w:rPr>
        <w:t>OIDC: validate the ID token (issuer, audience, expiry, signature) and map a claim to a provisioned identity. LDAP/AD bind as an alternative.</w:t>
      </w:r>
    </w:p>
    <w:p>
      <w:pPr>
        <w:pStyle w:val="ListBullet"/>
        <w:ind w:left="461"/>
      </w:pPr>
      <w:r>
        <w:rPr>
          <w:sz w:val="19"/>
        </w:rPr>
        <w:t>The mTLS path already proves the pattern — an external assertion resolved to a provisioned principal, never inventing one.</w:t>
      </w:r>
    </w:p>
    <w:p>
      <w:pPr>
        <w:pStyle w:val="ListBullet"/>
        <w:ind w:left="461"/>
      </w:pPr>
      <w:r>
        <w:rPr>
          <w:sz w:val="19"/>
        </w:rPr>
        <w:t>Attribute-based conditions evaluated in the guard before the allowlist: time window, source network, purpose. The engine may only narrow.</w:t>
      </w:r>
    </w:p>
    <w:p/>
    <w:p>
      <w:r>
        <w:rPr>
          <w:b/>
          <w:i w:val="0"/>
          <w:color w:val="2E6DA4"/>
          <w:sz w:val="19"/>
        </w:rPr>
        <w:t>Implementation</w:t>
      </w:r>
    </w:p>
    <w:p>
      <w:pPr>
        <w:pStyle w:val="ListBullet"/>
        <w:ind w:left="461"/>
      </w:pPr>
      <w:r>
        <w:rPr>
          <w:sz w:val="19"/>
        </w:rPr>
        <w:t>Directory group to role mapping, refreshed on login.</w:t>
      </w:r>
    </w:p>
    <w:p>
      <w:pPr>
        <w:pStyle w:val="ListBullet"/>
        <w:ind w:left="461"/>
      </w:pPr>
      <w:r>
        <w:rPr>
          <w:sz w:val="19"/>
        </w:rPr>
        <w:t>Policies stored in the database, versioned, and every evaluation that denies is audited with the rule that fired.</w:t>
      </w:r>
    </w:p>
    <w:p/>
    <w:p>
      <w:r>
        <w:rPr>
          <w:b/>
          <w:i w:val="0"/>
          <w:color w:val="2E6DA4"/>
          <w:sz w:val="19"/>
        </w:rPr>
        <w:t>Tests</w:t>
      </w:r>
    </w:p>
    <w:p>
      <w:pPr>
        <w:pStyle w:val="ListBullet"/>
        <w:ind w:left="461"/>
      </w:pPr>
      <w:r>
        <w:rPr>
          <w:sz w:val="19"/>
        </w:rPr>
        <w:t>An expired, wrong-audience, wrong-issuer or unsigned token is refused; a valid token for an unprovisioned subject is refused.</w:t>
      </w:r>
    </w:p>
    <w:p>
      <w:pPr>
        <w:pStyle w:val="ListBullet"/>
        <w:ind w:left="461"/>
      </w:pPr>
      <w:r>
        <w:rPr>
          <w:sz w:val="19"/>
        </w:rPr>
        <w:t>Directory group changes take effect on next login.</w:t>
      </w:r>
    </w:p>
    <w:p>
      <w:pPr>
        <w:pStyle w:val="ListBullet"/>
        <w:ind w:left="461"/>
      </w:pPr>
      <w:r>
        <w:rPr>
          <w:sz w:val="19"/>
        </w:rPr>
        <w:t>A policy denies outside its window and permits inside it.</w:t>
      </w:r>
    </w:p>
    <w:p>
      <w:pPr>
        <w:pStyle w:val="ListBullet"/>
        <w:ind w:left="461"/>
      </w:pPr>
      <w:r>
        <w:rPr>
          <w:sz w:val="19"/>
        </w:rPr>
        <w:t>Property test: for any identity and any policy set, the permitted operation set is a subset of what the role model alone would allow. A policy that widens access is a bug by construction.</w:t>
      </w:r>
    </w:p>
    <w:p/>
    <w:p>
      <w:r>
        <w:rPr>
          <w:b/>
          <w:i w:val="0"/>
          <w:color w:val="1E802E"/>
          <w:sz w:val="19"/>
        </w:rPr>
        <w:t>Gate</w:t>
      </w:r>
    </w:p>
    <w:p>
      <w:r>
        <w:rPr>
          <w:b w:val="0"/>
          <w:i w:val="0"/>
          <w:sz w:val="19"/>
        </w:rPr>
        <w:t>A corporate login yields exactly the roles the directory says, and a policy denial names the rule that fired in the audit log.</w:t>
      </w:r>
    </w:p>
    <w:p/>
    <w:p>
      <w:r>
        <w:rPr>
          <w:b/>
          <w:i w:val="0"/>
          <w:color w:val="2E6DA4"/>
          <w:sz w:val="19"/>
        </w:rPr>
        <w:t>Closes</w:t>
      </w:r>
    </w:p>
    <w:p>
      <w:pPr>
        <w:pStyle w:val="ListBullet"/>
        <w:ind w:left="461"/>
      </w:pPr>
      <w:r>
        <w:rPr>
          <w:sz w:val="19"/>
        </w:rPr>
        <w:t>Enterprise IdP — LDAP/AD, SAML, OIDC</w:t>
      </w:r>
    </w:p>
    <w:p>
      <w:pPr>
        <w:pStyle w:val="ListBullet"/>
        <w:ind w:left="461"/>
      </w:pPr>
      <w:r>
        <w:rPr>
          <w:sz w:val="19"/>
        </w:rPr>
        <w:t>Attribute or policy-based access</w:t>
      </w:r>
    </w:p>
    <w:p>
      <w:r>
        <w:br w:type="page"/>
      </w:r>
    </w:p>
    <w:p>
      <w:pPr>
        <w:pStyle w:val="Heading2"/>
      </w:pPr>
      <w:r>
        <w:rPr>
          <w:color w:val="1A3A5C"/>
        </w:rPr>
        <w:t>Step 9 — Audit externalisation, compliance and ceremony</w:t>
      </w:r>
    </w:p>
    <w:p>
      <w:r>
        <w:rPr>
          <w:rFonts w:ascii="Courier New" w:hAnsi="Courier New"/>
          <w:color w:val="2E6DA4"/>
          <w:sz w:val="17"/>
        </w:rPr>
        <w:t>Stage C   ·   ~1,350 lines, ~60 tests.</w:t>
      </w:r>
    </w:p>
    <w:p>
      <w:r>
        <w:rPr>
          <w:b/>
          <w:i w:val="0"/>
          <w:sz w:val="21"/>
        </w:rPr>
        <w:t>Make the audit trail survive an attacker with file access, and produce the evidence an auditor asks for.</w:t>
      </w:r>
    </w:p>
    <w:p/>
    <w:p>
      <w:r>
        <w:rPr>
          <w:b/>
          <w:i w:val="0"/>
          <w:color w:val="8F5610"/>
          <w:sz w:val="19"/>
        </w:rPr>
        <w:t>Impact on the existing design</w:t>
      </w:r>
    </w:p>
    <w:p>
      <w:pPr>
        <w:pStyle w:val="ListBullet"/>
        <w:ind w:left="461"/>
      </w:pPr>
      <w:r>
        <w:rPr>
          <w:sz w:val="19"/>
        </w:rPr>
        <w:t>The audit log stops being purely local: it gains an outbound path and an external dependency.</w:t>
      </w:r>
    </w:p>
    <w:p>
      <w:pPr>
        <w:pStyle w:val="ListBullet"/>
        <w:ind w:left="461"/>
      </w:pPr>
      <w:r>
        <w:rPr>
          <w:sz w:val="19"/>
        </w:rPr>
        <w:t>Worker 0 takes on a third single-instance responsibility beside the scheduler and the metrics endpoint.</w:t>
      </w:r>
    </w:p>
    <w:p>
      <w:pPr>
        <w:pStyle w:val="ListBullet"/>
        <w:ind w:left="461"/>
      </w:pPr>
      <w:r>
        <w:rPr>
          <w:sz w:val="19"/>
        </w:rPr>
        <w:t>Startup gains a sealed state. Every health check, every deployment script and every operator runbook has to account for a service that is running but not yet open.</w:t>
      </w:r>
    </w:p>
    <w:p/>
    <w:p>
      <w:r>
        <w:rPr>
          <w:b/>
          <w:i w:val="0"/>
          <w:color w:val="2E6DA4"/>
          <w:sz w:val="19"/>
        </w:rPr>
        <w:t>Design</w:t>
      </w:r>
    </w:p>
    <w:p>
      <w:pPr>
        <w:pStyle w:val="ListBullet"/>
        <w:ind w:left="461"/>
      </w:pPr>
      <w:r>
        <w:rPr>
          <w:sz w:val="19"/>
        </w:rPr>
        <w:t>A shipper emitting audit rows as syslog/CEF, with a persisted cursor so a restart neither duplicates nor loses entries.</w:t>
      </w:r>
    </w:p>
    <w:p>
      <w:pPr>
        <w:pStyle w:val="ListBullet"/>
        <w:ind w:left="461"/>
      </w:pPr>
      <w:r>
        <w:rPr>
          <w:sz w:val="19"/>
        </w:rPr>
        <w:t>Periodic notarisation of the chain digest to an append-only external endpoint. This is the one thing the local chain cannot do: detect a wholesale, internally consistent rewrite.</w:t>
      </w:r>
    </w:p>
    <w:p>
      <w:pPr>
        <w:pStyle w:val="ListBullet"/>
        <w:ind w:left="461"/>
      </w:pPr>
      <w:r>
        <w:rPr>
          <w:sz w:val="19"/>
        </w:rPr>
        <w:t>Compliance report generators over the audit log and key inventory — PCI DSS key-management evidence, NIST SP 800-57 cryptoperiod evidence.</w:t>
      </w:r>
    </w:p>
    <w:p>
      <w:pPr>
        <w:pStyle w:val="ListBullet"/>
        <w:ind w:left="461"/>
      </w:pPr>
      <w:r>
        <w:rPr>
          <w:sz w:val="19"/>
        </w:rPr>
        <w:t>A key ceremony runbook, and a kmip-admin command producing a signed transcript of what was done, by whom and witnessed by whom — extended to the token PIN itself, split into operator-held shares so the service starts sealed and a quorum opens it. Today one PIN holder is the whole ceremony.</w:t>
      </w:r>
    </w:p>
    <w:p>
      <w:pPr>
        <w:pStyle w:val="ListBullet"/>
        <w:ind w:left="461"/>
      </w:pPr>
      <w:r>
        <w:rPr>
          <w:sz w:val="19"/>
        </w:rPr>
        <w:t>OpenTelemetry spans around every guarded operation and token call. Metrics say a request was slow; a span says which PKCS#11 call it waited on.</w:t>
      </w:r>
    </w:p>
    <w:p>
      <w:pPr>
        <w:pStyle w:val="ListBullet"/>
        <w:ind w:left="461"/>
      </w:pPr>
      <w:r>
        <w:rPr>
          <w:sz w:val="19"/>
        </w:rPr>
        <w:t>Alerting rules over the metrics already exported.</w:t>
      </w:r>
    </w:p>
    <w:p/>
    <w:p>
      <w:r>
        <w:rPr>
          <w:b/>
          <w:i w:val="0"/>
          <w:color w:val="2E6DA4"/>
          <w:sz w:val="19"/>
        </w:rPr>
        <w:t>Implementation</w:t>
      </w:r>
    </w:p>
    <w:p>
      <w:pPr>
        <w:pStyle w:val="ListBullet"/>
        <w:ind w:left="461"/>
      </w:pPr>
      <w:r>
        <w:rPr>
          <w:sz w:val="19"/>
        </w:rPr>
        <w:t>The shipper runs in worker 0 alongside the scheduler, with the same single-instance reasoning.</w:t>
      </w:r>
    </w:p>
    <w:p/>
    <w:p>
      <w:r>
        <w:rPr>
          <w:b/>
          <w:i w:val="0"/>
          <w:color w:val="2E6DA4"/>
          <w:sz w:val="19"/>
        </w:rPr>
        <w:t>Tests</w:t>
      </w:r>
    </w:p>
    <w:p>
      <w:pPr>
        <w:pStyle w:val="ListBullet"/>
        <w:ind w:left="461"/>
      </w:pPr>
      <w:r>
        <w:rPr>
          <w:sz w:val="19"/>
        </w:rPr>
        <w:t>The shipper emits every row exactly once across a restart — kill it mid-stream and assert the union at the collector.</w:t>
      </w:r>
    </w:p>
    <w:p>
      <w:pPr>
        <w:pStyle w:val="ListBullet"/>
        <w:ind w:left="461"/>
      </w:pPr>
      <w:r>
        <w:rPr>
          <w:sz w:val="19"/>
        </w:rPr>
        <w:t>CEF output parses with a standard parser.</w:t>
      </w:r>
    </w:p>
    <w:p>
      <w:pPr>
        <w:pStyle w:val="ListBullet"/>
        <w:ind w:left="461"/>
      </w:pPr>
      <w:r>
        <w:rPr>
          <w:sz w:val="19"/>
        </w:rPr>
        <w:t>Anchoring detects tampering the local chain cannot: rewrite the whole log consistently, re-chain it so verify_audit_chain passes, and assert the anchor comparison fails.</w:t>
      </w:r>
    </w:p>
    <w:p>
      <w:pPr>
        <w:pStyle w:val="ListBullet"/>
        <w:ind w:left="461"/>
      </w:pPr>
      <w:r>
        <w:rPr>
          <w:sz w:val="19"/>
        </w:rPr>
        <w:t>Report figures match direct store queries.</w:t>
      </w:r>
    </w:p>
    <w:p>
      <w:pPr>
        <w:pStyle w:val="ListBullet"/>
        <w:ind w:left="461"/>
      </w:pPr>
      <w:r>
        <w:rPr>
          <w:sz w:val="19"/>
        </w:rPr>
        <w:t>A ceremony transcript verifies against its signature and fails after a single byte is changed.</w:t>
      </w:r>
    </w:p>
    <w:p>
      <w:pPr>
        <w:pStyle w:val="ListBullet"/>
        <w:ind w:left="461"/>
      </w:pPr>
      <w:r>
        <w:rPr>
          <w:sz w:val="19"/>
        </w:rPr>
        <w:t>Any k of n unseal shares start the service and any k-1 leave it sealed; a sealed service answers /health and refuses every KMIP and REST operation rather than failing obscurely deep in the shim.</w:t>
      </w:r>
    </w:p>
    <w:p>
      <w:pPr>
        <w:pStyle w:val="ListBullet"/>
        <w:ind w:left="461"/>
      </w:pPr>
      <w:r>
        <w:rPr>
          <w:sz w:val="19"/>
        </w:rPr>
        <w:t>A traced request carries one trace id from the HTTP layer through the guard to the token call, and a sampled-out request costs no spans.</w:t>
      </w:r>
    </w:p>
    <w:p/>
    <w:p>
      <w:r>
        <w:rPr>
          <w:b/>
          <w:i w:val="0"/>
          <w:color w:val="1E802E"/>
          <w:sz w:val="19"/>
        </w:rPr>
        <w:t>Gate</w:t>
      </w:r>
    </w:p>
    <w:p>
      <w:r>
        <w:rPr>
          <w:b w:val="0"/>
          <w:i w:val="0"/>
          <w:sz w:val="19"/>
        </w:rPr>
        <w:t>A rewritten but internally consistent audit log — one that passes local verification — is caught by the external anchor.</w:t>
      </w:r>
    </w:p>
    <w:p/>
    <w:p>
      <w:r>
        <w:rPr>
          <w:b/>
          <w:i w:val="0"/>
          <w:color w:val="2E6DA4"/>
          <w:sz w:val="19"/>
        </w:rPr>
        <w:t>Closes</w:t>
      </w:r>
    </w:p>
    <w:p>
      <w:pPr>
        <w:pStyle w:val="ListBullet"/>
        <w:ind w:left="461"/>
      </w:pPr>
      <w:r>
        <w:rPr>
          <w:sz w:val="19"/>
        </w:rPr>
        <w:t>Formal key ceremony</w:t>
      </w:r>
    </w:p>
    <w:p>
      <w:pPr>
        <w:pStyle w:val="ListBullet"/>
        <w:ind w:left="461"/>
      </w:pPr>
      <w:r>
        <w:rPr>
          <w:sz w:val="19"/>
        </w:rPr>
        <w:t>External audit anchoring</w:t>
      </w:r>
    </w:p>
    <w:p>
      <w:pPr>
        <w:pStyle w:val="ListBullet"/>
        <w:ind w:left="461"/>
      </w:pPr>
      <w:r>
        <w:rPr>
          <w:sz w:val="19"/>
        </w:rPr>
        <w:t>SIEM integration</w:t>
      </w:r>
    </w:p>
    <w:p>
      <w:pPr>
        <w:pStyle w:val="ListBullet"/>
        <w:ind w:left="461"/>
      </w:pPr>
      <w:r>
        <w:rPr>
          <w:sz w:val="19"/>
        </w:rPr>
        <w:t>Compliance reporting</w:t>
      </w:r>
    </w:p>
    <w:p>
      <w:pPr>
        <w:pStyle w:val="ListBullet"/>
        <w:ind w:left="461"/>
      </w:pPr>
      <w:r>
        <w:rPr>
          <w:sz w:val="19"/>
        </w:rPr>
        <w:t>Alerting</w:t>
      </w:r>
    </w:p>
    <w:p>
      <w:pPr>
        <w:pStyle w:val="ListBullet"/>
        <w:ind w:left="461"/>
      </w:pPr>
      <w:r>
        <w:rPr>
          <w:sz w:val="19"/>
        </w:rPr>
        <w:t>Distributed tracing</w:t>
      </w:r>
    </w:p>
    <w:p>
      <w:pPr>
        <w:pStyle w:val="ListBullet"/>
        <w:ind w:left="461"/>
      </w:pPr>
      <w:r>
        <w:rPr>
          <w:sz w:val="19"/>
        </w:rPr>
        <w:t>Sealed startup with quorum unseal</w:t>
      </w:r>
    </w:p>
    <w:p>
      <w:r>
        <w:br w:type="page"/>
      </w:r>
    </w:p>
    <w:p>
      <w:pPr>
        <w:pStyle w:val="Heading2"/>
      </w:pPr>
      <w:r>
        <w:rPr>
          <w:color w:val="1A3A5C"/>
        </w:rPr>
        <w:t>Step 10 — Storage abstraction and PostgreSQL</w:t>
      </w:r>
    </w:p>
    <w:p>
      <w:r>
        <w:rPr>
          <w:rFonts w:ascii="Courier New" w:hAnsi="Courier New"/>
          <w:color w:val="2E6DA4"/>
          <w:sz w:val="17"/>
        </w:rPr>
        <w:t>Stage D   ·   ~1,500 lines, ~60 tests. Needs a PostgreSQL instance in CI.</w:t>
      </w:r>
    </w:p>
    <w:p>
      <w:r>
        <w:rPr>
          <w:b/>
          <w:i w:val="0"/>
          <w:sz w:val="21"/>
        </w:rPr>
        <w:t>Remove the single-writer constraint that blocks everything in stage D.</w:t>
      </w:r>
    </w:p>
    <w:p/>
    <w:p>
      <w:r>
        <w:rPr>
          <w:b/>
          <w:i w:val="0"/>
          <w:color w:val="8F5610"/>
          <w:sz w:val="19"/>
        </w:rPr>
        <w:t>Impact on the existing design</w:t>
      </w:r>
    </w:p>
    <w:p>
      <w:pPr>
        <w:pStyle w:val="ListBullet"/>
        <w:ind w:left="461"/>
      </w:pPr>
      <w:r>
        <w:rPr>
          <w:sz w:val="19"/>
        </w:rPr>
        <w:t>metadata/store.py stops being SQLite and becomes an interface with two implementations — the largest structural change in the plan.</w:t>
      </w:r>
    </w:p>
    <w:p>
      <w:pPr>
        <w:pStyle w:val="ListBullet"/>
        <w:ind w:left="461"/>
      </w:pPr>
      <w:r>
        <w:rPr>
          <w:sz w:val="19"/>
        </w:rPr>
        <w:t>Every SQLite-specific mechanism needs a deliberate equivalent, including the lock that stops the audit chain forking.</w:t>
      </w:r>
    </w:p>
    <w:p/>
    <w:p>
      <w:r>
        <w:rPr>
          <w:b/>
          <w:i w:val="0"/>
          <w:color w:val="2E6DA4"/>
          <w:sz w:val="19"/>
        </w:rPr>
        <w:t>Design</w:t>
      </w:r>
    </w:p>
    <w:p>
      <w:pPr>
        <w:pStyle w:val="ListBullet"/>
        <w:ind w:left="461"/>
      </w:pPr>
      <w:r>
        <w:rPr>
          <w:sz w:val="19"/>
        </w:rPr>
        <w:t>Extract a Store interface; SQLite becomes one implementation and PostgreSQL another.</w:t>
      </w:r>
    </w:p>
    <w:p>
      <w:pPr>
        <w:pStyle w:val="ListBullet"/>
        <w:ind w:left="461"/>
      </w:pPr>
      <w:r>
        <w:rPr>
          <w:sz w:val="19"/>
        </w:rPr>
        <w:t>Each SQLite-specific mechanism needs a deliberate equivalent, not a translation: PRAGMA user_version becomes a schema-version table, json_extract becomes JSONB operators, RAISE(ABORT) triggers become PL/pgSQL triggers, and BEGIN IMMEDIATE — which is what keeps the audit chain from forking — becomes an advisory lock or SERIALIZABLE.</w:t>
      </w:r>
    </w:p>
    <w:p/>
    <w:p>
      <w:r>
        <w:rPr>
          <w:b/>
          <w:i w:val="0"/>
          <w:color w:val="2E6DA4"/>
          <w:sz w:val="19"/>
        </w:rPr>
        <w:t>Implementation</w:t>
      </w:r>
    </w:p>
    <w:p>
      <w:pPr>
        <w:pStyle w:val="ListBullet"/>
        <w:ind w:left="461"/>
      </w:pPr>
      <w:r>
        <w:rPr>
          <w:sz w:val="19"/>
        </w:rPr>
        <w:t>Both backends ship. SQLite stays the default for single-node deployments; it is a good answer there and removing it would be a regression.</w:t>
      </w:r>
    </w:p>
    <w:p/>
    <w:p>
      <w:r>
        <w:rPr>
          <w:b/>
          <w:i w:val="0"/>
          <w:color w:val="2E6DA4"/>
          <w:sz w:val="19"/>
        </w:rPr>
        <w:t>Tests</w:t>
      </w:r>
    </w:p>
    <w:p>
      <w:pPr>
        <w:pStyle w:val="ListBullet"/>
        <w:ind w:left="461"/>
      </w:pPr>
      <w:r>
        <w:rPr>
          <w:sz w:val="19"/>
        </w:rPr>
        <w:t>The entire existing store suite runs against both backends from one parametrised fixture — not a parallel copy that drifts.</w:t>
      </w:r>
    </w:p>
    <w:p>
      <w:pPr>
        <w:pStyle w:val="ListBullet"/>
        <w:ind w:left="461"/>
      </w:pPr>
      <w:r>
        <w:rPr>
          <w:sz w:val="19"/>
        </w:rPr>
        <w:t>The audit chain survives concurrent writers on PostgreSQL: hammer it from several connections and assert the chain verifies and no sequence number is reused.</w:t>
      </w:r>
    </w:p>
    <w:p>
      <w:pPr>
        <w:pStyle w:val="ListBullet"/>
        <w:ind w:left="461"/>
      </w:pPr>
      <w:r>
        <w:rPr>
          <w:sz w:val="19"/>
        </w:rPr>
        <w:t>Migrations apply identically on both; backup and restore work on both.</w:t>
      </w:r>
    </w:p>
    <w:p>
      <w:pPr>
        <w:pStyle w:val="ListBullet"/>
        <w:ind w:left="461"/>
      </w:pPr>
      <w:r>
        <w:rPr>
          <w:sz w:val="19"/>
        </w:rPr>
        <w:t>A store dump from one backend restores into the other.</w:t>
      </w:r>
    </w:p>
    <w:p/>
    <w:p>
      <w:r>
        <w:rPr>
          <w:b/>
          <w:i w:val="0"/>
          <w:color w:val="1E802E"/>
          <w:sz w:val="19"/>
        </w:rPr>
        <w:t>Gate</w:t>
      </w:r>
    </w:p>
    <w:p>
      <w:r>
        <w:rPr>
          <w:b w:val="0"/>
          <w:i w:val="0"/>
          <w:sz w:val="19"/>
        </w:rPr>
        <w:t>The full suite — 816 tests plus everything added since — passes against PostgreSQL as well as SQLite.</w:t>
      </w:r>
    </w:p>
    <w:p/>
    <w:p>
      <w:r>
        <w:rPr>
          <w:b/>
          <w:i w:val="0"/>
          <w:color w:val="2E6DA4"/>
          <w:sz w:val="19"/>
        </w:rPr>
        <w:t>Closes</w:t>
      </w:r>
    </w:p>
    <w:p>
      <w:pPr>
        <w:pStyle w:val="ListBullet"/>
        <w:ind w:left="461"/>
      </w:pPr>
      <w:r>
        <w:rPr>
          <w:sz w:val="19"/>
        </w:rPr>
        <w:t>Enterprise database backend</w:t>
      </w:r>
    </w:p>
    <w:p>
      <w:r>
        <w:br w:type="page"/>
      </w:r>
    </w:p>
    <w:p>
      <w:pPr>
        <w:pStyle w:val="Heading2"/>
      </w:pPr>
      <w:r>
        <w:rPr>
          <w:color w:val="1A3A5C"/>
        </w:rPr>
        <w:t>Step 11 — High availability, failover and deployment</w:t>
      </w:r>
    </w:p>
    <w:p>
      <w:r>
        <w:rPr>
          <w:rFonts w:ascii="Courier New" w:hAnsi="Courier New"/>
          <w:color w:val="2E6DA4"/>
          <w:sz w:val="17"/>
        </w:rPr>
        <w:t>Stage D   ·   ~1,800 lines, ~55 tests. Needs multiple nodes and a second token.</w:t>
      </w:r>
    </w:p>
    <w:p>
      <w:r>
        <w:rPr>
          <w:b/>
          <w:i w:val="0"/>
          <w:sz w:val="21"/>
        </w:rPr>
        <w:t>Survive the loss of a node, a token, or a site.</w:t>
      </w:r>
    </w:p>
    <w:p/>
    <w:p>
      <w:r>
        <w:rPr>
          <w:b/>
          <w:i w:val="0"/>
          <w:color w:val="8F5610"/>
          <w:sz w:val="19"/>
        </w:rPr>
        <w:t>Impact on the existing design</w:t>
      </w:r>
    </w:p>
    <w:p>
      <w:pPr>
        <w:pStyle w:val="ListBullet"/>
        <w:ind w:left="461"/>
      </w:pPr>
      <w:r>
        <w:rPr>
          <w:sz w:val="19"/>
        </w:rPr>
        <w:t>Single-process assumptions become cluster-wide ones: the scheduler needs a leader lock, not a worker index.</w:t>
      </w:r>
    </w:p>
    <w:p>
      <w:pPr>
        <w:pStyle w:val="ListBullet"/>
        <w:ind w:left="461"/>
      </w:pPr>
      <w:r>
        <w:rPr>
          <w:sz w:val="19"/>
        </w:rPr>
        <w:t>pkcs11_shim gains a pool and health checks — the first change to the shim's contract since the capability probe.</w:t>
      </w:r>
    </w:p>
    <w:p/>
    <w:p>
      <w:r>
        <w:rPr>
          <w:b/>
          <w:i w:val="0"/>
          <w:color w:val="2E6DA4"/>
          <w:sz w:val="19"/>
        </w:rPr>
        <w:t>Design</w:t>
      </w:r>
    </w:p>
    <w:p>
      <w:pPr>
        <w:pStyle w:val="ListBullet"/>
        <w:ind w:left="461"/>
      </w:pPr>
      <w:r>
        <w:rPr>
          <w:sz w:val="19"/>
        </w:rPr>
        <w:t>Several nodes against one PostgreSQL. The scheduler takes a leader lock so exactly one instance enforces cryptoperiods — the same reasoning that restricts it to worker 0 today, one level up.</w:t>
      </w:r>
    </w:p>
    <w:p>
      <w:pPr>
        <w:pStyle w:val="ListBullet"/>
        <w:ind w:left="461"/>
      </w:pPr>
      <w:r>
        <w:rPr>
          <w:sz w:val="19"/>
        </w:rPr>
        <w:t>An HSM pool: several tokens, health-checked, with failover. The master key must exist on each, which makes provisioning part of the design rather than an afterthought.</w:t>
      </w:r>
    </w:p>
    <w:p>
      <w:pPr>
        <w:pStyle w:val="ListBullet"/>
        <w:ind w:left="461"/>
      </w:pPr>
      <w:r>
        <w:rPr>
          <w:sz w:val="19"/>
        </w:rPr>
        <w:t>Scheduled backup with offsite shipping; Helm chart and manifests; the container image and CI workflow finally executed.</w:t>
      </w:r>
    </w:p>
    <w:p/>
    <w:p>
      <w:r>
        <w:rPr>
          <w:b/>
          <w:i w:val="0"/>
          <w:color w:val="2E6DA4"/>
          <w:sz w:val="19"/>
        </w:rPr>
        <w:t>Implementation</w:t>
      </w:r>
    </w:p>
    <w:p>
      <w:pPr>
        <w:pStyle w:val="ListBullet"/>
        <w:ind w:left="461"/>
      </w:pPr>
      <w:r>
        <w:rPr>
          <w:sz w:val="19"/>
        </w:rPr>
        <w:t>Read traffic spreads across nodes; audited writes still serialise on the chain, so this raises availability more than throughput. Say so rather than implying linear scaling.</w:t>
      </w:r>
    </w:p>
    <w:p/>
    <w:p>
      <w:r>
        <w:rPr>
          <w:b/>
          <w:i w:val="0"/>
          <w:color w:val="2E6DA4"/>
          <w:sz w:val="19"/>
        </w:rPr>
        <w:t>Tests</w:t>
      </w:r>
    </w:p>
    <w:p>
      <w:pPr>
        <w:pStyle w:val="ListBullet"/>
        <w:ind w:left="461"/>
      </w:pPr>
      <w:r>
        <w:rPr>
          <w:sz w:val="19"/>
        </w:rPr>
        <w:t>Kill the leader under load: another takes over within the lease period, and no key is deactivated twice.</w:t>
      </w:r>
    </w:p>
    <w:p>
      <w:pPr>
        <w:pStyle w:val="ListBullet"/>
        <w:ind w:left="461"/>
      </w:pPr>
      <w:r>
        <w:rPr>
          <w:sz w:val="19"/>
        </w:rPr>
        <w:t>Fail a token mid-operation: the request either completes on another or fails cleanly, never silently half-applies.</w:t>
      </w:r>
    </w:p>
    <w:p>
      <w:pPr>
        <w:pStyle w:val="ListBullet"/>
        <w:ind w:left="461"/>
      </w:pPr>
      <w:r>
        <w:rPr>
          <w:sz w:val="19"/>
        </w:rPr>
        <w:t>Two nodes serving concurrently produce one intact audit chain.</w:t>
      </w:r>
    </w:p>
    <w:p>
      <w:pPr>
        <w:pStyle w:val="ListBullet"/>
        <w:ind w:left="461"/>
      </w:pPr>
      <w:r>
        <w:rPr>
          <w:sz w:val="19"/>
        </w:rPr>
        <w:t>A scheduled backup taken on one node restores on another.</w:t>
      </w:r>
    </w:p>
    <w:p>
      <w:pPr>
        <w:pStyle w:val="ListBullet"/>
        <w:ind w:left="461"/>
      </w:pPr>
      <w:r>
        <w:rPr>
          <w:sz w:val="19"/>
        </w:rPr>
        <w:t>The container image builds and its health check passes — the first time this has been executed anywhere.</w:t>
      </w:r>
    </w:p>
    <w:p/>
    <w:p>
      <w:r>
        <w:rPr>
          <w:b/>
          <w:i w:val="0"/>
          <w:color w:val="1E802E"/>
          <w:sz w:val="19"/>
        </w:rPr>
        <w:t>Gate</w:t>
      </w:r>
    </w:p>
    <w:p>
      <w:r>
        <w:rPr>
          <w:b w:val="0"/>
          <w:i w:val="0"/>
          <w:sz w:val="19"/>
        </w:rPr>
        <w:t>A node is killed under sustained load: no request is lost, the audit chain verifies, and cryptoperiod enforcement continues uninterrupted.</w:t>
      </w:r>
    </w:p>
    <w:p/>
    <w:p>
      <w:r>
        <w:rPr>
          <w:b/>
          <w:i w:val="0"/>
          <w:color w:val="2E6DA4"/>
          <w:sz w:val="19"/>
        </w:rPr>
        <w:t>Closes</w:t>
      </w:r>
    </w:p>
    <w:p>
      <w:pPr>
        <w:pStyle w:val="ListBullet"/>
        <w:ind w:left="461"/>
      </w:pPr>
      <w:r>
        <w:rPr>
          <w:sz w:val="19"/>
        </w:rPr>
        <w:t>HA clustering</w:t>
      </w:r>
    </w:p>
    <w:p>
      <w:pPr>
        <w:pStyle w:val="ListBullet"/>
        <w:ind w:left="461"/>
      </w:pPr>
      <w:r>
        <w:rPr>
          <w:sz w:val="19"/>
        </w:rPr>
        <w:t>Multi-site replication and DR</w:t>
      </w:r>
    </w:p>
    <w:p>
      <w:pPr>
        <w:pStyle w:val="ListBullet"/>
        <w:ind w:left="461"/>
      </w:pPr>
      <w:r>
        <w:rPr>
          <w:sz w:val="19"/>
        </w:rPr>
        <w:t>HSM failover and pooling</w:t>
      </w:r>
    </w:p>
    <w:p>
      <w:pPr>
        <w:pStyle w:val="ListBullet"/>
        <w:ind w:left="461"/>
      </w:pPr>
      <w:r>
        <w:rPr>
          <w:sz w:val="19"/>
        </w:rPr>
        <w:t>Horizontal throughput</w:t>
      </w:r>
    </w:p>
    <w:p>
      <w:pPr>
        <w:pStyle w:val="ListBullet"/>
        <w:ind w:left="461"/>
      </w:pPr>
      <w:r>
        <w:rPr>
          <w:sz w:val="19"/>
        </w:rPr>
        <w:t>Scheduled and offsite backup</w:t>
      </w:r>
    </w:p>
    <w:p>
      <w:pPr>
        <w:pStyle w:val="ListBullet"/>
        <w:ind w:left="461"/>
      </w:pPr>
      <w:r>
        <w:rPr>
          <w:sz w:val="19"/>
        </w:rPr>
        <w:t>Kubernetes / container deployment</w:t>
      </w:r>
    </w:p>
    <w:p>
      <w:r>
        <w:br w:type="page"/>
      </w:r>
    </w:p>
    <w:p>
      <w:pPr>
        <w:pStyle w:val="Heading2"/>
      </w:pPr>
      <w:r>
        <w:rPr>
          <w:color w:val="1A3A5C"/>
        </w:rPr>
        <w:t>Step 12 — Multi-tenancy</w:t>
      </w:r>
    </w:p>
    <w:p>
      <w:r>
        <w:rPr>
          <w:rFonts w:ascii="Courier New" w:hAnsi="Courier New"/>
          <w:color w:val="2E6DA4"/>
          <w:sz w:val="17"/>
        </w:rPr>
        <w:t>Stage D   ·   ~1,600 lines, ~80 tests.</w:t>
      </w:r>
    </w:p>
    <w:p>
      <w:r>
        <w:rPr>
          <w:b/>
          <w:i w:val="0"/>
          <w:sz w:val="21"/>
        </w:rPr>
        <w:t>Let unrelated tenants share one deployment without seeing each other.</w:t>
      </w:r>
    </w:p>
    <w:p/>
    <w:p>
      <w:r>
        <w:rPr>
          <w:b/>
          <w:i w:val="0"/>
          <w:color w:val="8F5610"/>
          <w:sz w:val="19"/>
        </w:rPr>
        <w:t>Impact on the existing design</w:t>
      </w:r>
    </w:p>
    <w:p>
      <w:pPr>
        <w:pStyle w:val="ListBullet"/>
        <w:ind w:left="461"/>
      </w:pPr>
      <w:r>
        <w:rPr>
          <w:sz w:val="19"/>
        </w:rPr>
        <w:t>A tenant column reaches every table, every query, the audit log, the CLI and the API.</w:t>
      </w:r>
    </w:p>
    <w:p>
      <w:pPr>
        <w:pStyle w:val="ListBullet"/>
        <w:ind w:left="461"/>
      </w:pPr>
      <w:r>
        <w:rPr>
          <w:sz w:val="19"/>
        </w:rPr>
        <w:t>Object names stop being globally unique — the change most likely to surprise an existing deployment.</w:t>
      </w:r>
    </w:p>
    <w:p/>
    <w:p>
      <w:r>
        <w:rPr>
          <w:b/>
          <w:i w:val="0"/>
          <w:color w:val="2E6DA4"/>
          <w:sz w:val="19"/>
        </w:rPr>
        <w:t>Design</w:t>
      </w:r>
    </w:p>
    <w:p>
      <w:pPr>
        <w:pStyle w:val="ListBullet"/>
        <w:ind w:left="461"/>
      </w:pPr>
      <w:r>
        <w:rPr>
          <w:sz w:val="19"/>
        </w:rPr>
        <w:t>Tenant becomes a first-class column on objects, identities and audit rows, and every query is scoped by it.</w:t>
      </w:r>
    </w:p>
    <w:p>
      <w:pPr>
        <w:pStyle w:val="ListBullet"/>
        <w:ind w:left="461"/>
      </w:pPr>
      <w:r>
        <w:rPr>
          <w:sz w:val="19"/>
        </w:rPr>
        <w:t>Object names become unique per tenant rather than globally — the change most likely to surprise an existing deployment.</w:t>
      </w:r>
    </w:p>
    <w:p>
      <w:pPr>
        <w:pStyle w:val="ListBullet"/>
        <w:ind w:left="461"/>
      </w:pPr>
      <w:r>
        <w:rPr>
          <w:sz w:val="19"/>
        </w:rPr>
        <w:t>Quotas: object count, operations per second, storage. Per-tenant audit views. Tenant administrators who cannot see other tenants.</w:t>
      </w:r>
    </w:p>
    <w:p>
      <w:pPr>
        <w:pStyle w:val="ListBullet"/>
        <w:ind w:left="461"/>
      </w:pPr>
      <w:r>
        <w:rPr>
          <w:sz w:val="19"/>
        </w:rPr>
        <w:t>This is why it is last: the boundary reaches into every query, the audit log, the CLI and the API, and half of it would be worse than none.</w:t>
      </w:r>
    </w:p>
    <w:p/>
    <w:p>
      <w:r>
        <w:rPr>
          <w:b/>
          <w:i w:val="0"/>
          <w:color w:val="2E6DA4"/>
          <w:sz w:val="19"/>
        </w:rPr>
        <w:t>Implementation</w:t>
      </w:r>
    </w:p>
    <w:p>
      <w:pPr>
        <w:pStyle w:val="ListBullet"/>
        <w:ind w:left="461"/>
      </w:pPr>
      <w:r>
        <w:rPr>
          <w:sz w:val="19"/>
        </w:rPr>
        <w:t>A migration places every existing object in a default tenant, so a single-tenant deployment behaves exactly as before.</w:t>
      </w:r>
    </w:p>
    <w:p/>
    <w:p>
      <w:r>
        <w:rPr>
          <w:b/>
          <w:i w:val="0"/>
          <w:color w:val="2E6DA4"/>
          <w:sz w:val="19"/>
        </w:rPr>
        <w:t>Tests</w:t>
      </w:r>
    </w:p>
    <w:p>
      <w:pPr>
        <w:pStyle w:val="ListBullet"/>
        <w:ind w:left="461"/>
      </w:pPr>
      <w:r>
        <w:rPr>
          <w:sz w:val="19"/>
        </w:rPr>
        <w:t>Exhaustive isolation: parametrised over all 41 KMIP operations and every REST route, an identity in tenant B cannot read, modify, locate or destroy an object in tenant A. This is the test that matters and it should be generated from the operation table, not hand-written.</w:t>
      </w:r>
    </w:p>
    <w:p>
      <w:pPr>
        <w:pStyle w:val="ListBullet"/>
        <w:ind w:left="461"/>
      </w:pPr>
      <w:r>
        <w:rPr>
          <w:sz w:val="19"/>
        </w:rPr>
        <w:t>Name collisions across tenants are allowed; within a tenant they are not.</w:t>
      </w:r>
    </w:p>
    <w:p>
      <w:pPr>
        <w:pStyle w:val="ListBullet"/>
        <w:ind w:left="461"/>
      </w:pPr>
      <w:r>
        <w:rPr>
          <w:sz w:val="19"/>
        </w:rPr>
        <w:t>Quota enforcement at the boundary, and the audit row that records it.</w:t>
      </w:r>
    </w:p>
    <w:p>
      <w:pPr>
        <w:pStyle w:val="ListBullet"/>
        <w:ind w:left="461"/>
      </w:pPr>
      <w:r>
        <w:rPr>
          <w:sz w:val="19"/>
        </w:rPr>
        <w:t>A tenant administrator cannot escalate out of their tenant.</w:t>
      </w:r>
    </w:p>
    <w:p>
      <w:pPr>
        <w:pStyle w:val="ListBullet"/>
        <w:ind w:left="461"/>
      </w:pPr>
      <w:r>
        <w:rPr>
          <w:sz w:val="19"/>
        </w:rPr>
        <w:t>Audit search returns only the caller's tenant.</w:t>
      </w:r>
    </w:p>
    <w:p/>
    <w:p>
      <w:r>
        <w:rPr>
          <w:b/>
          <w:i w:val="0"/>
          <w:color w:val="1E802E"/>
          <w:sz w:val="19"/>
        </w:rPr>
        <w:t>Gate</w:t>
      </w:r>
    </w:p>
    <w:p>
      <w:r>
        <w:rPr>
          <w:b w:val="0"/>
          <w:i w:val="0"/>
          <w:sz w:val="19"/>
        </w:rPr>
        <w:t>A generated test over every operation and every route proves no cross-tenant reachability exists.</w:t>
      </w:r>
    </w:p>
    <w:p/>
    <w:p>
      <w:r>
        <w:rPr>
          <w:b/>
          <w:i w:val="0"/>
          <w:color w:val="2E6DA4"/>
          <w:sz w:val="19"/>
        </w:rPr>
        <w:t>Closes</w:t>
      </w:r>
    </w:p>
    <w:p>
      <w:pPr>
        <w:pStyle w:val="ListBullet"/>
        <w:ind w:left="461"/>
      </w:pPr>
      <w:r>
        <w:rPr>
          <w:sz w:val="19"/>
        </w:rPr>
        <w:t>Multi-tenancy and namespaces</w:t>
      </w:r>
    </w:p>
    <w:p>
      <w:pPr>
        <w:pStyle w:val="ListBullet"/>
        <w:ind w:left="461"/>
      </w:pPr>
      <w:r>
        <w:rPr>
          <w:sz w:val="19"/>
        </w:rPr>
        <w:t>Per-tenant quotas</w:t>
      </w:r>
    </w:p>
    <w:p>
      <w:r>
        <w:br w:type="page"/>
      </w:r>
    </w:p>
    <w:p>
      <w:pPr>
        <w:pStyle w:val="Heading2"/>
      </w:pPr>
      <w:r>
        <w:rPr>
          <w:color w:val="1A3A5C"/>
        </w:rPr>
        <w:t>Step 13 — KMIP JSON and XML encodings</w:t>
      </w:r>
    </w:p>
    <w:p>
      <w:r>
        <w:rPr>
          <w:rFonts w:ascii="Courier New" w:hAnsi="Courier New"/>
          <w:color w:val="2E6DA4"/>
          <w:sz w:val="17"/>
        </w:rPr>
        <w:t>Stage E   ·   ~700 lines, ~40 tests — mostly the existing corpus re-parametrised.</w:t>
      </w:r>
    </w:p>
    <w:p>
      <w:r>
        <w:rPr>
          <w:b/>
          <w:i w:val="0"/>
          <w:sz w:val="21"/>
        </w:rPr>
        <w:t>Let a client speak KMIP without implementing a TTLV codec.</w:t>
      </w:r>
    </w:p>
    <w:p/>
    <w:p>
      <w:r>
        <w:rPr>
          <w:b/>
          <w:i w:val="0"/>
          <w:color w:val="8F5610"/>
          <w:sz w:val="19"/>
        </w:rPr>
        <w:t>Impact on the existing design</w:t>
      </w:r>
    </w:p>
    <w:p>
      <w:pPr>
        <w:pStyle w:val="ListBullet"/>
        <w:ind w:left="461"/>
      </w:pPr>
      <w:r>
        <w:rPr>
          <w:sz w:val="19"/>
        </w:rPr>
        <w:t>core/ttlv.py stops being the only codec, and the tag registry becomes shared infrastructure rather than a TTLV detail.</w:t>
      </w:r>
    </w:p>
    <w:p>
      <w:pPr>
        <w:pStyle w:val="ListBullet"/>
        <w:ind w:left="461"/>
      </w:pPr>
      <w:r>
        <w:rPr>
          <w:sz w:val="19"/>
        </w:rPr>
        <w:t>Nothing above the codec changes. That is the point of the step: the service layer cannot tell which encoding a request arrived in.</w:t>
      </w:r>
    </w:p>
    <w:p/>
    <w:p>
      <w:r>
        <w:rPr>
          <w:b/>
          <w:i w:val="0"/>
          <w:color w:val="2E6DA4"/>
          <w:sz w:val="19"/>
        </w:rPr>
        <w:t>Design</w:t>
      </w:r>
    </w:p>
    <w:p>
      <w:pPr>
        <w:pStyle w:val="ListBullet"/>
        <w:ind w:left="461"/>
      </w:pPr>
      <w:r>
        <w:rPr>
          <w:sz w:val="19"/>
        </w:rPr>
        <w:t>The object model does not change. What changes is the wire: a JSON codec and an XML one beside core/ttlv.py, both driven by the same tag and type tables, so a new tag is still added in one place.</w:t>
      </w:r>
    </w:p>
    <w:p>
      <w:pPr>
        <w:pStyle w:val="ListBullet"/>
        <w:ind w:left="461"/>
      </w:pPr>
      <w:r>
        <w:rPr>
          <w:sz w:val="19"/>
        </w:rPr>
        <w:t>An HTTPS binding on the API listener — POST /kmip, encoding chosen by Content-Type — rather than a second socket. The KMIP TCP port is untouched.</w:t>
      </w:r>
    </w:p>
    <w:p>
      <w:pPr>
        <w:pStyle w:val="ListBullet"/>
        <w:ind w:left="461"/>
      </w:pPr>
      <w:r>
        <w:rPr>
          <w:sz w:val="19"/>
        </w:rPr>
        <w:t>Encoding is a transport concern, so it sits below the service layer: the same guard, the same handlers, the same audit rows.</w:t>
      </w:r>
    </w:p>
    <w:p/>
    <w:p>
      <w:r>
        <w:rPr>
          <w:b/>
          <w:i w:val="0"/>
          <w:color w:val="2E6DA4"/>
          <w:sz w:val="19"/>
        </w:rPr>
        <w:t>Implementation</w:t>
      </w:r>
    </w:p>
    <w:p>
      <w:pPr>
        <w:pStyle w:val="ListBullet"/>
        <w:ind w:left="461"/>
      </w:pPr>
      <w:r>
        <w:rPr>
          <w:sz w:val="19"/>
        </w:rPr>
        <w:t>core/encodings/ with json.py and xml.py implementing the OASIS profiles, sharing the tag registry the TTLV codec already reads.</w:t>
      </w:r>
    </w:p>
    <w:p>
      <w:pPr>
        <w:pStyle w:val="ListBullet"/>
        <w:ind w:left="461"/>
      </w:pPr>
      <w:r>
        <w:rPr>
          <w:sz w:val="19"/>
        </w:rPr>
        <w:t>Content negotiation, and 415 for an encoding that is not enabled. Both are off by default: a new parser is new attack surface.</w:t>
      </w:r>
    </w:p>
    <w:p/>
    <w:p>
      <w:r>
        <w:rPr>
          <w:b/>
          <w:i w:val="0"/>
          <w:color w:val="2E6DA4"/>
          <w:sz w:val="19"/>
        </w:rPr>
        <w:t>Tests</w:t>
      </w:r>
    </w:p>
    <w:p>
      <w:pPr>
        <w:pStyle w:val="ListBullet"/>
        <w:ind w:left="461"/>
      </w:pPr>
      <w:r>
        <w:rPr>
          <w:sz w:val="19"/>
        </w:rPr>
        <w:t>Round-trip every operation's request and response through all three encodings and assert the decoded structures are identical — the existing conformance corpus re-run twice, not a new set of assertions.</w:t>
      </w:r>
    </w:p>
    <w:p>
      <w:pPr>
        <w:pStyle w:val="ListBullet"/>
        <w:ind w:left="461"/>
      </w:pPr>
      <w:r>
        <w:rPr>
          <w:sz w:val="19"/>
        </w:rPr>
        <w:t>The OASIS JSON and XML test vectors decode to what the TTLV vectors decode to.</w:t>
      </w:r>
    </w:p>
    <w:p>
      <w:pPr>
        <w:pStyle w:val="ListBullet"/>
        <w:ind w:left="461"/>
      </w:pPr>
      <w:r>
        <w:rPr>
          <w:sz w:val="19"/>
        </w:rPr>
        <w:t>A batch, a wrapped key and a dual-control refusal behave the same over JSON as over TTLV, so an encoding cannot change semantics.</w:t>
      </w:r>
    </w:p>
    <w:p>
      <w:pPr>
        <w:pStyle w:val="ListBullet"/>
        <w:ind w:left="461"/>
      </w:pPr>
      <w:r>
        <w:rPr>
          <w:sz w:val="19"/>
        </w:rPr>
        <w:t>An unknown tag, a truncated document and a type mismatch are refused with the same error the TTLV codec raises.</w:t>
      </w:r>
    </w:p>
    <w:p/>
    <w:p>
      <w:r>
        <w:rPr>
          <w:b/>
          <w:i w:val="0"/>
          <w:color w:val="1E802E"/>
          <w:sz w:val="19"/>
        </w:rPr>
        <w:t>Gate</w:t>
      </w:r>
    </w:p>
    <w:p>
      <w:r>
        <w:rPr>
          <w:b w:val="0"/>
          <w:i w:val="0"/>
          <w:sz w:val="19"/>
        </w:rPr>
        <w:t>The conformance suite passes unchanged when re-run against the JSON and XML encodings, and a request refused over TTLV is refused identically over both.</w:t>
      </w:r>
    </w:p>
    <w:p/>
    <w:p>
      <w:r>
        <w:rPr>
          <w:b/>
          <w:i w:val="0"/>
          <w:color w:val="2E6DA4"/>
          <w:sz w:val="19"/>
        </w:rPr>
        <w:t>Closes</w:t>
      </w:r>
    </w:p>
    <w:p>
      <w:pPr>
        <w:pStyle w:val="ListBullet"/>
        <w:ind w:left="461"/>
      </w:pPr>
      <w:r>
        <w:rPr>
          <w:sz w:val="19"/>
        </w:rPr>
        <w:t>KMIP JSON and XML encodings</w:t>
      </w:r>
    </w:p>
    <w:p>
      <w:r>
        <w:br w:type="page"/>
      </w:r>
    </w:p>
    <w:p>
      <w:pPr>
        <w:pStyle w:val="Heading2"/>
      </w:pPr>
      <w:r>
        <w:rPr>
          <w:color w:val="1A3A5C"/>
        </w:rPr>
        <w:t>Step 14 — Certificate discovery and expiry monitoring</w:t>
      </w:r>
    </w:p>
    <w:p>
      <w:r>
        <w:rPr>
          <w:rFonts w:ascii="Courier New" w:hAnsi="Courier New"/>
          <w:color w:val="2E6DA4"/>
          <w:sz w:val="17"/>
        </w:rPr>
        <w:t>Stage E   ·   ~600 lines, ~30 tests.</w:t>
      </w:r>
    </w:p>
    <w:p>
      <w:r>
        <w:rPr>
          <w:b/>
          <w:i w:val="0"/>
          <w:sz w:val="21"/>
        </w:rPr>
        <w:t>Know which certificates the estate is actually running, and warn before one expires.</w:t>
      </w:r>
    </w:p>
    <w:p/>
    <w:p>
      <w:r>
        <w:rPr>
          <w:b/>
          <w:i w:val="0"/>
          <w:color w:val="8F5610"/>
          <w:sz w:val="19"/>
        </w:rPr>
        <w:t>Impact on the existing design</w:t>
      </w:r>
    </w:p>
    <w:p>
      <w:pPr>
        <w:pStyle w:val="ListBullet"/>
        <w:ind w:left="461"/>
      </w:pPr>
      <w:r>
        <w:rPr>
          <w:sz w:val="19"/>
        </w:rPr>
        <w:t>The server starts reaching outward. Everything else here waits to be called; this initiates connections, which is a new posture for the service and for its firewall rules.</w:t>
      </w:r>
    </w:p>
    <w:p>
      <w:pPr>
        <w:pStyle w:val="ListBullet"/>
        <w:ind w:left="461"/>
      </w:pPr>
      <w:r>
        <w:rPr>
          <w:sz w:val="19"/>
        </w:rPr>
        <w:t>The inventory stops being a view of what this KMS holds and becomes a view of the estate, including certificates it does not manage.</w:t>
      </w:r>
    </w:p>
    <w:p/>
    <w:p>
      <w:r>
        <w:rPr>
          <w:b/>
          <w:i w:val="0"/>
          <w:color w:val="2E6DA4"/>
          <w:sz w:val="19"/>
        </w:rPr>
        <w:t>Design</w:t>
      </w:r>
    </w:p>
    <w:p>
      <w:pPr>
        <w:pStyle w:val="ListBullet"/>
        <w:ind w:left="461"/>
      </w:pPr>
      <w:r>
        <w:rPr>
          <w:sz w:val="19"/>
        </w:rPr>
        <w:t>A scanner that connects to configured TLS endpoints, records the chain presented, and stores subject, issuer, fingerprint and validity window against the inventory.</w:t>
      </w:r>
    </w:p>
    <w:p>
      <w:pPr>
        <w:pStyle w:val="ListBullet"/>
        <w:ind w:left="461"/>
      </w:pPr>
      <w:r>
        <w:rPr>
          <w:sz w:val="19"/>
        </w:rPr>
        <w:t>Certificates registered here are matched by fingerprint, so the report separates what this KMS manages from what it does not — the second number is the one that matters.</w:t>
      </w:r>
    </w:p>
    <w:p>
      <w:pPr>
        <w:pStyle w:val="ListBullet"/>
        <w:ind w:left="461"/>
      </w:pPr>
      <w:r>
        <w:rPr>
          <w:sz w:val="19"/>
        </w:rPr>
        <w:t>Expiry thresholds feed the alerting rules built in step 9 rather than opening a second notification path.</w:t>
      </w:r>
    </w:p>
    <w:p/>
    <w:p>
      <w:r>
        <w:rPr>
          <w:b/>
          <w:i w:val="0"/>
          <w:color w:val="2E6DA4"/>
          <w:sz w:val="19"/>
        </w:rPr>
        <w:t>Implementation</w:t>
      </w:r>
    </w:p>
    <w:p>
      <w:pPr>
        <w:pStyle w:val="ListBullet"/>
        <w:ind w:left="461"/>
      </w:pPr>
      <w:r>
        <w:rPr>
          <w:sz w:val="19"/>
        </w:rPr>
        <w:t>kmip_pkcs11/discovery/ with the scanner, a scheduler entry beside the cryptoperiod scheduler in worker 0, and the inventory tables.</w:t>
      </w:r>
    </w:p>
    <w:p>
      <w:pPr>
        <w:pStyle w:val="ListBullet"/>
        <w:ind w:left="461"/>
      </w:pPr>
      <w:r>
        <w:rPr>
          <w:sz w:val="19"/>
        </w:rPr>
        <w:t>Scanning is read-only and rate-limited. This is a tool that touches production endpoints, and it should be incapable of harming them.</w:t>
      </w:r>
    </w:p>
    <w:p/>
    <w:p>
      <w:r>
        <w:rPr>
          <w:b/>
          <w:i w:val="0"/>
          <w:color w:val="2E6DA4"/>
          <w:sz w:val="19"/>
        </w:rPr>
        <w:t>Tests</w:t>
      </w:r>
    </w:p>
    <w:p>
      <w:pPr>
        <w:pStyle w:val="ListBullet"/>
        <w:ind w:left="461"/>
      </w:pPr>
      <w:r>
        <w:rPr>
          <w:sz w:val="19"/>
        </w:rPr>
        <w:t>A scan of local TLS servers with known certificates records exactly those chains, intermediate included.</w:t>
      </w:r>
    </w:p>
    <w:p>
      <w:pPr>
        <w:pStyle w:val="ListBullet"/>
        <w:ind w:left="461"/>
      </w:pPr>
      <w:r>
        <w:rPr>
          <w:sz w:val="19"/>
        </w:rPr>
        <w:t>A certificate registered here and the same certificate found by scanning reconcile to one inventory row, matched on fingerprint.</w:t>
      </w:r>
    </w:p>
    <w:p>
      <w:pPr>
        <w:pStyle w:val="ListBullet"/>
        <w:ind w:left="461"/>
      </w:pPr>
      <w:r>
        <w:rPr>
          <w:sz w:val="19"/>
        </w:rPr>
        <w:t>An endpoint that times out, presents an expired certificate, or drops the handshake is recorded as such rather than skipped silently.</w:t>
      </w:r>
    </w:p>
    <w:p>
      <w:pPr>
        <w:pStyle w:val="ListBullet"/>
        <w:ind w:left="461"/>
      </w:pPr>
      <w:r>
        <w:rPr>
          <w:sz w:val="19"/>
        </w:rPr>
        <w:t>An expiry threshold fires once per certificate per window, not on every scan.</w:t>
      </w:r>
    </w:p>
    <w:p/>
    <w:p>
      <w:r>
        <w:rPr>
          <w:b/>
          <w:i w:val="0"/>
          <w:color w:val="1E802E"/>
          <w:sz w:val="19"/>
        </w:rPr>
        <w:t>Gate</w:t>
      </w:r>
    </w:p>
    <w:p>
      <w:r>
        <w:rPr>
          <w:b w:val="0"/>
          <w:i w:val="0"/>
          <w:sz w:val="19"/>
        </w:rPr>
        <w:t>A scan of a fixture estate reports every certificate, splits managed from unmanaged correctly, and raises an expiry alert exactly once for a certificate inside the warning window.</w:t>
      </w:r>
    </w:p>
    <w:p/>
    <w:p>
      <w:r>
        <w:rPr>
          <w:b/>
          <w:i w:val="0"/>
          <w:color w:val="2E6DA4"/>
          <w:sz w:val="19"/>
        </w:rPr>
        <w:t>Closes</w:t>
      </w:r>
    </w:p>
    <w:p>
      <w:pPr>
        <w:pStyle w:val="ListBullet"/>
        <w:ind w:left="461"/>
      </w:pPr>
      <w:r>
        <w:rPr>
          <w:sz w:val="19"/>
        </w:rPr>
        <w:t>Certificate discovery and expiry monitoring</w:t>
      </w:r>
    </w:p>
    <w:p>
      <w:r>
        <w:br w:type="page"/>
      </w:r>
    </w:p>
    <w:p>
      <w:pPr>
        <w:pStyle w:val="Heading1"/>
      </w:pPr>
      <w:r>
        <w:rPr>
          <w:color w:val="1A3A5C"/>
        </w:rPr>
        <w:t>5  What the plan does not close</w:t>
      </w:r>
    </w:p>
    <w:p>
      <w:r>
        <w:rPr>
          <w:b w:val="0"/>
          <w:i w:val="0"/>
          <w:sz w:val="20"/>
        </w:rPr>
        <w:t>16 features remain open after step 12. None is an oversight; each is here because it depends on something other than engineering time, or because it belongs to a different product.</w:t>
      </w:r>
    </w:p>
    <w:p/>
    <w:tbl>
      <w:tblPr>
        <w:tblStyle w:val="TableGrid"/>
        <w:tblW w:type="auto" w:w="0"/>
        <w:tblLook w:firstColumn="1" w:firstRow="1" w:lastColumn="0" w:lastRow="0" w:noHBand="0" w:noVBand="1" w:val="04A0"/>
      </w:tblPr>
      <w:tblGrid>
        <w:gridCol w:w="3120"/>
        <w:gridCol w:w="3120"/>
        <w:gridCol w:w="3120"/>
      </w:tblGrid>
      <w:tr>
        <w:tc>
          <w:tcPr>
            <w:tcW w:type="dxa" w:w="2736"/>
            <w:shd w:fill="1A3A5C" w:val="clear"/>
          </w:tcPr>
          <w:p>
            <w:r>
              <w:rPr>
                <w:b/>
                <w:color w:val="FFFFFF"/>
                <w:sz w:val="17"/>
              </w:rPr>
              <w:t>Feature</w:t>
            </w:r>
          </w:p>
        </w:tc>
        <w:tc>
          <w:tcPr>
            <w:tcW w:type="dxa" w:w="2160"/>
            <w:shd w:fill="1A3A5C" w:val="clear"/>
          </w:tcPr>
          <w:p>
            <w:r>
              <w:rPr>
                <w:b/>
                <w:color w:val="FFFFFF"/>
                <w:sz w:val="17"/>
              </w:rPr>
              <w:t>Why not now</w:t>
            </w:r>
          </w:p>
        </w:tc>
        <w:tc>
          <w:tcPr>
            <w:tcW w:type="dxa" w:w="4464"/>
            <w:shd w:fill="1A3A5C" w:val="clear"/>
          </w:tcPr>
          <w:p>
            <w:r>
              <w:rPr>
                <w:b/>
                <w:color w:val="FFFFFF"/>
                <w:sz w:val="17"/>
              </w:rPr>
              <w:t>Detail</w:t>
            </w:r>
          </w:p>
        </w:tc>
      </w:tr>
      <w:tr>
        <w:tc>
          <w:tcPr>
            <w:tcW w:type="dxa" w:w="2736"/>
            <w:shd w:fill="EEF4FA" w:val="clear"/>
          </w:tcPr>
          <w:p>
            <w:r>
              <w:rPr>
                <w:sz w:val="17"/>
              </w:rPr>
              <w:t>Cloud BYOK (AWS, Azure, GCP)</w:t>
            </w:r>
          </w:p>
        </w:tc>
        <w:tc>
          <w:tcPr>
            <w:tcW w:type="dxa" w:w="2160"/>
            <w:shd w:fill="EEF4FA" w:val="clear"/>
          </w:tcPr>
          <w:p>
            <w:r>
              <w:rPr>
                <w:sz w:val="17"/>
              </w:rPr>
              <w:t>Additive work, best done after stage B</w:t>
            </w:r>
          </w:p>
        </w:tc>
        <w:tc>
          <w:tcPr>
            <w:tcW w:type="dxa" w:w="4464"/>
            <w:shd w:fill="EEF4FA" w:val="clear"/>
          </w:tcPr>
          <w:p>
            <w:r>
              <w:rPr>
                <w:sz w:val="17"/>
              </w:rPr>
              <w:t>Per-cloud connectors calling each provider's import API. Well understood, additive, and best done once the REST layer exists to configure it.</w:t>
            </w:r>
          </w:p>
        </w:tc>
      </w:tr>
      <w:tr>
        <w:tc>
          <w:tcPr>
            <w:tcW w:type="dxa" w:w="2736"/>
            <w:shd w:fill="FFFFFF" w:val="clear"/>
          </w:tcPr>
          <w:p>
            <w:r>
              <w:rPr>
                <w:sz w:val="17"/>
              </w:rPr>
              <w:t>Cloud EKM / XKS / hold-your-own-key</w:t>
            </w:r>
          </w:p>
        </w:tc>
        <w:tc>
          <w:tcPr>
            <w:tcW w:type="dxa" w:w="2160"/>
            <w:shd w:fill="FFFFFF" w:val="clear"/>
          </w:tcPr>
          <w:p>
            <w:r>
              <w:rPr>
                <w:sz w:val="17"/>
              </w:rPr>
              <w:t>Additive work, best done after stage B</w:t>
            </w:r>
          </w:p>
        </w:tc>
        <w:tc>
          <w:tcPr>
            <w:tcW w:type="dxa" w:w="4464"/>
            <w:shd w:fill="FFFFFF" w:val="clear"/>
          </w:tcPr>
          <w:p>
            <w:r>
              <w:rPr>
                <w:sz w:val="17"/>
              </w:rPr>
              <w:t>Implement the AWS XKS proxy or GCP EKM API in front of the same service layer. A natural extension of stage B.</w:t>
            </w:r>
          </w:p>
        </w:tc>
      </w:tr>
      <w:tr>
        <w:tc>
          <w:tcPr>
            <w:tcW w:type="dxa" w:w="2736"/>
            <w:shd w:fill="EEF4FA" w:val="clear"/>
          </w:tcPr>
          <w:p>
            <w:r>
              <w:rPr>
                <w:sz w:val="17"/>
              </w:rPr>
              <w:t>Database TDE integration</w:t>
            </w:r>
          </w:p>
        </w:tc>
        <w:tc>
          <w:tcPr>
            <w:tcW w:type="dxa" w:w="2160"/>
            <w:shd w:fill="EEF4FA" w:val="clear"/>
          </w:tcPr>
          <w:p>
            <w:r>
              <w:rPr>
                <w:sz w:val="17"/>
              </w:rPr>
              <w:t>Testing against a vendor, not new code</w:t>
            </w:r>
          </w:p>
        </w:tc>
        <w:tc>
          <w:tcPr>
            <w:tcW w:type="dxa" w:w="4464"/>
            <w:shd w:fill="EEF4FA" w:val="clear"/>
          </w:tcPr>
          <w:p>
            <w:r>
              <w:rPr>
                <w:sz w:val="17"/>
              </w:rPr>
              <w:t>Oracle, SQL Server and MongoDB already speak KMIP; the work is profile conformance and vendor testing, not new protocol.</w:t>
            </w:r>
          </w:p>
        </w:tc>
      </w:tr>
      <w:tr>
        <w:tc>
          <w:tcPr>
            <w:tcW w:type="dxa" w:w="2736"/>
            <w:shd w:fill="FFFFFF" w:val="clear"/>
          </w:tcPr>
          <w:p>
            <w:r>
              <w:rPr>
                <w:sz w:val="17"/>
              </w:rPr>
              <w:t>Storage, backup and VM integrations</w:t>
            </w:r>
          </w:p>
        </w:tc>
        <w:tc>
          <w:tcPr>
            <w:tcW w:type="dxa" w:w="2160"/>
            <w:shd w:fill="FFFFFF" w:val="clear"/>
          </w:tcPr>
          <w:p>
            <w:r>
              <w:rPr>
                <w:sz w:val="17"/>
              </w:rPr>
              <w:t>Testing against a vendor, not new code</w:t>
            </w:r>
          </w:p>
        </w:tc>
        <w:tc>
          <w:tcPr>
            <w:tcW w:type="dxa" w:w="4464"/>
            <w:shd w:fill="FFFFFF" w:val="clear"/>
          </w:tcPr>
          <w:p>
            <w:r>
              <w:rPr>
                <w:sz w:val="17"/>
              </w:rPr>
              <w:t>As above, for VMware, NetApp and Veeam.</w:t>
            </w:r>
          </w:p>
        </w:tc>
      </w:tr>
      <w:tr>
        <w:tc>
          <w:tcPr>
            <w:tcW w:type="dxa" w:w="2736"/>
            <w:shd w:fill="EEF4FA" w:val="clear"/>
          </w:tcPr>
          <w:p>
            <w:r>
              <w:rPr>
                <w:sz w:val="17"/>
              </w:rPr>
              <w:t>Secrets management</w:t>
            </w:r>
          </w:p>
        </w:tc>
        <w:tc>
          <w:tcPr>
            <w:tcW w:type="dxa" w:w="2160"/>
            <w:shd w:fill="EEF4FA" w:val="clear"/>
          </w:tcPr>
          <w:p>
            <w:r>
              <w:rPr>
                <w:sz w:val="17"/>
              </w:rPr>
              <w:t>A different product surface</w:t>
            </w:r>
          </w:p>
        </w:tc>
        <w:tc>
          <w:tcPr>
            <w:tcW w:type="dxa" w:w="4464"/>
            <w:shd w:fill="EEF4FA" w:val="clear"/>
          </w:tcPr>
          <w:p>
            <w:r>
              <w:rPr>
                <w:sz w:val="17"/>
              </w:rPr>
              <w:t>Static custody exists as SecretData. A Vault-style engine — dynamic credentials, leases, templating — is a different product surface.</w:t>
            </w:r>
          </w:p>
        </w:tc>
      </w:tr>
      <w:tr>
        <w:tc>
          <w:tcPr>
            <w:tcW w:type="dxa" w:w="2736"/>
            <w:shd w:fill="FFFFFF" w:val="clear"/>
          </w:tcPr>
          <w:p>
            <w:r>
              <w:rPr>
                <w:sz w:val="17"/>
              </w:rPr>
              <w:t>Certificate lifecycle</w:t>
            </w:r>
          </w:p>
        </w:tc>
        <w:tc>
          <w:tcPr>
            <w:tcW w:type="dxa" w:w="2160"/>
            <w:shd w:fill="FFFFFF" w:val="clear"/>
          </w:tcPr>
          <w:p>
            <w:r>
              <w:rPr>
                <w:sz w:val="17"/>
              </w:rPr>
              <w:t>A different product surface</w:t>
            </w:r>
          </w:p>
        </w:tc>
        <w:tc>
          <w:tcPr>
            <w:tcW w:type="dxa" w:w="4464"/>
            <w:shd w:fill="FFFFFF" w:val="clear"/>
          </w:tcPr>
          <w:p>
            <w:r>
              <w:rPr>
                <w:sz w:val="17"/>
              </w:rPr>
              <w:t>Front the deployment with a real CA such as EJBCA. KMIP's Certify was never a CA and should not become one.</w:t>
            </w:r>
          </w:p>
        </w:tc>
      </w:tr>
      <w:tr>
        <w:tc>
          <w:tcPr>
            <w:tcW w:type="dxa" w:w="2736"/>
            <w:shd w:fill="EEF4FA" w:val="clear"/>
          </w:tcPr>
          <w:p>
            <w:r>
              <w:rPr>
                <w:sz w:val="17"/>
              </w:rPr>
              <w:t>Algorithm breadth</w:t>
            </w:r>
          </w:p>
        </w:tc>
        <w:tc>
          <w:tcPr>
            <w:tcW w:type="dxa" w:w="2160"/>
            <w:shd w:fill="EEF4FA" w:val="clear"/>
          </w:tcPr>
          <w:p>
            <w:r>
              <w:rPr>
                <w:sz w:val="17"/>
              </w:rPr>
              <w:t>Depends on the token</w:t>
            </w:r>
          </w:p>
        </w:tc>
        <w:tc>
          <w:tcPr>
            <w:tcW w:type="dxa" w:w="4464"/>
            <w:shd w:fill="EEF4FA" w:val="clear"/>
          </w:tcPr>
          <w:p>
            <w:r>
              <w:rPr>
                <w:sz w:val="17"/>
              </w:rPr>
              <w:t>15 of 40 algorithms work on this token. A richer token activates more with no code change; the shim already probes.</w:t>
            </w:r>
          </w:p>
        </w:tc>
      </w:tr>
      <w:tr>
        <w:tc>
          <w:tcPr>
            <w:tcW w:type="dxa" w:w="2736"/>
            <w:shd w:fill="FFFFFF" w:val="clear"/>
          </w:tcPr>
          <w:p>
            <w:r>
              <w:rPr>
                <w:sz w:val="17"/>
              </w:rPr>
              <w:t>Post-quantum (ML-KEM, ML-DSA, SLH-DSA)</w:t>
            </w:r>
          </w:p>
        </w:tc>
        <w:tc>
          <w:tcPr>
            <w:tcW w:type="dxa" w:w="2160"/>
            <w:shd w:fill="FFFFFF" w:val="clear"/>
          </w:tcPr>
          <w:p>
            <w:r>
              <w:rPr>
                <w:sz w:val="17"/>
              </w:rPr>
              <w:t>Depends on the token</w:t>
            </w:r>
          </w:p>
        </w:tc>
        <w:tc>
          <w:tcPr>
            <w:tcW w:type="dxa" w:w="4464"/>
            <w:shd w:fill="FFFFFF" w:val="clear"/>
          </w:tcPr>
          <w:p>
            <w:r>
              <w:rPr>
                <w:sz w:val="17"/>
              </w:rPr>
              <w:t>Needs a token that implements the algorithms and KMIP 3.0 to express them. SoftHSM's ML-DSA work is unreleased; vendor-range enums would interoperate with nothing.</w:t>
            </w:r>
          </w:p>
        </w:tc>
      </w:tr>
      <w:tr>
        <w:tc>
          <w:tcPr>
            <w:tcW w:type="dxa" w:w="2736"/>
            <w:shd w:fill="EEF4FA" w:val="clear"/>
          </w:tcPr>
          <w:p>
            <w:r>
              <w:rPr>
                <w:sz w:val="17"/>
              </w:rPr>
              <w:t>KMIP 3.0</w:t>
            </w:r>
          </w:p>
        </w:tc>
        <w:tc>
          <w:tcPr>
            <w:tcW w:type="dxa" w:w="2160"/>
            <w:shd w:fill="EEF4FA" w:val="clear"/>
          </w:tcPr>
          <w:p>
            <w:r>
              <w:rPr>
                <w:sz w:val="17"/>
              </w:rPr>
              <w:t>Schedulable, but only worth doing with a capable token</w:t>
            </w:r>
          </w:p>
        </w:tc>
        <w:tc>
          <w:tcPr>
            <w:tcW w:type="dxa" w:w="4464"/>
            <w:shd w:fill="EEF4FA" w:val="clear"/>
          </w:tcPr>
          <w:p>
            <w:r>
              <w:rPr>
                <w:sz w:val="17"/>
              </w:rPr>
              <w:t>Enum and operation additions including Encapsulate and Decapsulate. Entirely in-protocol and schedulable, but only worth doing alongside a PQC-capable token.</w:t>
            </w:r>
          </w:p>
        </w:tc>
      </w:tr>
      <w:tr>
        <w:tc>
          <w:tcPr>
            <w:tcW w:type="dxa" w:w="2736"/>
            <w:shd w:fill="FFFFFF" w:val="clear"/>
          </w:tcPr>
          <w:p>
            <w:r>
              <w:rPr>
                <w:sz w:val="17"/>
              </w:rPr>
              <w:t>KMIP interoperability certification</w:t>
            </w:r>
          </w:p>
        </w:tc>
        <w:tc>
          <w:tcPr>
            <w:tcW w:type="dxa" w:w="2160"/>
            <w:shd w:fill="FFFFFF" w:val="clear"/>
          </w:tcPr>
          <w:p>
            <w:r>
              <w:rPr>
                <w:sz w:val="17"/>
              </w:rPr>
              <w:t>Depends on an external event</w:t>
            </w:r>
          </w:p>
        </w:tc>
        <w:tc>
          <w:tcPr>
            <w:tcW w:type="dxa" w:w="4464"/>
            <w:shd w:fill="FFFFFF" w:val="clear"/>
          </w:tcPr>
          <w:p>
            <w:r>
              <w:rPr>
                <w:sz w:val="17"/>
              </w:rPr>
              <w:t>An OASIS interop event. The conformance tests are already mapped; this is process and scheduling.</w:t>
            </w:r>
          </w:p>
        </w:tc>
      </w:tr>
      <w:tr>
        <w:tc>
          <w:tcPr>
            <w:tcW w:type="dxa" w:w="2736"/>
            <w:shd w:fill="EEF4FA" w:val="clear"/>
          </w:tcPr>
          <w:p>
            <w:r>
              <w:rPr>
                <w:sz w:val="17"/>
              </w:rPr>
              <w:t>PKCS#11 provider for applications</w:t>
            </w:r>
          </w:p>
        </w:tc>
        <w:tc>
          <w:tcPr>
            <w:tcW w:type="dxa" w:w="2160"/>
            <w:shd w:fill="EEF4FA" w:val="clear"/>
          </w:tcPr>
          <w:p>
            <w:r>
              <w:rPr>
                <w:sz w:val="17"/>
              </w:rPr>
              <w:t>Build only if asked for</w:t>
            </w:r>
          </w:p>
        </w:tc>
        <w:tc>
          <w:tcPr>
            <w:tcW w:type="dxa" w:w="4464"/>
            <w:shd w:fill="EEF4FA" w:val="clear"/>
          </w:tcPr>
          <w:p>
            <w:r>
              <w:rPr>
                <w:sz w:val="17"/>
              </w:rPr>
              <w:t>A library fronting the KMIP server, so applications that speak PKCS#11 plug in. Worth building only if asked for.</w:t>
            </w:r>
          </w:p>
        </w:tc>
      </w:tr>
      <w:tr>
        <w:tc>
          <w:tcPr>
            <w:tcW w:type="dxa" w:w="2736"/>
            <w:shd w:fill="FFFFFF" w:val="clear"/>
          </w:tcPr>
          <w:p>
            <w:r>
              <w:rPr>
                <w:sz w:val="17"/>
              </w:rPr>
              <w:t>Tokenization / format-preserving encryption</w:t>
            </w:r>
          </w:p>
        </w:tc>
        <w:tc>
          <w:tcPr>
            <w:tcW w:type="dxa" w:w="2160"/>
            <w:shd w:fill="FFFFFF" w:val="clear"/>
          </w:tcPr>
          <w:p>
            <w:r>
              <w:rPr>
                <w:sz w:val="17"/>
              </w:rPr>
              <w:t>Deliberately not this product</w:t>
            </w:r>
          </w:p>
        </w:tc>
        <w:tc>
          <w:tcPr>
            <w:tcW w:type="dxa" w:w="4464"/>
            <w:shd w:fill="FFFFFF" w:val="clear"/>
          </w:tcPr>
          <w:p>
            <w:r>
              <w:rPr>
                <w:sz w:val="17"/>
              </w:rPr>
              <w:t>Neither a KMIP operation nor a token mechanism. A separate service.</w:t>
            </w:r>
          </w:p>
        </w:tc>
      </w:tr>
      <w:tr>
        <w:tc>
          <w:tcPr>
            <w:tcW w:type="dxa" w:w="2736"/>
            <w:shd w:fill="EEF4FA" w:val="clear"/>
          </w:tcPr>
          <w:p>
            <w:r>
              <w:rPr>
                <w:sz w:val="17"/>
              </w:rPr>
              <w:t>FIPS 140-2/3 validated HSM</w:t>
            </w:r>
          </w:p>
        </w:tc>
        <w:tc>
          <w:tcPr>
            <w:tcW w:type="dxa" w:w="2160"/>
            <w:shd w:fill="EEF4FA" w:val="clear"/>
          </w:tcPr>
          <w:p>
            <w:r>
              <w:rPr>
                <w:sz w:val="17"/>
              </w:rPr>
              <w:t>Buying and testing, not building</w:t>
            </w:r>
          </w:p>
        </w:tc>
        <w:tc>
          <w:tcPr>
            <w:tcW w:type="dxa" w:w="4464"/>
            <w:shd w:fill="EEF4FA" w:val="clear"/>
          </w:tcPr>
          <w:p>
            <w:r>
              <w:rPr>
                <w:sz w:val="17"/>
              </w:rPr>
              <w:t>Belongs to the token. The PKCS#11 boundary makes the swap cheap; running the suite against validated hardware is the actual work.</w:t>
            </w:r>
          </w:p>
        </w:tc>
      </w:tr>
      <w:tr>
        <w:tc>
          <w:tcPr>
            <w:tcW w:type="dxa" w:w="2736"/>
            <w:shd w:fill="FFFFFF" w:val="clear"/>
          </w:tcPr>
          <w:p>
            <w:r>
              <w:rPr>
                <w:sz w:val="17"/>
              </w:rPr>
              <w:t>Common Criteria / eIDAS</w:t>
            </w:r>
          </w:p>
        </w:tc>
        <w:tc>
          <w:tcPr>
            <w:tcW w:type="dxa" w:w="2160"/>
            <w:shd w:fill="FFFFFF" w:val="clear"/>
          </w:tcPr>
          <w:p>
            <w:r>
              <w:rPr>
                <w:sz w:val="17"/>
              </w:rPr>
              <w:t>Buying and testing, not building</w:t>
            </w:r>
          </w:p>
        </w:tc>
        <w:tc>
          <w:tcPr>
            <w:tcW w:type="dxa" w:w="4464"/>
            <w:shd w:fill="FFFFFF" w:val="clear"/>
          </w:tcPr>
          <w:p>
            <w:r>
              <w:rPr>
                <w:sz w:val="17"/>
              </w:rPr>
              <w:t>As above.</w:t>
            </w:r>
          </w:p>
        </w:tc>
      </w:tr>
      <w:tr>
        <w:tc>
          <w:tcPr>
            <w:tcW w:type="dxa" w:w="2736"/>
            <w:shd w:fill="EEF4FA" w:val="clear"/>
          </w:tcPr>
          <w:p>
            <w:r>
              <w:rPr>
                <w:sz w:val="17"/>
              </w:rPr>
              <w:t>Key-bound usage policy enforced in hardware</w:t>
            </w:r>
          </w:p>
        </w:tc>
        <w:tc>
          <w:tcPr>
            <w:tcW w:type="dxa" w:w="2160"/>
            <w:shd w:fill="EEF4FA" w:val="clear"/>
          </w:tcPr>
          <w:p>
            <w:r>
              <w:rPr>
                <w:sz w:val="17"/>
              </w:rPr>
              <w:t>Depends on the token</w:t>
            </w:r>
          </w:p>
        </w:tc>
        <w:tc>
          <w:tcPr>
            <w:tcW w:type="dxa" w:w="4464"/>
            <w:shd w:fill="EEF4FA" w:val="clear"/>
          </w:tcPr>
          <w:p>
            <w:r>
              <w:rPr>
                <w:sz w:val="17"/>
              </w:rPr>
              <w:t>The quorum, time-lock and usage limits would have to live in the key's own attributes and be enforced by the token, so that owning the server is not owning the policy. SoftHSM has no such mechanism; this is a property of the HSM, and the reason to prefer one that has it.</w:t>
            </w:r>
          </w:p>
        </w:tc>
      </w:tr>
      <w:tr>
        <w:tc>
          <w:tcPr>
            <w:tcW w:type="dxa" w:w="2736"/>
            <w:shd w:fill="FFFFFF" w:val="clear"/>
          </w:tcPr>
          <w:p>
            <w:r>
              <w:rPr>
                <w:sz w:val="17"/>
              </w:rPr>
              <w:t>Confidential computing deployment</w:t>
            </w:r>
          </w:p>
        </w:tc>
        <w:tc>
          <w:tcPr>
            <w:tcW w:type="dxa" w:w="2160"/>
            <w:shd w:fill="FFFFFF" w:val="clear"/>
          </w:tcPr>
          <w:p>
            <w:r>
              <w:rPr>
                <w:sz w:val="17"/>
              </w:rPr>
              <w:t>Depends on hardware and deployment, not code</w:t>
            </w:r>
          </w:p>
        </w:tc>
        <w:tc>
          <w:tcPr>
            <w:tcW w:type="dxa" w:w="4464"/>
            <w:shd w:fill="FFFFFF" w:val="clear"/>
          </w:tcPr>
          <w:p>
            <w:r>
              <w:rPr>
                <w:sz w:val="17"/>
              </w:rPr>
              <w:t>Attested hardware, a store designed for an untrusted host, and an attestation clients check before trusting the service. Nothing in the plan depends on it and nothing in this environment can verify it.</w:t>
            </w:r>
          </w:p>
        </w:tc>
      </w:tr>
    </w:tbl>
    <w:p/>
    <w:p>
      <w:r>
        <w:rPr>
          <w:b w:val="0"/>
          <w:i w:val="0"/>
          <w:sz w:val="19"/>
        </w:rPr>
        <w:t>Six of these — the two cloud integrations, the two vendor validations, secrets management and certificate lifecycle — are ordinary engineering and would form a natural stage E once the REST layer exists to configure them. That would take the total closed to 40 of 50. The remaining eight depend on a supplier, a procurement decision, or an OASIS event, and no amount of planning moves them.</w:t>
      </w:r>
    </w:p>
    <w:p>
      <w:r>
        <w:br w:type="page"/>
      </w:r>
    </w:p>
    <w:p>
      <w:pPr>
        <w:pStyle w:val="Heading1"/>
      </w:pPr>
      <w:r>
        <w:rPr>
          <w:color w:val="1A3A5C"/>
        </w:rPr>
        <w:t>6  Risks worth naming now</w:t>
      </w:r>
    </w:p>
    <w:tbl>
      <w:tblPr>
        <w:tblStyle w:val="TableGrid"/>
        <w:tblW w:type="auto" w:w="0"/>
        <w:tblLook w:firstColumn="1" w:firstRow="1" w:lastColumn="0" w:lastRow="0" w:noHBand="0" w:noVBand="1" w:val="04A0"/>
      </w:tblPr>
      <w:tblGrid>
        <w:gridCol w:w="3120"/>
        <w:gridCol w:w="3120"/>
        <w:gridCol w:w="3120"/>
      </w:tblGrid>
      <w:tr>
        <w:tc>
          <w:tcPr>
            <w:tcW w:type="dxa" w:w="2304"/>
            <w:shd w:fill="1A3A5C" w:val="clear"/>
          </w:tcPr>
          <w:p>
            <w:r>
              <w:rPr>
                <w:b/>
                <w:color w:val="FFFFFF"/>
                <w:sz w:val="17"/>
              </w:rPr>
              <w:t>Risk</w:t>
            </w:r>
          </w:p>
        </w:tc>
        <w:tc>
          <w:tcPr>
            <w:tcW w:type="dxa" w:w="3312"/>
            <w:shd w:fill="1A3A5C" w:val="clear"/>
          </w:tcPr>
          <w:p>
            <w:r>
              <w:rPr>
                <w:b/>
                <w:color w:val="FFFFFF"/>
                <w:sz w:val="17"/>
              </w:rPr>
              <w:t>Why it matters</w:t>
            </w:r>
          </w:p>
        </w:tc>
        <w:tc>
          <w:tcPr>
            <w:tcW w:type="dxa" w:w="3744"/>
            <w:shd w:fill="1A3A5C" w:val="clear"/>
          </w:tcPr>
          <w:p>
            <w:r>
              <w:rPr>
                <w:b/>
                <w:color w:val="FFFFFF"/>
                <w:sz w:val="17"/>
              </w:rPr>
              <w:t>Mitigation</w:t>
            </w:r>
          </w:p>
        </w:tc>
      </w:tr>
      <w:tr>
        <w:tc>
          <w:tcPr>
            <w:tcW w:type="dxa" w:w="2304"/>
            <w:shd w:fill="EEF4FA" w:val="clear"/>
          </w:tcPr>
          <w:p>
            <w:r>
              <w:rPr>
                <w:sz w:val="17"/>
              </w:rPr>
              <w:t>A later endpoint bypasses the guard</w:t>
            </w:r>
          </w:p>
        </w:tc>
        <w:tc>
          <w:tcPr>
            <w:tcW w:type="dxa" w:w="3312"/>
            <w:shd w:fill="EEF4FA" w:val="clear"/>
          </w:tcPr>
          <w:p>
            <w:r>
              <w:rPr>
                <w:sz w:val="17"/>
              </w:rPr>
              <w:t>All governance silently stops applying to that path, and nothing fails — the worst kind of defect this project has seen.</w:t>
            </w:r>
          </w:p>
        </w:tc>
        <w:tc>
          <w:tcPr>
            <w:tcW w:type="dxa" w:w="3744"/>
            <w:shd w:fill="EEF4FA" w:val="clear"/>
          </w:tcPr>
          <w:p>
            <w:r>
              <w:rPr>
                <w:sz w:val="17"/>
              </w:rPr>
              <w:t>The reflection test in step 1, kept green forever. It is cheap and it is the single most valuable test in the plan.</w:t>
            </w:r>
          </w:p>
        </w:tc>
      </w:tr>
      <w:tr>
        <w:tc>
          <w:tcPr>
            <w:tcW w:type="dxa" w:w="2304"/>
            <w:shd w:fill="FFFFFF" w:val="clear"/>
          </w:tcPr>
          <w:p>
            <w:r>
              <w:rPr>
                <w:sz w:val="17"/>
              </w:rPr>
              <w:t>Two authenticated front doors</w:t>
            </w:r>
          </w:p>
        </w:tc>
        <w:tc>
          <w:tcPr>
            <w:tcW w:type="dxa" w:w="3312"/>
            <w:shd w:fill="FFFFFF" w:val="clear"/>
          </w:tcPr>
          <w:p>
            <w:r>
              <w:rPr>
                <w:sz w:val="17"/>
              </w:rPr>
              <w:t>The API doubles the authentication surface, and a leaked token is as good as a password.</w:t>
            </w:r>
          </w:p>
        </w:tc>
        <w:tc>
          <w:tcPr>
            <w:tcW w:type="dxa" w:w="3744"/>
            <w:shd w:fill="FFFFFF" w:val="clear"/>
          </w:tcPr>
          <w:p>
            <w:r>
              <w:rPr>
                <w:sz w:val="17"/>
              </w:rPr>
              <w:t>Tokens are revocable, expiring, hashed at rest, and every issue and revoke is audited (step 3).</w:t>
            </w:r>
          </w:p>
        </w:tc>
      </w:tr>
      <w:tr>
        <w:tc>
          <w:tcPr>
            <w:tcW w:type="dxa" w:w="2304"/>
            <w:shd w:fill="EEF4FA" w:val="clear"/>
          </w:tcPr>
          <w:p>
            <w:r>
              <w:rPr>
                <w:sz w:val="17"/>
              </w:rPr>
              <w:t>The audit write lock becomes the bottleneck</w:t>
            </w:r>
          </w:p>
        </w:tc>
        <w:tc>
          <w:tcPr>
            <w:tcW w:type="dxa" w:w="3312"/>
            <w:shd w:fill="EEF4FA" w:val="clear"/>
          </w:tcPr>
          <w:p>
            <w:r>
              <w:rPr>
                <w:sz w:val="17"/>
              </w:rPr>
              <w:t>It already caps worker scaling at about 1.5×; REST traffic contends for the same lock.</w:t>
            </w:r>
          </w:p>
        </w:tc>
        <w:tc>
          <w:tcPr>
            <w:tcW w:type="dxa" w:w="3744"/>
            <w:shd w:fill="EEF4FA" w:val="clear"/>
          </w:tcPr>
          <w:p>
            <w:r>
              <w:rPr>
                <w:sz w:val="17"/>
              </w:rPr>
              <w:t>Measure before and after step 11. If it binds, per-shard chains are the answer, and that is a design change, not a tuning exercise.</w:t>
            </w:r>
          </w:p>
        </w:tc>
      </w:tr>
      <w:tr>
        <w:tc>
          <w:tcPr>
            <w:tcW w:type="dxa" w:w="2304"/>
            <w:shd w:fill="FFFFFF" w:val="clear"/>
          </w:tcPr>
          <w:p>
            <w:r>
              <w:rPr>
                <w:sz w:val="17"/>
              </w:rPr>
              <w:t>Tenancy migration surprises an existing deployment</w:t>
            </w:r>
          </w:p>
        </w:tc>
        <w:tc>
          <w:tcPr>
            <w:tcW w:type="dxa" w:w="3312"/>
            <w:shd w:fill="FFFFFF" w:val="clear"/>
          </w:tcPr>
          <w:p>
            <w:r>
              <w:rPr>
                <w:sz w:val="17"/>
              </w:rPr>
              <w:t>Object names become unique per tenant rather than globally.</w:t>
            </w:r>
          </w:p>
        </w:tc>
        <w:tc>
          <w:tcPr>
            <w:tcW w:type="dxa" w:w="3744"/>
            <w:shd w:fill="FFFFFF" w:val="clear"/>
          </w:tcPr>
          <w:p>
            <w:r>
              <w:rPr>
                <w:sz w:val="17"/>
              </w:rPr>
              <w:t>The step 12 migration places everything in a default tenant so behaviour is unchanged until a second tenant exists.</w:t>
            </w:r>
          </w:p>
        </w:tc>
      </w:tr>
      <w:tr>
        <w:tc>
          <w:tcPr>
            <w:tcW w:type="dxa" w:w="2304"/>
            <w:shd w:fill="EEF4FA" w:val="clear"/>
          </w:tcPr>
          <w:p>
            <w:r>
              <w:rPr>
                <w:sz w:val="17"/>
              </w:rPr>
              <w:t>Scope creep into a security product</w:t>
            </w:r>
          </w:p>
        </w:tc>
        <w:tc>
          <w:tcPr>
            <w:tcW w:type="dxa" w:w="3312"/>
            <w:shd w:fill="EEF4FA" w:val="clear"/>
          </w:tcPr>
          <w:p>
            <w:r>
              <w:rPr>
                <w:sz w:val="17"/>
              </w:rPr>
              <w:t>Tokenization, a CA and a secrets engine are all adjacent and all tempting.</w:t>
            </w:r>
          </w:p>
        </w:tc>
        <w:tc>
          <w:tcPr>
            <w:tcW w:type="dxa" w:w="3744"/>
            <w:shd w:fill="EEF4FA" w:val="clear"/>
          </w:tcPr>
          <w:p>
            <w:r>
              <w:rPr>
                <w:sz w:val="17"/>
              </w:rPr>
              <w:t>They are named in section 5 as out of scope. Revisit deliberately, not by drift.</w:t>
            </w:r>
          </w:p>
        </w:tc>
      </w:tr>
      <w:tr>
        <w:tc>
          <w:tcPr>
            <w:tcW w:type="dxa" w:w="2304"/>
            <w:shd w:fill="FFFFFF" w:val="clear"/>
          </w:tcPr>
          <w:p>
            <w:r>
              <w:rPr>
                <w:sz w:val="17"/>
              </w:rPr>
              <w:t>The plan outruns the verification environment</w:t>
            </w:r>
          </w:p>
        </w:tc>
        <w:tc>
          <w:tcPr>
            <w:tcW w:type="dxa" w:w="3312"/>
            <w:shd w:fill="FFFFFF" w:val="clear"/>
          </w:tcPr>
          <w:p>
            <w:r>
              <w:rPr>
                <w:sz w:val="17"/>
              </w:rPr>
              <w:t>Steps 10 and 11 cannot be honestly completed without PostgreSQL, a second token and a registry.</w:t>
            </w:r>
          </w:p>
        </w:tc>
        <w:tc>
          <w:tcPr>
            <w:tcW w:type="dxa" w:w="3744"/>
            <w:shd w:fill="FFFFFF" w:val="clear"/>
          </w:tcPr>
          <w:p>
            <w:r>
              <w:rPr>
                <w:sz w:val="17"/>
              </w:rPr>
              <w:t>Section 3 says so up front. A step whose gate cannot be demonstrated is not finished, whatever the code says.</w:t>
            </w:r>
          </w:p>
        </w:tc>
      </w:tr>
    </w:tbl>
    <w:p/>
    <w:p>
      <w:r>
        <w:rPr>
          <w:b w:val="0"/>
          <w:i/>
          <w:sz w:val="19"/>
        </w:rPr>
        <w:t>One further note, from this project's own history: every serious defect found so far was invisible in the diff and obvious the moment something ran — an authentication bypass, plaintext in a WAL sidecar, a readiness probe that lied for eighteen seconds, a 25× latency cost, and a slide deck whose every diagram was missing. Each step's gate is written to be executed, not reviewed.</w:t>
      </w:r>
    </w:p>
    <w:p/>
    <w:p>
      <w:pPr>
        <w:jc w:val="center"/>
      </w:pPr>
      <w:r>
        <w:rPr>
          <w:color w:val="808080"/>
          <w:sz w:val="16"/>
        </w:rPr>
        <w:t>KMIP on PKCS#11 — REST KMS delivery plan — 12 September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