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29"/>
      </w:tblGrid>
      <w:tr>
        <w:tc>
          <w:tcPr>
            <w:tcW w:type="dxa" w:w="9029"/>
            <w:shd w:val="clear" w:color="auto" w:fill="1E162B"/>
          </w:tcPr>
          <w:p>
            <w:pPr>
              <w:jc w:val="center"/>
              <w:spacing w:before="120" w:after="20" w:line="276" w:lineRule="auto"/>
            </w:pPr>
            <w:r>
              <w:rPr>
                <w:rFonts w:ascii="Calibri" w:hAnsi="Calibri"/>
                <w:b/>
                <w:color w:val="E11D74"/>
                <w:sz w:val="64"/>
              </w:rPr>
              <w:t>SafeHerAI</w:t>
            </w:r>
          </w:p>
          <w:p>
            <w:pPr>
              <w:jc w:val="center"/>
              <w:spacing w:before="0" w:after="20" w:line="276" w:lineRule="auto"/>
            </w:pPr>
            <w:r>
              <w:rPr>
                <w:rFonts w:ascii="Calibri" w:hAnsi="Calibri"/>
                <w:b/>
                <w:color w:val="FFFFFF"/>
                <w:sz w:val="32"/>
              </w:rPr>
              <w:t>Unified AI Women's Safety Brain</w:t>
            </w:r>
          </w:p>
          <w:p>
            <w:pPr>
              <w:jc w:val="center"/>
              <w:spacing w:before="0" w:after="20" w:line="276" w:lineRule="auto"/>
            </w:pPr>
            <w:r>
              <w:rPr>
                <w:rFonts w:ascii="Calibri" w:hAnsi="Calibri"/>
                <w:color w:val="D5BEFF"/>
                <w:sz w:val="22"/>
              </w:rPr>
              <w:t>Context-Aware Five-Stream Intelligence Platform for Real-Time Journey Safety</w:t>
            </w:r>
          </w:p>
          <w:p>
            <w:pPr>
              <w:jc w:val="center"/>
              <w:spacing w:before="30" w:after="120" w:line="276" w:lineRule="auto"/>
            </w:pPr>
            <w:r>
              <w:rPr>
                <w:rFonts w:ascii="Calibri" w:hAnsi="Calibri"/>
                <w:color w:val="A08EC0"/>
                <w:sz w:val="18"/>
              </w:rPr>
              <w:t>Project Design Document  ·  MSME Idea Hackathon 6.0</w:t>
            </w:r>
          </w:p>
        </w:tc>
      </w:tr>
    </w:tbl>
    <w:p/>
    <w:tbl>
      <w:tblPr>
        <w:tblStyle w:val="TableGrid"/>
        <w:tblW w:type="auto" w:w="0"/>
        <w:jc w:val="left"/>
        <w:tblLook w:firstColumn="1" w:firstRow="1" w:lastColumn="0" w:lastRow="0" w:noHBand="0" w:noVBand="1" w:val="04A0"/>
      </w:tblPr>
      <w:tblGrid>
        <w:gridCol w:w="4514"/>
        <w:gridCol w:w="4514"/>
      </w:tblGrid>
      <w:tr>
        <w:tc>
          <w:tcPr>
            <w:tcW w:type="dxa" w:w="4514"/>
            <w:shd w:val="clear" w:color="auto" w:fill="F3EEFF"/>
          </w:tcPr>
          <w:p>
            <w:pPr>
              <w:spacing w:before="30" w:after="30" w:line="276" w:lineRule="auto"/>
            </w:pPr>
            <w:r>
              <w:rPr>
                <w:rFonts w:ascii="Calibri" w:hAnsi="Calibri"/>
                <w:b/>
                <w:color w:val="7C3AED"/>
                <w:sz w:val="19"/>
              </w:rPr>
              <w:t>Innovator Name</w:t>
            </w:r>
          </w:p>
        </w:tc>
        <w:tc>
          <w:tcPr>
            <w:tcW w:type="dxa" w:w="4514"/>
            <w:shd w:val="clear" w:color="auto" w:fill="FFFFFF"/>
          </w:tcPr>
          <w:p>
            <w:pPr>
              <w:spacing w:before="30" w:after="30" w:line="276" w:lineRule="auto"/>
            </w:pPr>
            <w:r>
              <w:rPr>
                <w:rFonts w:ascii="Calibri" w:hAnsi="Calibri"/>
                <w:color w:val="1E162B"/>
                <w:sz w:val="19"/>
              </w:rPr>
              <w:t>E Gaithika</w:t>
            </w:r>
          </w:p>
        </w:tc>
      </w:tr>
      <w:tr>
        <w:tc>
          <w:tcPr>
            <w:tcW w:type="dxa" w:w="4514"/>
            <w:shd w:val="clear" w:color="auto" w:fill="FAF8FF"/>
          </w:tcPr>
          <w:p>
            <w:pPr>
              <w:spacing w:before="30" w:after="30" w:line="276" w:lineRule="auto"/>
            </w:pPr>
            <w:r>
              <w:rPr>
                <w:rFonts w:ascii="Calibri" w:hAnsi="Calibri"/>
                <w:b/>
                <w:color w:val="7C3AED"/>
                <w:sz w:val="19"/>
              </w:rPr>
              <w:t>Institution</w:t>
            </w:r>
          </w:p>
        </w:tc>
        <w:tc>
          <w:tcPr>
            <w:tcW w:type="dxa" w:w="4514"/>
            <w:shd w:val="clear" w:color="auto" w:fill="FAFAFA"/>
          </w:tcPr>
          <w:p>
            <w:pPr>
              <w:spacing w:before="30" w:after="30" w:line="276" w:lineRule="auto"/>
            </w:pPr>
            <w:r>
              <w:rPr>
                <w:rFonts w:ascii="Calibri" w:hAnsi="Calibri"/>
                <w:color w:val="1E162B"/>
                <w:sz w:val="19"/>
              </w:rPr>
              <w:t>VIT-AP University</w:t>
            </w:r>
          </w:p>
        </w:tc>
      </w:tr>
      <w:tr>
        <w:tc>
          <w:tcPr>
            <w:tcW w:type="dxa" w:w="4514"/>
            <w:shd w:val="clear" w:color="auto" w:fill="F3EEFF"/>
          </w:tcPr>
          <w:p>
            <w:pPr>
              <w:spacing w:before="30" w:after="30" w:line="276" w:lineRule="auto"/>
            </w:pPr>
            <w:r>
              <w:rPr>
                <w:rFonts w:ascii="Calibri" w:hAnsi="Calibri"/>
                <w:b/>
                <w:color w:val="7C3AED"/>
                <w:sz w:val="19"/>
              </w:rPr>
              <w:t>Date of Submission</w:t>
            </w:r>
          </w:p>
        </w:tc>
        <w:tc>
          <w:tcPr>
            <w:tcW w:type="dxa" w:w="4514"/>
            <w:shd w:val="clear" w:color="auto" w:fill="FFFFFF"/>
          </w:tcPr>
          <w:p>
            <w:pPr>
              <w:spacing w:before="30" w:after="30" w:line="276" w:lineRule="auto"/>
            </w:pPr>
            <w:r>
              <w:rPr>
                <w:rFonts w:ascii="Calibri" w:hAnsi="Calibri"/>
                <w:color w:val="1E162B"/>
                <w:sz w:val="19"/>
              </w:rPr>
              <w:t>28 August 2026</w:t>
            </w:r>
          </w:p>
        </w:tc>
      </w:tr>
      <w:tr>
        <w:tc>
          <w:tcPr>
            <w:tcW w:type="dxa" w:w="4514"/>
            <w:shd w:val="clear" w:color="auto" w:fill="FAF8FF"/>
          </w:tcPr>
          <w:p>
            <w:pPr>
              <w:spacing w:before="30" w:after="30" w:line="276" w:lineRule="auto"/>
            </w:pPr>
            <w:r>
              <w:rPr>
                <w:rFonts w:ascii="Calibri" w:hAnsi="Calibri"/>
                <w:b/>
                <w:color w:val="7C3AED"/>
                <w:sz w:val="19"/>
              </w:rPr>
              <w:t>Hackathon</w:t>
            </w:r>
          </w:p>
        </w:tc>
        <w:tc>
          <w:tcPr>
            <w:tcW w:type="dxa" w:w="4514"/>
            <w:shd w:val="clear" w:color="auto" w:fill="FAFAFA"/>
          </w:tcPr>
          <w:p>
            <w:pPr>
              <w:spacing w:before="30" w:after="30" w:line="276" w:lineRule="auto"/>
            </w:pPr>
            <w:r>
              <w:rPr>
                <w:rFonts w:ascii="Calibri" w:hAnsi="Calibri"/>
                <w:color w:val="1E162B"/>
                <w:sz w:val="19"/>
              </w:rPr>
              <w:t>MSME Idea Hackathon 6.0</w:t>
            </w:r>
          </w:p>
        </w:tc>
      </w:tr>
      <w:tr>
        <w:tc>
          <w:tcPr>
            <w:tcW w:type="dxa" w:w="4514"/>
            <w:shd w:val="clear" w:color="auto" w:fill="F3EEFF"/>
          </w:tcPr>
          <w:p>
            <w:pPr>
              <w:spacing w:before="30" w:after="30" w:line="276" w:lineRule="auto"/>
            </w:pPr>
            <w:r>
              <w:rPr>
                <w:rFonts w:ascii="Calibri" w:hAnsi="Calibri"/>
                <w:b/>
                <w:color w:val="7C3AED"/>
                <w:sz w:val="19"/>
              </w:rPr>
              <w:t>Thematic Area</w:t>
            </w:r>
          </w:p>
        </w:tc>
        <w:tc>
          <w:tcPr>
            <w:tcW w:type="dxa" w:w="4514"/>
            <w:shd w:val="clear" w:color="auto" w:fill="FFFFFF"/>
          </w:tcPr>
          <w:p>
            <w:pPr>
              <w:spacing w:before="30" w:after="30" w:line="276" w:lineRule="auto"/>
            </w:pPr>
            <w:r>
              <w:rPr>
                <w:rFonts w:ascii="Calibri" w:hAnsi="Calibri"/>
                <w:color w:val="1E162B"/>
                <w:sz w:val="19"/>
              </w:rPr>
              <w:t>Other Frontier Technologies</w:t>
            </w:r>
          </w:p>
        </w:tc>
      </w:tr>
      <w:tr>
        <w:tc>
          <w:tcPr>
            <w:tcW w:type="dxa" w:w="4514"/>
            <w:shd w:val="clear" w:color="auto" w:fill="FAF8FF"/>
          </w:tcPr>
          <w:p>
            <w:pPr>
              <w:spacing w:before="30" w:after="30" w:line="276" w:lineRule="auto"/>
            </w:pPr>
            <w:r>
              <w:rPr>
                <w:rFonts w:ascii="Calibri" w:hAnsi="Calibri"/>
                <w:b/>
                <w:color w:val="7C3AED"/>
                <w:sz w:val="19"/>
              </w:rPr>
              <w:t>Applicant Category</w:t>
            </w:r>
          </w:p>
        </w:tc>
        <w:tc>
          <w:tcPr>
            <w:tcW w:type="dxa" w:w="4514"/>
            <w:shd w:val="clear" w:color="auto" w:fill="FAFAFA"/>
          </w:tcPr>
          <w:p>
            <w:pPr>
              <w:spacing w:before="30" w:after="30" w:line="276" w:lineRule="auto"/>
            </w:pPr>
            <w:r>
              <w:rPr>
                <w:rFonts w:ascii="Calibri" w:hAnsi="Calibri"/>
                <w:color w:val="1E162B"/>
                <w:sz w:val="19"/>
              </w:rPr>
              <w:t>Student Innovation</w:t>
            </w:r>
          </w:p>
        </w:tc>
      </w:tr>
      <w:tr>
        <w:tc>
          <w:tcPr>
            <w:tcW w:type="dxa" w:w="4514"/>
            <w:shd w:val="clear" w:color="auto" w:fill="F3EEFF"/>
          </w:tcPr>
          <w:p>
            <w:pPr>
              <w:spacing w:before="30" w:after="30" w:line="276" w:lineRule="auto"/>
            </w:pPr>
            <w:r>
              <w:rPr>
                <w:rFonts w:ascii="Calibri" w:hAnsi="Calibri"/>
                <w:b/>
                <w:color w:val="7C3AED"/>
                <w:sz w:val="19"/>
              </w:rPr>
              <w:t>Reference Number</w:t>
            </w:r>
          </w:p>
        </w:tc>
        <w:tc>
          <w:tcPr>
            <w:tcW w:type="dxa" w:w="4514"/>
            <w:shd w:val="clear" w:color="auto" w:fill="FFFFFF"/>
          </w:tcPr>
          <w:p>
            <w:pPr>
              <w:spacing w:before="30" w:after="30" w:line="276" w:lineRule="auto"/>
            </w:pPr>
            <w:r>
              <w:rPr>
                <w:rFonts w:ascii="Calibri" w:hAnsi="Calibri"/>
                <w:color w:val="1E162B"/>
                <w:sz w:val="19"/>
              </w:rPr>
              <w:t>26INC06AP044404</w:t>
            </w:r>
          </w:p>
        </w:tc>
      </w:tr>
      <w:tr>
        <w:tc>
          <w:tcPr>
            <w:tcW w:type="dxa" w:w="4514"/>
            <w:shd w:val="clear" w:color="auto" w:fill="FAF8FF"/>
          </w:tcPr>
          <w:p>
            <w:pPr>
              <w:spacing w:before="30" w:after="30" w:line="276" w:lineRule="auto"/>
            </w:pPr>
            <w:r>
              <w:rPr>
                <w:rFonts w:ascii="Calibri" w:hAnsi="Calibri"/>
                <w:b/>
                <w:color w:val="7C3AED"/>
                <w:sz w:val="19"/>
              </w:rPr>
              <w:t>Project Title</w:t>
            </w:r>
          </w:p>
        </w:tc>
        <w:tc>
          <w:tcPr>
            <w:tcW w:type="dxa" w:w="4514"/>
            <w:shd w:val="clear" w:color="auto" w:fill="FAFAFA"/>
          </w:tcPr>
          <w:p>
            <w:pPr>
              <w:spacing w:before="30" w:after="30" w:line="276" w:lineRule="auto"/>
            </w:pPr>
            <w:r>
              <w:rPr>
                <w:rFonts w:ascii="Calibri" w:hAnsi="Calibri"/>
                <w:color w:val="1E162B"/>
                <w:sz w:val="19"/>
              </w:rPr>
              <w:t>SafeHerAI — Unified AI Women's Safety Brain</w:t>
            </w:r>
          </w:p>
        </w:tc>
      </w:tr>
    </w:tbl>
    <w:p>
      <w:r>
        <w:br w:type="page"/>
      </w:r>
    </w:p>
    <w:p>
      <w:pPr>
        <w:spacing w:before="180" w:after="80" w:line="276" w:lineRule="auto"/>
        <w:pBdr>
          <w:left w:val="single" w:sz="24" w:space="4" w:color="E11D74"/>
        </w:pBdr>
      </w:pPr>
      <w:r>
        <w:rPr>
          <w:rFonts w:ascii="Calibri" w:hAnsi="Calibri"/>
          <w:b/>
          <w:color w:val="E11D74"/>
          <w:sz w:val="28"/>
        </w:rPr>
        <w:t>1.  Project Definition, Objectives &amp; Alignment</w:t>
      </w:r>
    </w:p>
    <w:p>
      <w:pPr>
        <w:spacing w:before="120" w:after="40" w:line="276" w:lineRule="auto"/>
      </w:pPr>
      <w:r>
        <w:rPr>
          <w:rFonts w:ascii="Calibri" w:hAnsi="Calibri"/>
          <w:b/>
          <w:color w:val="7C3AED"/>
          <w:sz w:val="23"/>
        </w:rPr>
        <w:t>1.1  Clarity of Project Scope &amp; Objectives</w:t>
      </w:r>
    </w:p>
    <w:p>
      <w:pPr>
        <w:spacing w:before="0" w:after="50" w:line="276" w:lineRule="auto"/>
      </w:pPr>
      <w:r>
        <w:rPr>
          <w:rFonts w:ascii="Calibri" w:hAnsi="Calibri"/>
          <w:color w:val="1E162B"/>
          <w:sz w:val="20"/>
        </w:rPr>
        <w:t>SafeHerAI is a unified, AI-powered women's safety platform that fuses five independent intelligence streams into a single, continuously evolving journey-level risk state. Unlike conventional safety applications that react to a single panic trigger, SafeHerAI operates proactively — predicting threats before they materialise, routing women away from hazardous environments, monitoring ride safety in real time through an autonomous digital twin, enabling community-verified hazard reporting, and providing an empathetic, context-aware AI companion capable of generating formal police grievance documents.</w:t>
      </w:r>
    </w:p>
    <w:p>
      <w:pPr>
        <w:spacing w:before="0" w:after="50" w:line="276" w:lineRule="auto"/>
      </w:pPr>
      <w:r>
        <w:rPr>
          <w:rFonts w:ascii="Calibri" w:hAnsi="Calibri"/>
          <w:color w:val="1E162B"/>
          <w:sz w:val="20"/>
        </w:rPr>
        <w:t>The core innovation is the AI Safety Brain: a 17-agent orchestration layer built on LangGraph that fuses environmental, mobility, physiological, community, and conversational intelligence streams simultaneously. This is not an alert app — it is a continuous safety co-pilot.</w:t>
      </w:r>
    </w:p>
    <w:p>
      <w:pPr>
        <w:spacing w:before="80" w:after="30" w:line="276" w:lineRule="auto"/>
      </w:pPr>
      <w:r>
        <w:rPr>
          <w:rFonts w:ascii="Calibri" w:hAnsi="Calibri"/>
          <w:b/>
          <w:color w:val="1E162B"/>
          <w:sz w:val="21"/>
        </w:rPr>
        <w:t>Scope:</w:t>
      </w:r>
    </w:p>
    <w:p>
      <w:pPr>
        <w:spacing w:before="0" w:after="50" w:line="276" w:lineRule="auto"/>
      </w:pPr>
      <w:r>
        <w:rPr>
          <w:rFonts w:ascii="Calibri" w:hAnsi="Calibri"/>
          <w:color w:val="1E162B"/>
          <w:sz w:val="20"/>
        </w:rPr>
        <w:t>The project delivers a cross-platform demonstration encompassing:</w:t>
      </w:r>
    </w:p>
    <w:p>
      <w:pPr>
        <w:pStyle w:val="ListBullet"/>
        <w:spacing w:before="0" w:after="30" w:line="276" w:lineRule="auto"/>
        <w:ind w:left="432"/>
      </w:pPr>
      <w:r>
        <w:rPr>
          <w:rFonts w:ascii="Calibri" w:hAnsi="Calibri"/>
          <w:color w:val="1E162B"/>
          <w:sz w:val="20"/>
        </w:rPr>
        <w:t>Track 1 — AI Safety Map &amp; Exposure-Aware Routing: Dynamic, XGBoost-driven environmental risk heatmap (H3 hexagonal spatial indexing) covering Hyderabad, with counterfactual route analysis and safe-haven recommendation.</w:t>
      </w:r>
    </w:p>
    <w:p>
      <w:pPr>
        <w:pStyle w:val="ListBullet"/>
        <w:spacing w:before="0" w:after="30" w:line="276" w:lineRule="auto"/>
        <w:ind w:left="432"/>
      </w:pPr>
      <w:r>
        <w:rPr>
          <w:rFonts w:ascii="Calibri" w:hAnsi="Calibri"/>
          <w:color w:val="1E162B"/>
          <w:sz w:val="20"/>
        </w:rPr>
        <w:t>Track 2 — Smart Ride Intelligence &amp; Journey Digital Twin: Real-time GPS trajectory monitoring via WebSocket, Isolation Forest + DTW-based driver deviation detection, and a LangGraph 5-node escalation pipeline to guardians, police, and emergency services.</w:t>
      </w:r>
    </w:p>
    <w:p>
      <w:pPr>
        <w:pStyle w:val="ListBullet"/>
        <w:spacing w:before="0" w:after="30" w:line="276" w:lineRule="auto"/>
        <w:ind w:left="432"/>
      </w:pPr>
      <w:r>
        <w:rPr>
          <w:rFonts w:ascii="Calibri" w:hAnsi="Calibri"/>
          <w:color w:val="1E162B"/>
          <w:sz w:val="20"/>
        </w:rPr>
        <w:t>Track 3 — Wearable Safety Intelligence: Physiological distress monitoring integrating simulated biometric streams (heart rate, SpO₂, galvanic skin response) with AI-driven fear probability estimation.</w:t>
      </w:r>
    </w:p>
    <w:p>
      <w:pPr>
        <w:pStyle w:val="ListBullet"/>
        <w:spacing w:before="0" w:after="30" w:line="276" w:lineRule="auto"/>
        <w:ind w:left="432"/>
      </w:pPr>
      <w:r>
        <w:rPr>
          <w:rFonts w:ascii="Calibri" w:hAnsi="Calibri"/>
          <w:color w:val="1E162B"/>
          <w:sz w:val="20"/>
        </w:rPr>
        <w:t>Track 4 — Community Safety Sentinel: Anonymous, AI-verified crowd-sourced hazard reporting with PostGIS DBSCAN spatial clustering, Random Forest trust scoring, and real-time map integration.</w:t>
      </w:r>
    </w:p>
    <w:p>
      <w:pPr>
        <w:pStyle w:val="ListBullet"/>
        <w:spacing w:before="0" w:after="30" w:line="276" w:lineRule="auto"/>
        <w:ind w:left="432"/>
      </w:pPr>
      <w:r>
        <w:rPr>
          <w:rFonts w:ascii="Calibri" w:hAnsi="Calibri"/>
          <w:color w:val="1E162B"/>
          <w:sz w:val="20"/>
        </w:rPr>
        <w:t>Track 5 — AI Safety Companion &amp; Grievance Engine: Gemini 2.5 Flash-powered streaming conversational agent with live risk-context injection, Google Search grounding, and a Gemini 2.5 Pro grievance summariser that auto-generates FIR-style police complaint drafts.</w:t>
      </w:r>
    </w:p>
    <w:p>
      <w:pPr>
        <w:spacing w:before="80" w:after="30" w:line="276" w:lineRule="auto"/>
      </w:pPr>
      <w:r>
        <w:rPr>
          <w:rFonts w:ascii="Calibri" w:hAnsi="Calibri"/>
          <w:b/>
          <w:color w:val="1E162B"/>
          <w:sz w:val="21"/>
        </w:rPr>
        <w:t>Deliverables:</w:t>
      </w:r>
    </w:p>
    <w:p>
      <w:pPr>
        <w:pStyle w:val="ListBullet"/>
        <w:spacing w:before="0" w:after="30" w:line="276" w:lineRule="auto"/>
        <w:ind w:left="432"/>
      </w:pPr>
      <w:r>
        <w:rPr>
          <w:rFonts w:ascii="Calibri" w:hAnsi="Calibri"/>
          <w:color w:val="1E162B"/>
          <w:sz w:val="20"/>
        </w:rPr>
        <w:t>Flutter mobile application (Android) — SafeHerAI app with live GPS streaming, real-time risk display, SOS dispatch, and streaming AI companion chat.</w:t>
      </w:r>
    </w:p>
    <w:p>
      <w:pPr>
        <w:pStyle w:val="ListBullet"/>
        <w:spacing w:before="0" w:after="30" w:line="276" w:lineRule="auto"/>
        <w:ind w:left="432"/>
      </w:pPr>
      <w:r>
        <w:rPr>
          <w:rFonts w:ascii="Calibri" w:hAnsi="Calibri"/>
          <w:color w:val="1E162B"/>
          <w:sz w:val="20"/>
        </w:rPr>
        <w:t>Next.js web dashboard — Police/Guardian Command Center with GPU-rendered deck.gl heatmaps, live agent activity feed, and community report management.</w:t>
      </w:r>
    </w:p>
    <w:p>
      <w:pPr>
        <w:pStyle w:val="ListBullet"/>
        <w:spacing w:before="0" w:after="30" w:line="276" w:lineRule="auto"/>
        <w:ind w:left="432"/>
      </w:pPr>
      <w:r>
        <w:rPr>
          <w:rFonts w:ascii="Calibri" w:hAnsi="Calibri"/>
          <w:color w:val="1E162B"/>
          <w:sz w:val="20"/>
        </w:rPr>
        <w:t>FastAPI + LangGraph backend — 17-agent intelligence orchestration, all five track APIs, WebSocket/SSE real-time endpoints, PostGIS spatial queries.</w:t>
      </w:r>
    </w:p>
    <w:p>
      <w:pPr>
        <w:pStyle w:val="ListBullet"/>
        <w:spacing w:before="0" w:after="30" w:line="276" w:lineRule="auto"/>
        <w:ind w:left="432"/>
      </w:pPr>
      <w:r>
        <w:rPr>
          <w:rFonts w:ascii="Calibri" w:hAnsi="Calibri"/>
          <w:color w:val="1E162B"/>
          <w:sz w:val="20"/>
        </w:rPr>
        <w:t>Technical documentation — API reference, system architecture diagram, and this Project Design Document.</w:t>
      </w:r>
    </w:p>
    <w:p>
      <w:pPr>
        <w:spacing w:before="80" w:after="30" w:line="276" w:lineRule="auto"/>
      </w:pPr>
      <w:r>
        <w:rPr>
          <w:rFonts w:ascii="Calibri" w:hAnsi="Calibri"/>
          <w:b/>
          <w:color w:val="1E162B"/>
          <w:sz w:val="21"/>
        </w:rPr>
        <w:t>Out of Scope:</w:t>
      </w:r>
    </w:p>
    <w:p>
      <w:pPr>
        <w:pStyle w:val="ListBullet"/>
        <w:spacing w:before="0" w:after="30" w:line="276" w:lineRule="auto"/>
        <w:ind w:left="432"/>
      </w:pPr>
      <w:r>
        <w:rPr>
          <w:rFonts w:ascii="Calibri" w:hAnsi="Calibri"/>
          <w:color w:val="1E162B"/>
          <w:sz w:val="20"/>
        </w:rPr>
        <w:t>Hardware wearable device manufacturing (wearable track uses simulated/BLE-connected biometric streams).</w:t>
      </w:r>
    </w:p>
    <w:p>
      <w:pPr>
        <w:pStyle w:val="ListBullet"/>
        <w:spacing w:before="0" w:after="30" w:line="276" w:lineRule="auto"/>
        <w:ind w:left="432"/>
      </w:pPr>
      <w:r>
        <w:rPr>
          <w:rFonts w:ascii="Calibri" w:hAnsi="Calibri"/>
          <w:color w:val="1E162B"/>
          <w:sz w:val="20"/>
        </w:rPr>
        <w:t>National-scale deployment infrastructure (the pilot demonstrates Hyderabad geography).</w:t>
      </w:r>
    </w:p>
    <w:p>
      <w:pPr>
        <w:pStyle w:val="ListBullet"/>
        <w:spacing w:before="0" w:after="30" w:line="276" w:lineRule="auto"/>
        <w:ind w:left="432"/>
      </w:pPr>
      <w:r>
        <w:rPr>
          <w:rFonts w:ascii="Calibri" w:hAnsi="Calibri"/>
          <w:color w:val="1E162B"/>
          <w:sz w:val="20"/>
        </w:rPr>
        <w:t>Formal police portal API integration (escalation uses a documented mock webhook; real integration depends on state police API access).</w:t>
      </w:r>
    </w:p>
    <w:tbl>
      <w:tblPr>
        <w:tblStyle w:val="TableGrid"/>
        <w:tblW w:type="auto" w:w="0"/>
        <w:jc w:val="left"/>
        <w:tblLook w:firstColumn="1" w:firstRow="1" w:lastColumn="0" w:lastRow="0" w:noHBand="0" w:noVBand="1" w:val="04A0"/>
      </w:tblPr>
      <w:tblGrid>
        <w:gridCol w:w="9029"/>
      </w:tblGrid>
      <w:tr>
        <w:tc>
          <w:tcPr>
            <w:tcW w:type="dxa" w:w="9029"/>
            <w:shd w:val="clear" w:color="auto" w:fill="FFF1F9"/>
            <w:tcBorders>
              <w:top w:val="single" w:sz="4" w:space="0" w:color="E11D74"/>
              <w:bottom w:val="single" w:sz="4" w:space="0" w:color="E11D74"/>
              <w:left w:val="single" w:sz="4" w:space="0" w:color="E11D74"/>
              <w:right w:val="single" w:sz="4" w:space="0" w:color="E11D74"/>
            </w:tcBorders>
          </w:tcPr>
          <w:p>
            <w:pPr>
              <w:spacing w:before="40" w:after="40" w:line="276" w:lineRule="auto"/>
            </w:pPr>
            <w:r>
              <w:rPr>
                <w:rFonts w:ascii="Calibri" w:hAnsi="Calibri"/>
                <w:b/>
                <w:color w:val="E11D74"/>
                <w:sz w:val="19"/>
              </w:rPr>
              <w:t xml:space="preserve">▶  Scalability Note: </w:t>
            </w:r>
            <w:r>
              <w:rPr>
                <w:rFonts w:ascii="Calibri" w:hAnsi="Calibri"/>
                <w:color w:val="1E162B"/>
                <w:sz w:val="19"/>
              </w:rPr>
              <w:t>The entire platform is architecturally designed for rapid scaling. The AI Safety Brain's modular multi-agent design allows new intelligence streams to be added without modifying existing agent contracts. The PostGIS + H3 indexing layer scales to any Indian city by simply loading the relevant NCRB and OSM data for that region.</w:t>
            </w:r>
          </w:p>
        </w:tc>
      </w:tr>
    </w:tbl>
    <w:p/>
    <w:p/>
    <w:p>
      <w:pPr>
        <w:spacing w:before="120" w:after="40" w:line="276" w:lineRule="auto"/>
      </w:pPr>
      <w:r>
        <w:rPr>
          <w:rFonts w:ascii="Calibri" w:hAnsi="Calibri"/>
          <w:b/>
          <w:color w:val="7C3AED"/>
          <w:sz w:val="23"/>
        </w:rPr>
        <w:t>1.2  Alignment with 'Other Frontier Technologies' Theme &amp; MSME Impact</w:t>
      </w:r>
    </w:p>
    <w:p>
      <w:pPr>
        <w:spacing w:before="0" w:after="50" w:line="276" w:lineRule="auto"/>
      </w:pPr>
      <w:r>
        <w:rPr>
          <w:rFonts w:ascii="Calibri" w:hAnsi="Calibri"/>
          <w:color w:val="1E162B"/>
          <w:sz w:val="20"/>
        </w:rPr>
        <w:t>SafeHerAI directly addresses the 'Other Frontier Technologies' theme by converging four frontier AI disciplines — multi-agent orchestration, explainable spatial ML, large language model (LLM) streaming with grounding, and real-time edge inference — into a single, deployable safety platform. Each component represents the current state-of-the-art in its domain as of 2026.</w:t>
      </w:r>
    </w:p>
    <w:p>
      <w:pPr>
        <w:spacing w:before="80" w:after="30" w:line="276" w:lineRule="auto"/>
      </w:pPr>
      <w:r>
        <w:rPr>
          <w:rFonts w:ascii="Calibri" w:hAnsi="Calibri"/>
          <w:b/>
          <w:color w:val="1E162B"/>
          <w:sz w:val="21"/>
        </w:rPr>
        <w:t>Why This Problem Demands Frontier Technology:</w:t>
      </w:r>
    </w:p>
    <w:p>
      <w:pPr>
        <w:spacing w:before="0" w:after="50" w:line="276" w:lineRule="auto"/>
      </w:pPr>
      <w:r>
        <w:rPr>
          <w:rFonts w:ascii="Calibri" w:hAnsi="Calibri"/>
          <w:color w:val="1E162B"/>
          <w:sz w:val="20"/>
        </w:rPr>
        <w:t>India recorded 4,41,534 cases of crime against women in 2024 (NCRB Crime in India Report, 2024) — approximately 1,210 cases every single day. Critically, official statistics represent only a fraction of actual incidents: studies estimate that 88% of sexual harassment cases in Indian public spaces go unreported, and in Hyderabad specifically, a 2025 survey found only 11% of women who experienced harassment on the metro reported the incident. This underreporting is not a data problem — it is a systemic failure of existing single-feature safety tools to build genuine trust and provide actionable, contextual guidance at the moment it is needed.</w:t>
      </w:r>
    </w:p>
    <w:p>
      <w:pPr>
        <w:spacing w:before="0" w:after="50" w:line="276" w:lineRule="auto"/>
      </w:pPr>
      <w:r>
        <w:rPr>
          <w:rFonts w:ascii="Calibri" w:hAnsi="Calibri"/>
          <w:color w:val="1E162B"/>
          <w:sz w:val="20"/>
        </w:rPr>
        <w:t>The global women's safety app market was valued at USD 569 million in 2025, growing at 12.3% CAGR, yet market penetration in India remains low because existing solutions suffer three fundamental flaws: they react after the fact (panic-button model), they operate in data silos (GPS only, no context fusion), and they impose friction during emergencies (require phone unlock, deliberate action). SafeHerAI eliminates all three limitations.</w:t>
      </w:r>
    </w:p>
    <w:p>
      <w:pPr>
        <w:spacing w:before="80" w:after="30" w:line="276" w:lineRule="auto"/>
      </w:pPr>
      <w:r>
        <w:rPr>
          <w:rFonts w:ascii="Calibri" w:hAnsi="Calibri"/>
          <w:b/>
          <w:color w:val="1E162B"/>
          <w:sz w:val="21"/>
        </w:rPr>
        <w:t>MSME Linkage:</w:t>
      </w:r>
    </w:p>
    <w:p>
      <w:pPr>
        <w:pStyle w:val="ListBullet"/>
        <w:spacing w:before="0" w:after="30" w:line="276" w:lineRule="auto"/>
        <w:ind w:left="432"/>
      </w:pPr>
      <w:r>
        <w:rPr>
          <w:rFonts w:ascii="Calibri" w:hAnsi="Calibri"/>
          <w:color w:val="1E162B"/>
          <w:sz w:val="20"/>
        </w:rPr>
        <w:t>SafeHerAI's community trust-scoring and safe-haven network can integrate with local MSME businesses (pharmacies, petrol stations, convenience stores) as verified safe-haven nodes — creating a safety infrastructure partnership that directly benefits small businesses by driving footfall and community trust.</w:t>
      </w:r>
    </w:p>
    <w:p>
      <w:pPr>
        <w:pStyle w:val="ListBullet"/>
        <w:spacing w:before="0" w:after="30" w:line="276" w:lineRule="auto"/>
        <w:ind w:left="432"/>
      </w:pPr>
      <w:r>
        <w:rPr>
          <w:rFonts w:ascii="Calibri" w:hAnsi="Calibri"/>
          <w:color w:val="1E162B"/>
          <w:sz w:val="20"/>
        </w:rPr>
        <w:t>The platform's grievance routing engine digitises the complaint process, reducing the operational burden on police stations (an MSME-scale productivity problem) and improving first-response documentation quality.</w:t>
      </w:r>
    </w:p>
    <w:p>
      <w:pPr>
        <w:pStyle w:val="ListBullet"/>
        <w:spacing w:before="0" w:after="30" w:line="276" w:lineRule="auto"/>
        <w:ind w:left="432"/>
      </w:pPr>
      <w:r>
        <w:rPr>
          <w:rFonts w:ascii="Calibri" w:hAnsi="Calibri"/>
          <w:color w:val="1E162B"/>
          <w:sz w:val="20"/>
        </w:rPr>
        <w:t>The open API architecture enables MSME transport aggregators (auto-rickshaw unions, last-mile delivery companies) to embed SafeHerAI's ride monitoring SDK into their existing driver apps, enabling safety-as-a-service at MSME scale.</w:t>
      </w:r>
    </w:p>
    <w:p>
      <w:pPr>
        <w:spacing w:before="80" w:after="30" w:line="276" w:lineRule="auto"/>
      </w:pPr>
      <w:r>
        <w:rPr>
          <w:rFonts w:ascii="Calibri" w:hAnsi="Calibri"/>
          <w:b/>
          <w:color w:val="1E162B"/>
          <w:sz w:val="21"/>
        </w:rPr>
        <w:t>Alignment with National Priorities:</w:t>
      </w:r>
    </w:p>
    <w:tbl>
      <w:tblPr>
        <w:tblStyle w:val="TableGrid"/>
        <w:tblW w:type="auto" w:w="0"/>
        <w:jc w:val="left"/>
        <w:tblLook w:firstColumn="1" w:firstRow="1" w:lastColumn="0" w:lastRow="0" w:noHBand="0" w:noVBand="1" w:val="04A0"/>
      </w:tblPr>
      <w:tblGrid>
        <w:gridCol w:w="4514"/>
        <w:gridCol w:w="4514"/>
      </w:tblGrid>
      <w:tr>
        <w:tc>
          <w:tcPr>
            <w:tcW w:type="dxa" w:w="4514"/>
            <w:shd w:val="clear" w:color="auto" w:fill="1E162B"/>
          </w:tcPr>
          <w:p>
            <w:pPr>
              <w:spacing w:before="40" w:after="40" w:line="276" w:lineRule="auto"/>
            </w:pPr>
            <w:r>
              <w:rPr>
                <w:rFonts w:ascii="Calibri" w:hAnsi="Calibri"/>
                <w:b/>
                <w:color w:val="FFFFFF"/>
                <w:sz w:val="18"/>
              </w:rPr>
              <w:t>National Initiative</w:t>
            </w:r>
          </w:p>
        </w:tc>
        <w:tc>
          <w:tcPr>
            <w:tcW w:type="dxa" w:w="4514"/>
            <w:shd w:val="clear" w:color="auto" w:fill="1E162B"/>
          </w:tcPr>
          <w:p>
            <w:pPr>
              <w:spacing w:before="40" w:after="40" w:line="276" w:lineRule="auto"/>
            </w:pPr>
            <w:r>
              <w:rPr>
                <w:rFonts w:ascii="Calibri" w:hAnsi="Calibri"/>
                <w:b/>
                <w:color w:val="FFFFFF"/>
                <w:sz w:val="18"/>
              </w:rPr>
              <w:t>SafeHerAI Contribution</w:t>
            </w:r>
          </w:p>
        </w:tc>
      </w:tr>
      <w:tr>
        <w:tc>
          <w:tcPr>
            <w:tcW w:type="dxa" w:w="4514"/>
            <w:shd w:val="clear" w:color="auto" w:fill="F9F5FF"/>
          </w:tcPr>
          <w:p>
            <w:pPr>
              <w:spacing w:before="30" w:after="30" w:line="276" w:lineRule="auto"/>
            </w:pPr>
            <w:r>
              <w:rPr>
                <w:rFonts w:ascii="Calibri" w:hAnsi="Calibri"/>
                <w:color w:val="1E162B"/>
                <w:sz w:val="18"/>
              </w:rPr>
              <w:t>Nari Shakti Digital Mission</w:t>
            </w:r>
          </w:p>
        </w:tc>
        <w:tc>
          <w:tcPr>
            <w:tcW w:type="dxa" w:w="4514"/>
            <w:shd w:val="clear" w:color="auto" w:fill="F9F5FF"/>
          </w:tcPr>
          <w:p>
            <w:pPr>
              <w:spacing w:before="30" w:after="30" w:line="276" w:lineRule="auto"/>
            </w:pPr>
            <w:r>
              <w:rPr>
                <w:rFonts w:ascii="Calibri" w:hAnsi="Calibri"/>
                <w:color w:val="1E162B"/>
                <w:sz w:val="18"/>
              </w:rPr>
              <w:t>AI-powered safety intelligence accessible on any Android smartphone</w:t>
            </w:r>
          </w:p>
        </w:tc>
      </w:tr>
      <w:tr>
        <w:tc>
          <w:tcPr>
            <w:tcW w:type="dxa" w:w="4514"/>
            <w:shd w:val="clear" w:color="auto" w:fill="FFFFFF"/>
          </w:tcPr>
          <w:p>
            <w:pPr>
              <w:spacing w:before="30" w:after="30" w:line="276" w:lineRule="auto"/>
            </w:pPr>
            <w:r>
              <w:rPr>
                <w:rFonts w:ascii="Calibri" w:hAnsi="Calibri"/>
                <w:color w:val="1E162B"/>
                <w:sz w:val="18"/>
              </w:rPr>
              <w:t>Smart Cities Mission</w:t>
            </w:r>
          </w:p>
        </w:tc>
        <w:tc>
          <w:tcPr>
            <w:tcW w:type="dxa" w:w="4514"/>
            <w:shd w:val="clear" w:color="auto" w:fill="FFFFFF"/>
          </w:tcPr>
          <w:p>
            <w:pPr>
              <w:spacing w:before="30" w:after="30" w:line="276" w:lineRule="auto"/>
            </w:pPr>
            <w:r>
              <w:rPr>
                <w:rFonts w:ascii="Calibri" w:hAnsi="Calibri"/>
                <w:color w:val="1E162B"/>
                <w:sz w:val="18"/>
              </w:rPr>
              <w:t>Real-time spatial safety heatmaps integratable with city control rooms</w:t>
            </w:r>
          </w:p>
        </w:tc>
      </w:tr>
      <w:tr>
        <w:tc>
          <w:tcPr>
            <w:tcW w:type="dxa" w:w="4514"/>
            <w:shd w:val="clear" w:color="auto" w:fill="F9F5FF"/>
          </w:tcPr>
          <w:p>
            <w:pPr>
              <w:spacing w:before="30" w:after="30" w:line="276" w:lineRule="auto"/>
            </w:pPr>
            <w:r>
              <w:rPr>
                <w:rFonts w:ascii="Calibri" w:hAnsi="Calibri"/>
                <w:color w:val="1E162B"/>
                <w:sz w:val="18"/>
              </w:rPr>
              <w:t>Bharatiya Nyaya Sanhita (BNS) 2024</w:t>
            </w:r>
          </w:p>
        </w:tc>
        <w:tc>
          <w:tcPr>
            <w:tcW w:type="dxa" w:w="4514"/>
            <w:shd w:val="clear" w:color="auto" w:fill="F9F5FF"/>
          </w:tcPr>
          <w:p>
            <w:pPr>
              <w:spacing w:before="30" w:after="30" w:line="276" w:lineRule="auto"/>
            </w:pPr>
            <w:r>
              <w:rPr>
                <w:rFonts w:ascii="Calibri" w:hAnsi="Calibri"/>
                <w:color w:val="1E162B"/>
                <w:sz w:val="18"/>
              </w:rPr>
              <w:t>Automated FIR draft generation aligned to new BNS sections</w:t>
            </w:r>
          </w:p>
        </w:tc>
      </w:tr>
      <w:tr>
        <w:tc>
          <w:tcPr>
            <w:tcW w:type="dxa" w:w="4514"/>
            <w:shd w:val="clear" w:color="auto" w:fill="FFFFFF"/>
          </w:tcPr>
          <w:p>
            <w:pPr>
              <w:spacing w:before="30" w:after="30" w:line="276" w:lineRule="auto"/>
            </w:pPr>
            <w:r>
              <w:rPr>
                <w:rFonts w:ascii="Calibri" w:hAnsi="Calibri"/>
                <w:color w:val="1E162B"/>
                <w:sz w:val="18"/>
              </w:rPr>
              <w:t>Digital India</w:t>
            </w:r>
          </w:p>
        </w:tc>
        <w:tc>
          <w:tcPr>
            <w:tcW w:type="dxa" w:w="4514"/>
            <w:shd w:val="clear" w:color="auto" w:fill="FFFFFF"/>
          </w:tcPr>
          <w:p>
            <w:pPr>
              <w:spacing w:before="30" w:after="30" w:line="276" w:lineRule="auto"/>
            </w:pPr>
            <w:r>
              <w:rPr>
                <w:rFonts w:ascii="Calibri" w:hAnsi="Calibri"/>
                <w:color w:val="1E162B"/>
                <w:sz w:val="18"/>
              </w:rPr>
              <w:t>Cloud-native, API-first architecture on Indian cloud infrastructure (GCP Mumbai region)</w:t>
            </w:r>
          </w:p>
        </w:tc>
      </w:tr>
      <w:tr>
        <w:tc>
          <w:tcPr>
            <w:tcW w:type="dxa" w:w="4514"/>
            <w:shd w:val="clear" w:color="auto" w:fill="F9F5FF"/>
          </w:tcPr>
          <w:p>
            <w:pPr>
              <w:spacing w:before="30" w:after="30" w:line="276" w:lineRule="auto"/>
            </w:pPr>
            <w:r>
              <w:rPr>
                <w:rFonts w:ascii="Calibri" w:hAnsi="Calibri"/>
                <w:color w:val="1E162B"/>
                <w:sz w:val="18"/>
              </w:rPr>
              <w:t>Mission Shakti</w:t>
            </w:r>
          </w:p>
        </w:tc>
        <w:tc>
          <w:tcPr>
            <w:tcW w:type="dxa" w:w="4514"/>
            <w:shd w:val="clear" w:color="auto" w:fill="F9F5FF"/>
          </w:tcPr>
          <w:p>
            <w:pPr>
              <w:spacing w:before="30" w:after="30" w:line="276" w:lineRule="auto"/>
            </w:pPr>
            <w:r>
              <w:rPr>
                <w:rFonts w:ascii="Calibri" w:hAnsi="Calibri"/>
                <w:color w:val="1E162B"/>
                <w:sz w:val="18"/>
              </w:rPr>
              <w:t>AI companion for grievance summarisation reduces re-traumatisation during complaint filing</w:t>
            </w:r>
          </w:p>
        </w:tc>
      </w:tr>
    </w:tbl>
    <w:p/>
    <w:p/>
    <w:p>
      <w:pPr>
        <w:spacing w:before="120" w:after="40" w:line="276" w:lineRule="auto"/>
      </w:pPr>
      <w:r>
        <w:rPr>
          <w:rFonts w:ascii="Calibri" w:hAnsi="Calibri"/>
          <w:b/>
          <w:color w:val="7C3AED"/>
          <w:sz w:val="23"/>
        </w:rPr>
        <w:t>1.3  Outcome Indicators &amp; Key Results</w:t>
      </w:r>
    </w:p>
    <w:p>
      <w:pPr>
        <w:spacing w:before="0" w:after="50" w:line="276" w:lineRule="auto"/>
      </w:pPr>
      <w:r>
        <w:rPr>
          <w:rFonts w:ascii="Calibri" w:hAnsi="Calibri"/>
          <w:color w:val="1E162B"/>
          <w:sz w:val="20"/>
        </w:rPr>
        <w:t>The pilot's success is measured against five key results, one per intelligence track. Targets are informed by published benchmarks and current capabilities of the underlying models. All targets represent goals for the 90-day post-hackathon development sprint.</w:t>
      </w:r>
    </w:p>
    <w:p>
      <w:pPr>
        <w:spacing w:before="0" w:after="50" w:line="276" w:lineRule="auto"/>
      </w:pPr>
      <w:r>
        <w:rPr>
          <w:rFonts w:ascii="Calibri" w:hAnsi="Calibri"/>
          <w:color w:val="1E162B"/>
          <w:sz w:val="20"/>
        </w:rPr>
        <w:t>* All targets are pilot success criteria for the 90-day development phase. They are informed projections based on published capabilities of the underlying models, not pre-validated claims on production data.</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40" w:after="40" w:line="276" w:lineRule="auto"/>
            </w:pPr>
            <w:r>
              <w:rPr>
                <w:rFonts w:ascii="Calibri" w:hAnsi="Calibri"/>
                <w:b/>
                <w:color w:val="FFFFFF"/>
                <w:sz w:val="18"/>
              </w:rPr>
              <w:t>Track</w:t>
            </w:r>
          </w:p>
        </w:tc>
        <w:tc>
          <w:tcPr>
            <w:tcW w:type="dxa" w:w="2257"/>
            <w:shd w:val="clear" w:color="auto" w:fill="1E162B"/>
          </w:tcPr>
          <w:p>
            <w:pPr>
              <w:spacing w:before="40" w:after="40" w:line="276" w:lineRule="auto"/>
            </w:pPr>
            <w:r>
              <w:rPr>
                <w:rFonts w:ascii="Calibri" w:hAnsi="Calibri"/>
                <w:b/>
                <w:color w:val="FFFFFF"/>
                <w:sz w:val="18"/>
              </w:rPr>
              <w:t>Metric</w:t>
            </w:r>
          </w:p>
        </w:tc>
        <w:tc>
          <w:tcPr>
            <w:tcW w:type="dxa" w:w="2257"/>
            <w:shd w:val="clear" w:color="auto" w:fill="1E162B"/>
          </w:tcPr>
          <w:p>
            <w:pPr>
              <w:spacing w:before="40" w:after="40" w:line="276" w:lineRule="auto"/>
            </w:pPr>
            <w:r>
              <w:rPr>
                <w:rFonts w:ascii="Calibri" w:hAnsi="Calibri"/>
                <w:b/>
                <w:color w:val="FFFFFF"/>
                <w:sz w:val="18"/>
              </w:rPr>
              <w:t>Target</w:t>
            </w:r>
          </w:p>
        </w:tc>
        <w:tc>
          <w:tcPr>
            <w:tcW w:type="dxa" w:w="2257"/>
            <w:shd w:val="clear" w:color="auto" w:fill="1E162B"/>
          </w:tcPr>
          <w:p>
            <w:pPr>
              <w:spacing w:before="40" w:after="40" w:line="276" w:lineRule="auto"/>
            </w:pPr>
            <w:r>
              <w:rPr>
                <w:rFonts w:ascii="Calibri" w:hAnsi="Calibri"/>
                <w:b/>
                <w:color w:val="FFFFFF"/>
                <w:sz w:val="18"/>
              </w:rPr>
              <w:t>Why This Target</w:t>
            </w:r>
          </w:p>
        </w:tc>
      </w:tr>
      <w:tr>
        <w:tc>
          <w:tcPr>
            <w:tcW w:type="dxa" w:w="2257"/>
            <w:shd w:val="clear" w:color="auto" w:fill="F9F5FF"/>
          </w:tcPr>
          <w:p>
            <w:pPr>
              <w:spacing w:before="30" w:after="30" w:line="276" w:lineRule="auto"/>
            </w:pPr>
            <w:r>
              <w:rPr>
                <w:rFonts w:ascii="Calibri" w:hAnsi="Calibri"/>
                <w:color w:val="1E162B"/>
                <w:sz w:val="18"/>
              </w:rPr>
              <w:t>Track 1</w:t>
              <w:br/>
              <w:t>Safety Map</w:t>
            </w:r>
          </w:p>
        </w:tc>
        <w:tc>
          <w:tcPr>
            <w:tcW w:type="dxa" w:w="2257"/>
            <w:shd w:val="clear" w:color="auto" w:fill="F9F5FF"/>
          </w:tcPr>
          <w:p>
            <w:pPr>
              <w:spacing w:before="30" w:after="30" w:line="276" w:lineRule="auto"/>
            </w:pPr>
            <w:r>
              <w:rPr>
                <w:rFonts w:ascii="Calibri" w:hAnsi="Calibri"/>
                <w:color w:val="1E162B"/>
                <w:sz w:val="18"/>
              </w:rPr>
              <w:t>Counterfactual Route Acceptance Rate</w:t>
              <w:br/>
              <w:t>(User chooses AI-recommended route over baseline)</w:t>
            </w:r>
          </w:p>
        </w:tc>
        <w:tc>
          <w:tcPr>
            <w:tcW w:type="dxa" w:w="2257"/>
            <w:shd w:val="clear" w:color="auto" w:fill="F9F5FF"/>
          </w:tcPr>
          <w:p>
            <w:pPr>
              <w:spacing w:before="30" w:after="30" w:line="276" w:lineRule="auto"/>
            </w:pPr>
            <w:r>
              <w:rPr>
                <w:rFonts w:ascii="Calibri" w:hAnsi="Calibri"/>
                <w:color w:val="1E162B"/>
                <w:sz w:val="18"/>
              </w:rPr>
              <w:t>≥ 75% in user study</w:t>
              <w:br/>
              <w:t>(n ≥ 50 journeys)</w:t>
            </w:r>
          </w:p>
        </w:tc>
        <w:tc>
          <w:tcPr>
            <w:tcW w:type="dxa" w:w="2257"/>
            <w:shd w:val="clear" w:color="auto" w:fill="F9F5FF"/>
          </w:tcPr>
          <w:p>
            <w:pPr>
              <w:spacing w:before="30" w:after="30" w:line="276" w:lineRule="auto"/>
            </w:pPr>
            <w:r>
              <w:rPr>
                <w:rFonts w:ascii="Calibri" w:hAnsi="Calibri"/>
                <w:color w:val="1E162B"/>
                <w:sz w:val="18"/>
              </w:rPr>
              <w:t>XGBoost risk models on NCRB + OSM data have demonstrated ≥ 82% accuracy on tabular crime prediction tasks in comparable deployments. The counterfactual explanation (SHAP + Gemini narrative) is the differentiator that drives acceptance above passive routing apps.</w:t>
            </w:r>
          </w:p>
        </w:tc>
      </w:tr>
      <w:tr>
        <w:tc>
          <w:tcPr>
            <w:tcW w:type="dxa" w:w="2257"/>
            <w:shd w:val="clear" w:color="auto" w:fill="FFFFFF"/>
          </w:tcPr>
          <w:p>
            <w:pPr>
              <w:spacing w:before="30" w:after="30" w:line="276" w:lineRule="auto"/>
            </w:pPr>
            <w:r>
              <w:rPr>
                <w:rFonts w:ascii="Calibri" w:hAnsi="Calibri"/>
                <w:color w:val="1E162B"/>
                <w:sz w:val="18"/>
              </w:rPr>
              <w:t>Track 2</w:t>
              <w:br/>
              <w:t>Smart Ride</w:t>
            </w:r>
          </w:p>
        </w:tc>
        <w:tc>
          <w:tcPr>
            <w:tcW w:type="dxa" w:w="2257"/>
            <w:shd w:val="clear" w:color="auto" w:fill="FFFFFF"/>
          </w:tcPr>
          <w:p>
            <w:pPr>
              <w:spacing w:before="30" w:after="30" w:line="276" w:lineRule="auto"/>
            </w:pPr>
            <w:r>
              <w:rPr>
                <w:rFonts w:ascii="Calibri" w:hAnsi="Calibri"/>
                <w:color w:val="1E162B"/>
                <w:sz w:val="18"/>
              </w:rPr>
              <w:t>Route Deviation Detection Precision</w:t>
              <w:br/>
              <w:t>(True anomaly / total anomaly flag rate)</w:t>
            </w:r>
          </w:p>
        </w:tc>
        <w:tc>
          <w:tcPr>
            <w:tcW w:type="dxa" w:w="2257"/>
            <w:shd w:val="clear" w:color="auto" w:fill="FFFFFF"/>
          </w:tcPr>
          <w:p>
            <w:pPr>
              <w:spacing w:before="30" w:after="30" w:line="276" w:lineRule="auto"/>
            </w:pPr>
            <w:r>
              <w:rPr>
                <w:rFonts w:ascii="Calibri" w:hAnsi="Calibri"/>
                <w:color w:val="1E162B"/>
                <w:sz w:val="18"/>
              </w:rPr>
              <w:t>Precision ≥ 85%,</w:t>
              <w:br/>
              <w:t>Recall ≥ 90%</w:t>
              <w:br/>
              <w:t>at 500m deviation threshold</w:t>
            </w:r>
          </w:p>
        </w:tc>
        <w:tc>
          <w:tcPr>
            <w:tcW w:type="dxa" w:w="2257"/>
            <w:shd w:val="clear" w:color="auto" w:fill="FFFFFF"/>
          </w:tcPr>
          <w:p>
            <w:pPr>
              <w:spacing w:before="30" w:after="30" w:line="276" w:lineRule="auto"/>
            </w:pPr>
            <w:r>
              <w:rPr>
                <w:rFonts w:ascii="Calibri" w:hAnsi="Calibri"/>
                <w:color w:val="1E162B"/>
                <w:sz w:val="18"/>
              </w:rPr>
              <w:t>Isolation Forest on engineered GPS trajectory features (distance-from-route, speed delta, heading change) achieves 87–92% precision on comparable transport anomaly detection tasks. DTW confirmation layer is designed to reduce the false-positive rate to &lt; 15%.</w:t>
            </w:r>
          </w:p>
        </w:tc>
      </w:tr>
      <w:tr>
        <w:tc>
          <w:tcPr>
            <w:tcW w:type="dxa" w:w="2257"/>
            <w:shd w:val="clear" w:color="auto" w:fill="F9F5FF"/>
          </w:tcPr>
          <w:p>
            <w:pPr>
              <w:spacing w:before="30" w:after="30" w:line="276" w:lineRule="auto"/>
            </w:pPr>
            <w:r>
              <w:rPr>
                <w:rFonts w:ascii="Calibri" w:hAnsi="Calibri"/>
                <w:color w:val="1E162B"/>
                <w:sz w:val="18"/>
              </w:rPr>
              <w:t>Track 3</w:t>
              <w:br/>
              <w:t>Wearable AI</w:t>
            </w:r>
          </w:p>
        </w:tc>
        <w:tc>
          <w:tcPr>
            <w:tcW w:type="dxa" w:w="2257"/>
            <w:shd w:val="clear" w:color="auto" w:fill="F9F5FF"/>
          </w:tcPr>
          <w:p>
            <w:pPr>
              <w:spacing w:before="30" w:after="30" w:line="276" w:lineRule="auto"/>
            </w:pPr>
            <w:r>
              <w:rPr>
                <w:rFonts w:ascii="Calibri" w:hAnsi="Calibri"/>
                <w:color w:val="1E162B"/>
                <w:sz w:val="18"/>
              </w:rPr>
              <w:t>Fear Probability Estimation F1-Score</w:t>
              <w:br/>
              <w:t>(Binary: distress vs. normal)</w:t>
            </w:r>
          </w:p>
        </w:tc>
        <w:tc>
          <w:tcPr>
            <w:tcW w:type="dxa" w:w="2257"/>
            <w:shd w:val="clear" w:color="auto" w:fill="F9F5FF"/>
          </w:tcPr>
          <w:p>
            <w:pPr>
              <w:spacing w:before="30" w:after="30" w:line="276" w:lineRule="auto"/>
            </w:pPr>
            <w:r>
              <w:rPr>
                <w:rFonts w:ascii="Calibri" w:hAnsi="Calibri"/>
                <w:color w:val="1E162B"/>
                <w:sz w:val="18"/>
              </w:rPr>
              <w:t>F1 ≥ 0.80 on simulated</w:t>
              <w:br/>
              <w:t>paired biometric streams</w:t>
            </w:r>
          </w:p>
        </w:tc>
        <w:tc>
          <w:tcPr>
            <w:tcW w:type="dxa" w:w="2257"/>
            <w:shd w:val="clear" w:color="auto" w:fill="F9F5FF"/>
          </w:tcPr>
          <w:p>
            <w:pPr>
              <w:spacing w:before="30" w:after="30" w:line="276" w:lineRule="auto"/>
            </w:pPr>
            <w:r>
              <w:rPr>
                <w:rFonts w:ascii="Calibri" w:hAnsi="Calibri"/>
                <w:color w:val="1E162B"/>
                <w:sz w:val="18"/>
              </w:rPr>
              <w:t>The pilot simulates physiological distress using calibrated scenario-specific biometric ranges. The AI estimator (ensemble of HR, SpO₂, and GSR features) targets F1 ≥ 0.80 consistent with published stress-detection literature on comparable wearable sensor data.</w:t>
            </w:r>
          </w:p>
        </w:tc>
      </w:tr>
      <w:tr>
        <w:tc>
          <w:tcPr>
            <w:tcW w:type="dxa" w:w="2257"/>
            <w:shd w:val="clear" w:color="auto" w:fill="FFFFFF"/>
          </w:tcPr>
          <w:p>
            <w:pPr>
              <w:spacing w:before="30" w:after="30" w:line="276" w:lineRule="auto"/>
            </w:pPr>
            <w:r>
              <w:rPr>
                <w:rFonts w:ascii="Calibri" w:hAnsi="Calibri"/>
                <w:color w:val="1E162B"/>
                <w:sz w:val="18"/>
              </w:rPr>
              <w:t>Track 4</w:t>
              <w:br/>
              <w:t>Community</w:t>
            </w:r>
          </w:p>
        </w:tc>
        <w:tc>
          <w:tcPr>
            <w:tcW w:type="dxa" w:w="2257"/>
            <w:shd w:val="clear" w:color="auto" w:fill="FFFFFF"/>
          </w:tcPr>
          <w:p>
            <w:pPr>
              <w:spacing w:before="30" w:after="30" w:line="276" w:lineRule="auto"/>
            </w:pPr>
            <w:r>
              <w:rPr>
                <w:rFonts w:ascii="Calibri" w:hAnsi="Calibri"/>
                <w:color w:val="1E162B"/>
                <w:sz w:val="18"/>
              </w:rPr>
              <w:t>Trust Score Correlation</w:t>
              <w:br/>
              <w:t>(RF model output vs. ground-truth report validity)</w:t>
            </w:r>
          </w:p>
        </w:tc>
        <w:tc>
          <w:tcPr>
            <w:tcW w:type="dxa" w:w="2257"/>
            <w:shd w:val="clear" w:color="auto" w:fill="FFFFFF"/>
          </w:tcPr>
          <w:p>
            <w:pPr>
              <w:spacing w:before="30" w:after="30" w:line="276" w:lineRule="auto"/>
            </w:pPr>
            <w:r>
              <w:rPr>
                <w:rFonts w:ascii="Calibri" w:hAnsi="Calibri"/>
                <w:color w:val="1E162B"/>
                <w:sz w:val="18"/>
              </w:rPr>
              <w:t>Spearman ρ ≥ 0.75</w:t>
              <w:br/>
              <w:t>on held-out validation set</w:t>
            </w:r>
          </w:p>
        </w:tc>
        <w:tc>
          <w:tcPr>
            <w:tcW w:type="dxa" w:w="2257"/>
            <w:shd w:val="clear" w:color="auto" w:fill="FFFFFF"/>
          </w:tcPr>
          <w:p>
            <w:pPr>
              <w:spacing w:before="30" w:after="30" w:line="276" w:lineRule="auto"/>
            </w:pPr>
            <w:r>
              <w:rPr>
                <w:rFonts w:ascii="Calibri" w:hAnsi="Calibri"/>
                <w:color w:val="1E162B"/>
                <w:sz w:val="18"/>
              </w:rPr>
              <w:t>Random Forest trust scoring on tabular features (account age, GPS proximity to incident, consensus density, text coherence) achieves ρ ≥ 0.78 on comparable fake-report detection tasks in ride-hailing contexts (Uber/Ola internal studies).</w:t>
            </w:r>
          </w:p>
        </w:tc>
      </w:tr>
      <w:tr>
        <w:tc>
          <w:tcPr>
            <w:tcW w:type="dxa" w:w="2257"/>
            <w:shd w:val="clear" w:color="auto" w:fill="F9F5FF"/>
          </w:tcPr>
          <w:p>
            <w:pPr>
              <w:spacing w:before="30" w:after="30" w:line="276" w:lineRule="auto"/>
            </w:pPr>
            <w:r>
              <w:rPr>
                <w:rFonts w:ascii="Calibri" w:hAnsi="Calibri"/>
                <w:color w:val="1E162B"/>
                <w:sz w:val="18"/>
              </w:rPr>
              <w:t>Track 5</w:t>
              <w:br/>
              <w:t>AI Companion</w:t>
            </w:r>
          </w:p>
        </w:tc>
        <w:tc>
          <w:tcPr>
            <w:tcW w:type="dxa" w:w="2257"/>
            <w:shd w:val="clear" w:color="auto" w:fill="F9F5FF"/>
          </w:tcPr>
          <w:p>
            <w:pPr>
              <w:spacing w:before="30" w:after="30" w:line="276" w:lineRule="auto"/>
            </w:pPr>
            <w:r>
              <w:rPr>
                <w:rFonts w:ascii="Calibri" w:hAnsi="Calibri"/>
                <w:color w:val="1E162B"/>
                <w:sz w:val="18"/>
              </w:rPr>
              <w:t>Companion Response Quality</w:t>
              <w:br/>
              <w:t>(Human-rated: contextual accuracy + safety-appropriateness)</w:t>
            </w:r>
          </w:p>
        </w:tc>
        <w:tc>
          <w:tcPr>
            <w:tcW w:type="dxa" w:w="2257"/>
            <w:shd w:val="clear" w:color="auto" w:fill="F9F5FF"/>
          </w:tcPr>
          <w:p>
            <w:pPr>
              <w:spacing w:before="30" w:after="30" w:line="276" w:lineRule="auto"/>
            </w:pPr>
            <w:r>
              <w:rPr>
                <w:rFonts w:ascii="Calibri" w:hAnsi="Calibri"/>
                <w:color w:val="1E162B"/>
                <w:sz w:val="18"/>
              </w:rPr>
              <w:t>≥ 4.2 / 5.0 mean rating</w:t>
              <w:br/>
              <w:t>on 100 test scenarios</w:t>
            </w:r>
          </w:p>
        </w:tc>
        <w:tc>
          <w:tcPr>
            <w:tcW w:type="dxa" w:w="2257"/>
            <w:shd w:val="clear" w:color="auto" w:fill="F9F5FF"/>
          </w:tcPr>
          <w:p>
            <w:pPr>
              <w:spacing w:before="30" w:after="30" w:line="276" w:lineRule="auto"/>
            </w:pPr>
            <w:r>
              <w:rPr>
                <w:rFonts w:ascii="Calibri" w:hAnsi="Calibri"/>
                <w:color w:val="1E162B"/>
                <w:sz w:val="18"/>
              </w:rPr>
              <w:t>Gemini 2.5 Flash with live context injection (risk score, GPS zone, community alerts) produces responses rated 4.3–4.7 on safety Q&amp;A benchmarks. The FIR draft generation uses structured JSON schema output with IPC/BNS section mapping, validated against actual complaint formats.</w:t>
            </w:r>
          </w:p>
        </w:tc>
      </w:tr>
    </w:tbl>
    <w:p/>
    <w:p>
      <w:pPr>
        <w:spacing w:before="80" w:after="30" w:line="276" w:lineRule="auto"/>
      </w:pPr>
      <w:r>
        <w:rPr>
          <w:rFonts w:ascii="Calibri" w:hAnsi="Calibri"/>
          <w:b/>
          <w:color w:val="1E162B"/>
          <w:sz w:val="21"/>
        </w:rPr>
        <w:t>1.3.1  Feasibility Basis &amp; Validation Methodology</w:t>
      </w:r>
    </w:p>
    <w:p>
      <w:pPr>
        <w:spacing w:before="0" w:after="50" w:line="276" w:lineRule="auto"/>
      </w:pPr>
      <w:r>
        <w:rPr>
          <w:rFonts w:ascii="Calibri" w:hAnsi="Calibri"/>
          <w:color w:val="1E162B"/>
          <w:sz w:val="20"/>
        </w:rPr>
        <w:t>All metrics above are grounded in published capabilities of the underlying technology stack. The feasibility argument rests on three pillars:</w:t>
      </w:r>
    </w:p>
    <w:p>
      <w:pPr>
        <w:pStyle w:val="ListBullet"/>
        <w:spacing w:before="0" w:after="30" w:line="276" w:lineRule="auto"/>
        <w:ind w:left="432"/>
      </w:pPr>
      <w:r>
        <w:rPr>
          <w:rFonts w:ascii="Calibri" w:hAnsi="Calibri"/>
          <w:color w:val="1E162B"/>
          <w:sz w:val="20"/>
        </w:rPr>
        <w:t>Model Maturity: XGBoost, Isolation Forest, and Random Forest are proven production-grade ML algorithms deployed at scale by Uber, Ola, and Swiggy for comparable anomaly detection and trust-scoring tasks. SafeHerAI applies them in a novel domain (spatial safety) with a well-defined feature engineering pipeline.</w:t>
      </w:r>
    </w:p>
    <w:p>
      <w:pPr>
        <w:pStyle w:val="ListBullet"/>
        <w:spacing w:before="0" w:after="30" w:line="276" w:lineRule="auto"/>
        <w:ind w:left="432"/>
      </w:pPr>
      <w:r>
        <w:rPr>
          <w:rFonts w:ascii="Calibri" w:hAnsi="Calibri"/>
          <w:color w:val="1E162B"/>
          <w:sz w:val="20"/>
        </w:rPr>
        <w:t>LLM Capability: Gemini 2.5 Flash, with a 1-million token context window and Google Search grounding, can reliably generate contextual safety advice and structured complaint documents. The context injection architecture (per-turn live risk payload) is a standard RAG (Retrieval-Augmented Generation) pattern documented in Google's production AI guidelines.</w:t>
      </w:r>
    </w:p>
    <w:p>
      <w:pPr>
        <w:pStyle w:val="ListBullet"/>
        <w:spacing w:before="0" w:after="30" w:line="276" w:lineRule="auto"/>
        <w:ind w:left="432"/>
      </w:pPr>
      <w:r>
        <w:rPr>
          <w:rFonts w:ascii="Calibri" w:hAnsi="Calibri"/>
          <w:color w:val="1E162B"/>
          <w:sz w:val="20"/>
        </w:rPr>
        <w:t>Architecture Proven at Scale: LangGraph's directed graph agent orchestration is used in production by Uber and Klarna for multi-agent financial decision pipelines. The 5-agent LangGraph journey escalation graph in Track 2 implements the same pattern for safety escalation — conceptually simpler than financial systems and therefore more reliable.</w:t>
      </w:r>
    </w:p>
    <w:p>
      <w:pPr>
        <w:spacing w:before="0" w:after="50" w:line="276" w:lineRule="auto"/>
      </w:pPr>
      <w:r>
        <w:rPr>
          <w:rFonts w:ascii="Calibri" w:hAnsi="Calibri"/>
          <w:color w:val="1E162B"/>
          <w:sz w:val="20"/>
        </w:rPr>
        <w:t>Validation during the pilot phase will use: (a) synthetic journey datasets for Tracks 1 &amp; 2, (b) simulated biometric streams calibrated to published physiological distress ranges for Track 3, (c) seeded community reports from SafeCity API data for Track 4, and (d) human expert panel evaluation for Track 5 companion quality.</w:t>
      </w:r>
    </w:p>
    <w:p/>
    <w:p>
      <w:pPr>
        <w:spacing w:before="120" w:after="40" w:line="276" w:lineRule="auto"/>
      </w:pPr>
      <w:r>
        <w:rPr>
          <w:rFonts w:ascii="Calibri" w:hAnsi="Calibri"/>
          <w:b/>
          <w:color w:val="7C3AED"/>
          <w:sz w:val="23"/>
        </w:rPr>
        <w:t>1.4  Stakeholder Mapping &amp; Engagement Plan</w:t>
      </w:r>
    </w:p>
    <w:p>
      <w:pPr>
        <w:spacing w:before="0" w:after="50" w:line="276" w:lineRule="auto"/>
      </w:pPr>
      <w:r>
        <w:rPr>
          <w:rFonts w:ascii="Calibri" w:hAnsi="Calibri"/>
          <w:color w:val="1E162B"/>
          <w:sz w:val="20"/>
        </w:rPr>
        <w:t>SafeHerAI addresses a multi-sided safety ecosystem. The following stakeholders have been identified across three tiers:</w:t>
      </w:r>
    </w:p>
    <w:p>
      <w:pPr>
        <w:spacing w:before="80" w:after="30" w:line="276" w:lineRule="auto"/>
      </w:pPr>
      <w:r>
        <w:rPr>
          <w:rFonts w:ascii="Calibri" w:hAnsi="Calibri"/>
          <w:b/>
          <w:color w:val="1E162B"/>
          <w:sz w:val="21"/>
        </w:rPr>
        <w:t>Primary Beneficiaries:</w:t>
      </w:r>
    </w:p>
    <w:p>
      <w:pPr>
        <w:pStyle w:val="ListBullet"/>
        <w:spacing w:before="0" w:after="30" w:line="276" w:lineRule="auto"/>
        <w:ind w:left="432"/>
      </w:pPr>
      <w:r>
        <w:rPr>
          <w:rFonts w:ascii="Calibri" w:hAnsi="Calibri"/>
          <w:color w:val="1E162B"/>
          <w:sz w:val="20"/>
        </w:rPr>
        <w:t>Working Women Commuters: 140 million women use urban public transport daily in India (MoRTH 2024). SafeHerAI's primary user persona is a woman aged 18–35 commuting within a metropolitan area, using ride-hailing or public transit.</w:t>
      </w:r>
    </w:p>
    <w:p>
      <w:pPr>
        <w:pStyle w:val="ListBullet"/>
        <w:spacing w:before="0" w:after="30" w:line="276" w:lineRule="auto"/>
        <w:ind w:left="432"/>
      </w:pPr>
      <w:r>
        <w:rPr>
          <w:rFonts w:ascii="Calibri" w:hAnsi="Calibri"/>
          <w:color w:val="1E162B"/>
          <w:sz w:val="20"/>
        </w:rPr>
        <w:t>College Students: 43 million women enrolled in Indian higher education (UGC 2024) constitute a high-risk, high-tech-literacy demographic — early adopters and a natural distribution channel through campus networks.</w:t>
      </w:r>
    </w:p>
    <w:p>
      <w:pPr>
        <w:pStyle w:val="ListBullet"/>
        <w:spacing w:before="0" w:after="30" w:line="276" w:lineRule="auto"/>
        <w:ind w:left="432"/>
      </w:pPr>
      <w:r>
        <w:rPr>
          <w:rFonts w:ascii="Calibri" w:hAnsi="Calibri"/>
          <w:color w:val="1E162B"/>
          <w:sz w:val="20"/>
        </w:rPr>
        <w:t>Guardians &amp; Family: Parents, spouses, and trusted contacts who receive real-time journey alerts and can intervene through the Guardian Network module.</w:t>
      </w:r>
    </w:p>
    <w:p>
      <w:pPr>
        <w:spacing w:before="80" w:after="30" w:line="276" w:lineRule="auto"/>
      </w:pPr>
      <w:r>
        <w:rPr>
          <w:rFonts w:ascii="Calibri" w:hAnsi="Calibri"/>
          <w:b/>
          <w:color w:val="1E162B"/>
          <w:sz w:val="21"/>
        </w:rPr>
        <w:t>Institutional Stakeholders:</w:t>
      </w:r>
    </w:p>
    <w:p>
      <w:pPr>
        <w:pStyle w:val="ListBullet"/>
        <w:spacing w:before="0" w:after="30" w:line="276" w:lineRule="auto"/>
        <w:ind w:left="432"/>
      </w:pPr>
      <w:r>
        <w:rPr>
          <w:rFonts w:ascii="Calibri" w:hAnsi="Calibri"/>
          <w:color w:val="1E162B"/>
          <w:sz w:val="20"/>
        </w:rPr>
        <w:t>Police Departments / Emergency Services: Receive AI-generated, structured FIR drafts and GPS-verified incident coordinates — dramatically improving the quality of first-response documentation.</w:t>
      </w:r>
    </w:p>
    <w:p>
      <w:pPr>
        <w:pStyle w:val="ListBullet"/>
        <w:spacing w:before="0" w:after="30" w:line="276" w:lineRule="auto"/>
        <w:ind w:left="432"/>
      </w:pPr>
      <w:r>
        <w:rPr>
          <w:rFonts w:ascii="Calibri" w:hAnsi="Calibri"/>
          <w:color w:val="1E162B"/>
          <w:sz w:val="20"/>
        </w:rPr>
        <w:t>City Corporations / Smart City PMUs: Can integrate SafeHerAI's risk heatmap API with existing city surveillance dashboards at zero additional infrastructure cost.</w:t>
      </w:r>
    </w:p>
    <w:p>
      <w:pPr>
        <w:pStyle w:val="ListBullet"/>
        <w:spacing w:before="0" w:after="30" w:line="276" w:lineRule="auto"/>
        <w:ind w:left="432"/>
      </w:pPr>
      <w:r>
        <w:rPr>
          <w:rFonts w:ascii="Calibri" w:hAnsi="Calibri"/>
          <w:color w:val="1E162B"/>
          <w:sz w:val="20"/>
        </w:rPr>
        <w:t>Ride-Hailing Platforms (Ola, Uber, Rapido): SafeHerAI's SDK-first architecture is designed for white-label integration, enabling platforms to embed the journey twin and deviation detection layer into their existing driver monitoring systems.</w:t>
      </w:r>
    </w:p>
    <w:p>
      <w:pPr>
        <w:pStyle w:val="ListBullet"/>
        <w:spacing w:before="0" w:after="30" w:line="276" w:lineRule="auto"/>
        <w:ind w:left="432"/>
      </w:pPr>
      <w:r>
        <w:rPr>
          <w:rFonts w:ascii="Calibri" w:hAnsi="Calibri"/>
          <w:color w:val="1E162B"/>
          <w:sz w:val="20"/>
        </w:rPr>
        <w:t>VIT-AP University &amp; Academic Network: Institutional base for pilot data collection, ethical review, and initial user study cohort.</w:t>
      </w:r>
    </w:p>
    <w:p>
      <w:pPr>
        <w:spacing w:before="80" w:after="30" w:line="276" w:lineRule="auto"/>
      </w:pPr>
      <w:r>
        <w:rPr>
          <w:rFonts w:ascii="Calibri" w:hAnsi="Calibri"/>
          <w:b/>
          <w:color w:val="1E162B"/>
          <w:sz w:val="21"/>
        </w:rPr>
        <w:t>External Dependencies:</w:t>
      </w:r>
    </w:p>
    <w:p>
      <w:pPr>
        <w:pStyle w:val="ListBullet"/>
        <w:spacing w:before="0" w:after="30" w:line="276" w:lineRule="auto"/>
        <w:ind w:left="432"/>
      </w:pPr>
      <w:r>
        <w:rPr>
          <w:rFonts w:ascii="Calibri" w:hAnsi="Calibri"/>
          <w:color w:val="1E162B"/>
          <w:sz w:val="20"/>
        </w:rPr>
        <w:t>Google AI / Vertex AI: Gemini 2.5 Flash/Pro API access for AI Companion and Grievance Engine. Available through Google Cloud free tier and hackathon credits.</w:t>
      </w:r>
    </w:p>
    <w:p>
      <w:pPr>
        <w:pStyle w:val="ListBullet"/>
        <w:spacing w:before="0" w:after="30" w:line="276" w:lineRule="auto"/>
        <w:ind w:left="432"/>
      </w:pPr>
      <w:r>
        <w:rPr>
          <w:rFonts w:ascii="Calibri" w:hAnsi="Calibri"/>
          <w:color w:val="1E162B"/>
          <w:sz w:val="20"/>
        </w:rPr>
        <w:t>OLA Maps API: India-native routing and geocoding. Available through developer portal.</w:t>
      </w:r>
    </w:p>
    <w:p>
      <w:pPr>
        <w:pStyle w:val="ListBullet"/>
        <w:spacing w:before="0" w:after="30" w:line="276" w:lineRule="auto"/>
        <w:ind w:left="432"/>
      </w:pPr>
      <w:r>
        <w:rPr>
          <w:rFonts w:ascii="Calibri" w:hAnsi="Calibri"/>
          <w:color w:val="1E162B"/>
          <w:sz w:val="20"/>
        </w:rPr>
        <w:t>NCRB Data: Publicly available district-wise crime statistics CSVs, updated annually.</w:t>
      </w:r>
    </w:p>
    <w:p>
      <w:pPr>
        <w:pStyle w:val="ListBullet"/>
        <w:spacing w:before="0" w:after="30" w:line="276" w:lineRule="auto"/>
        <w:ind w:left="432"/>
      </w:pPr>
      <w:r>
        <w:rPr>
          <w:rFonts w:ascii="Calibri" w:hAnsi="Calibri"/>
          <w:color w:val="1E162B"/>
          <w:sz w:val="20"/>
        </w:rPr>
        <w:t>SafeCity API (Red Dot Foundation): Open API for crowd-sourced harassment incident data across Indian cities.</w:t>
      </w:r>
    </w:p>
    <w:p>
      <w:pPr>
        <w:pStyle w:val="ListBullet"/>
        <w:spacing w:before="0" w:after="30" w:line="276" w:lineRule="auto"/>
        <w:ind w:left="432"/>
      </w:pPr>
      <w:r>
        <w:rPr>
          <w:rFonts w:ascii="Calibri" w:hAnsi="Calibri"/>
          <w:color w:val="1E162B"/>
          <w:sz w:val="20"/>
        </w:rPr>
        <w:t>OSM Overpass API: Open-access street lighting and CCTV node data for environmental risk scoring.</w:t>
      </w:r>
    </w:p>
    <w:tbl>
      <w:tblPr>
        <w:tblStyle w:val="TableGrid"/>
        <w:tblW w:type="auto" w:w="0"/>
        <w:jc w:val="left"/>
        <w:tblLook w:firstColumn="1" w:firstRow="1" w:lastColumn="0" w:lastRow="0" w:noHBand="0" w:noVBand="1" w:val="04A0"/>
      </w:tblPr>
      <w:tblGrid>
        <w:gridCol w:w="9029"/>
      </w:tblGrid>
      <w:tr>
        <w:tc>
          <w:tcPr>
            <w:tcW w:type="dxa" w:w="9029"/>
            <w:shd w:val="clear" w:color="auto" w:fill="FFF1F9"/>
            <w:tcBorders>
              <w:top w:val="single" w:sz="4" w:space="0" w:color="E11D74"/>
              <w:bottom w:val="single" w:sz="4" w:space="0" w:color="E11D74"/>
              <w:left w:val="single" w:sz="4" w:space="0" w:color="E11D74"/>
              <w:right w:val="single" w:sz="4" w:space="0" w:color="E11D74"/>
            </w:tcBorders>
          </w:tcPr>
          <w:p>
            <w:pPr>
              <w:spacing w:before="40" w:after="40" w:line="276" w:lineRule="auto"/>
            </w:pPr>
            <w:r>
              <w:rPr>
                <w:rFonts w:ascii="Calibri" w:hAnsi="Calibri"/>
                <w:b/>
                <w:color w:val="E11D74"/>
                <w:sz w:val="19"/>
              </w:rPr>
              <w:t xml:space="preserve">▶  Dependency Risk Mitigation: </w:t>
            </w:r>
            <w:r>
              <w:rPr>
                <w:rFonts w:ascii="Calibri" w:hAnsi="Calibri"/>
                <w:color w:val="1E162B"/>
                <w:sz w:val="19"/>
              </w:rPr>
              <w:t>No third-party hardware partnerships, government approvals, or proprietary data licenses are required for the pilot demonstration. All data sources are publicly available or open APIs. The architecture is intentionally designed with zero hard external dependencies that could block the pilot.</w:t>
            </w:r>
          </w:p>
        </w:tc>
      </w:tr>
    </w:tbl>
    <w:p/>
    <w:p>
      <w:r>
        <w:br w:type="page"/>
      </w:r>
    </w:p>
    <w:p>
      <w:pPr>
        <w:spacing w:before="180" w:after="80" w:line="276" w:lineRule="auto"/>
        <w:pBdr>
          <w:left w:val="single" w:sz="24" w:space="4" w:color="E11D74"/>
        </w:pBdr>
      </w:pPr>
      <w:r>
        <w:rPr>
          <w:rFonts w:ascii="Calibri" w:hAnsi="Calibri"/>
          <w:b/>
          <w:color w:val="E11D74"/>
          <w:sz w:val="28"/>
        </w:rPr>
        <w:t>2.  Technical Architecture &amp; Implementation Plan</w:t>
      </w:r>
    </w:p>
    <w:p>
      <w:pPr>
        <w:spacing w:before="120" w:after="40" w:line="276" w:lineRule="auto"/>
      </w:pPr>
      <w:r>
        <w:rPr>
          <w:rFonts w:ascii="Calibri" w:hAnsi="Calibri"/>
          <w:b/>
          <w:color w:val="7C3AED"/>
          <w:sz w:val="23"/>
        </w:rPr>
        <w:t>2.1  System Architecture &amp; Component Design</w:t>
      </w:r>
    </w:p>
    <w:p>
      <w:pPr>
        <w:spacing w:before="0" w:after="50" w:line="276" w:lineRule="auto"/>
      </w:pPr>
      <w:r>
        <w:rPr>
          <w:rFonts w:ascii="Calibri" w:hAnsi="Calibri"/>
          <w:color w:val="1E162B"/>
          <w:sz w:val="20"/>
        </w:rPr>
        <w:t>SafeHerAI is architected as a three-tier system: an intelligence backend, a cross-platform client layer, and a multi-source data ingestion layer. The central innovation is the AI Safety Brain — a LangGraph-orchestrated 17-agent decision engine that receives continuous telemetry from all five intelligence streams and synthesises a unified, evolving journey risk state.</w:t>
      </w:r>
    </w:p>
    <w:p>
      <w:pPr>
        <w:spacing w:before="80" w:after="30" w:line="276" w:lineRule="auto"/>
      </w:pPr>
      <w:r>
        <w:rPr>
          <w:rFonts w:ascii="Calibri" w:hAnsi="Calibri"/>
          <w:b/>
          <w:color w:val="1E162B"/>
          <w:sz w:val="21"/>
        </w:rPr>
        <w:t>Architecture Overview:</w:t>
      </w:r>
    </w:p>
    <w:p>
      <w:pPr>
        <w:spacing w:before="0" w:after="50" w:line="276" w:lineRule="auto"/>
      </w:pPr>
      <w:r>
        <w:rPr>
          <w:rFonts w:ascii="Calibri" w:hAnsi="Calibri"/>
          <w:color w:val="1E162B"/>
          <w:sz w:val="20"/>
        </w:rPr>
        <w:t>The system follows an event-driven microservices design. GPS telemetry from the Flutter mobile app streams via WebSocket to the FastAPI backend. The AI Safety Brain agent graph processes each event, updates the Redis-cached journey state, and broadcasts risk updates to all connected clients via Server-Sent Events (SSE). The Next.js Command Center dashboard and the Flutter app receive these updates in real time, rendering a live safety picture across map, timeline, biometric, and chat surfaces simultaneously.</w:t>
      </w:r>
    </w:p>
    <w:p>
      <w:pPr>
        <w:spacing w:before="80" w:after="30" w:line="276" w:lineRule="auto"/>
      </w:pPr>
      <w:r>
        <w:rPr>
          <w:rFonts w:ascii="Calibri" w:hAnsi="Calibri"/>
          <w:b/>
          <w:color w:val="1E162B"/>
          <w:sz w:val="21"/>
        </w:rPr>
        <w:t>Component Design — Five Intelligence Tracks:</w:t>
      </w:r>
    </w:p>
    <w:p>
      <w:pPr>
        <w:spacing w:before="80" w:after="30" w:line="276" w:lineRule="auto"/>
      </w:pPr>
      <w:r>
        <w:rPr>
          <w:rFonts w:ascii="Calibri" w:hAnsi="Calibri"/>
          <w:b/>
          <w:color w:val="1E162B"/>
          <w:sz w:val="21"/>
        </w:rPr>
        <w:t>Track 1 — AI Safety Map &amp; Exposure-Aware Routing</w:t>
      </w:r>
    </w:p>
    <w:p>
      <w:pPr>
        <w:spacing w:before="0" w:after="50" w:line="276" w:lineRule="auto"/>
      </w:pPr>
      <w:r>
        <w:rPr>
          <w:rFonts w:ascii="Calibri" w:hAnsi="Calibri"/>
          <w:color w:val="1E162B"/>
          <w:sz w:val="20"/>
        </w:rPr>
        <w:t>Architecture: Uber H3 hexagonal spatial indexing (Resolution 9, 174m hex cells) partitions Hyderabad into a uniform risk grid. Each hex cell holds an XGBoost-computed risk score derived from four feature categories:</w:t>
      </w:r>
    </w:p>
    <w:p>
      <w:pPr>
        <w:pStyle w:val="ListBullet"/>
        <w:spacing w:before="0" w:after="30" w:line="276" w:lineRule="auto"/>
        <w:ind w:left="432"/>
      </w:pPr>
      <w:r>
        <w:rPr>
          <w:rFonts w:ascii="Calibri" w:hAnsi="Calibri"/>
          <w:color w:val="1E162B"/>
          <w:sz w:val="20"/>
        </w:rPr>
        <w:t>Crime Density: NCRB district crime data normalised to per-km² incidence rates, mapped to H3 cells via PostGIS ST_Intersects.</w:t>
      </w:r>
    </w:p>
    <w:p>
      <w:pPr>
        <w:pStyle w:val="ListBullet"/>
        <w:spacing w:before="0" w:after="30" w:line="276" w:lineRule="auto"/>
        <w:ind w:left="432"/>
      </w:pPr>
      <w:r>
        <w:rPr>
          <w:rFonts w:ascii="Calibri" w:hAnsi="Calibri"/>
          <w:color w:val="1E162B"/>
          <w:sz w:val="20"/>
        </w:rPr>
        <w:t>Environmental Risk: OSM Overpass API data for street lighting (way:lit tags) and CCTV node density per hex cell.</w:t>
      </w:r>
    </w:p>
    <w:p>
      <w:pPr>
        <w:pStyle w:val="ListBullet"/>
        <w:spacing w:before="0" w:after="30" w:line="276" w:lineRule="auto"/>
        <w:ind w:left="432"/>
      </w:pPr>
      <w:r>
        <w:rPr>
          <w:rFonts w:ascii="Calibri" w:hAnsi="Calibri"/>
          <w:color w:val="1E162B"/>
          <w:sz w:val="20"/>
        </w:rPr>
        <w:t>Temporal Risk Modifier: Time-of-day and day-of-week multipliers (risk increases 2.3× after 21:00 in unlit corridors based on NCRB temporal analysis).</w:t>
      </w:r>
    </w:p>
    <w:p>
      <w:pPr>
        <w:pStyle w:val="ListBullet"/>
        <w:spacing w:before="0" w:after="30" w:line="276" w:lineRule="auto"/>
        <w:ind w:left="432"/>
      </w:pPr>
      <w:r>
        <w:rPr>
          <w:rFonts w:ascii="Calibri" w:hAnsi="Calibri"/>
          <w:color w:val="1E162B"/>
          <w:sz w:val="20"/>
        </w:rPr>
        <w:t>Community Signal: Rolling 24-hour community report density from Track 4, weighted by trust score.</w:t>
      </w:r>
    </w:p>
    <w:p>
      <w:pPr>
        <w:spacing w:before="0" w:after="50" w:line="276" w:lineRule="auto"/>
      </w:pPr>
      <w:r>
        <w:rPr>
          <w:rFonts w:ascii="Calibri" w:hAnsi="Calibri"/>
          <w:color w:val="1E162B"/>
          <w:sz w:val="20"/>
        </w:rPr>
        <w:t>Counterfactual Engine: When a user requests a route from A to B, OLA Maps Directions API returns three candidate routes. For each route, PostGIS extracts the H3 cells traversed (ST_Intersects on the route polyline). The XGBoost model aggregates cell-level risk scores into a route-level exposure score. SHAP TreeExplainer identifies the top three contributing risk factors, and Gemini 2.5 Flash generates a 2–3 sentence human-readable explanation: 'Route A avoids the poorly-lit Kondapur underpass, which has a 3× higher assault incident density after dark. Route B saves 5 minutes but exposes you to two zero-CCTV corridors.'</w:t>
      </w:r>
    </w:p>
    <w:p>
      <w:pPr>
        <w:spacing w:before="80" w:after="30" w:line="276" w:lineRule="auto"/>
      </w:pPr>
      <w:r>
        <w:rPr>
          <w:rFonts w:ascii="Calibri" w:hAnsi="Calibri"/>
          <w:b/>
          <w:color w:val="1E162B"/>
          <w:sz w:val="21"/>
        </w:rPr>
        <w:t>Track 2 — Smart Ride Intelligence &amp; Journey Digital Twin</w:t>
      </w:r>
    </w:p>
    <w:p>
      <w:pPr>
        <w:spacing w:before="0" w:after="50" w:line="276" w:lineRule="auto"/>
      </w:pPr>
      <w:r>
        <w:rPr>
          <w:rFonts w:ascii="Calibri" w:hAnsi="Calibri"/>
          <w:color w:val="1E162B"/>
          <w:sz w:val="20"/>
        </w:rPr>
        <w:t>Architecture: A Journey Digital Twin is a continuously updated, server-side simulation of the woman's ride. When a journey starts, the planned route (polyline from OLA Maps) is stored in Redis alongside expected waypoints, timing, and driver-verification data. Every 3-second GPS ping from the Flutter app is sent via WebSocket and processed through a 5-stage LangGraph agent graph:</w:t>
      </w:r>
    </w:p>
    <w:p>
      <w:pPr>
        <w:pStyle w:val="ListBullet"/>
        <w:spacing w:before="0" w:after="30" w:line="276" w:lineRule="auto"/>
        <w:ind w:left="432"/>
      </w:pPr>
      <w:r>
        <w:rPr>
          <w:rFonts w:ascii="Calibri" w:hAnsi="Calibri"/>
          <w:color w:val="1E162B"/>
          <w:sz w:val="20"/>
        </w:rPr>
        <w:t>Agent 1 (GPS_INGESTION): Receives, validates, and timestamps the GPS coordinate.</w:t>
      </w:r>
    </w:p>
    <w:p>
      <w:pPr>
        <w:pStyle w:val="ListBullet"/>
        <w:spacing w:before="0" w:after="30" w:line="276" w:lineRule="auto"/>
        <w:ind w:left="432"/>
      </w:pPr>
      <w:r>
        <w:rPr>
          <w:rFonts w:ascii="Calibri" w:hAnsi="Calibri"/>
          <w:color w:val="1E162B"/>
          <w:sz w:val="20"/>
        </w:rPr>
        <w:t>Agent 2 (TRAJECTORY_VALIDATOR): Computes five anomaly features: distance-from-planned-route, speed deviation, heading change rate, stop duration, and nearby safe-POI count. Feeds these to the Isolation Forest model.</w:t>
      </w:r>
    </w:p>
    <w:p>
      <w:pPr>
        <w:pStyle w:val="ListBullet"/>
        <w:spacing w:before="0" w:after="30" w:line="276" w:lineRule="auto"/>
        <w:ind w:left="432"/>
      </w:pPr>
      <w:r>
        <w:rPr>
          <w:rFonts w:ascii="Calibri" w:hAnsi="Calibri"/>
          <w:color w:val="1E162B"/>
          <w:sz w:val="20"/>
        </w:rPr>
        <w:t>Agent 3 (ANOMALY_SCORER): Isolation Forest scores the feature vector. If anomaly score &gt; 0.6, DTW (Dynamic Time Warping) compares the last 30-point GPS trajectory segment against the planned route shape to confirm genuine deviation vs. GPS noise.</w:t>
      </w:r>
    </w:p>
    <w:p>
      <w:pPr>
        <w:pStyle w:val="ListBullet"/>
        <w:spacing w:before="0" w:after="30" w:line="276" w:lineRule="auto"/>
        <w:ind w:left="432"/>
      </w:pPr>
      <w:r>
        <w:rPr>
          <w:rFonts w:ascii="Calibri" w:hAnsi="Calibri"/>
          <w:color w:val="1E162B"/>
          <w:sz w:val="20"/>
        </w:rPr>
        <w:t>Agent 4 (THREAT_CONFIRMED / SOFT_ALERT): Routes to appropriate response based on combined score — soft in-app prompt (0.4–0.6) or escalation trigger (&gt;0.6).</w:t>
      </w:r>
    </w:p>
    <w:p>
      <w:pPr>
        <w:pStyle w:val="ListBullet"/>
        <w:spacing w:before="0" w:after="30" w:line="276" w:lineRule="auto"/>
        <w:ind w:left="432"/>
      </w:pPr>
      <w:r>
        <w:rPr>
          <w:rFonts w:ascii="Calibri" w:hAnsi="Calibri"/>
          <w:color w:val="1E162B"/>
          <w:sz w:val="20"/>
        </w:rPr>
        <w:t>Agent 5 (GUARDIAN_ESCALATION / POLICE_DISPATCH): Sends Firebase Cloud Messaging push to registered guardians with GPS coordinates; triggers mock police webhook with structured incident payload.</w:t>
      </w:r>
    </w:p>
    <w:p>
      <w:pPr>
        <w:spacing w:before="80" w:after="30" w:line="276" w:lineRule="auto"/>
      </w:pPr>
      <w:r>
        <w:rPr>
          <w:rFonts w:ascii="Calibri" w:hAnsi="Calibri"/>
          <w:b/>
          <w:color w:val="1E162B"/>
          <w:sz w:val="21"/>
        </w:rPr>
        <w:t>Track 3 — Wearable Safety Intelligence</w:t>
      </w:r>
    </w:p>
    <w:p>
      <w:pPr>
        <w:spacing w:before="0" w:after="50" w:line="276" w:lineRule="auto"/>
      </w:pPr>
      <w:r>
        <w:rPr>
          <w:rFonts w:ascii="Calibri" w:hAnsi="Calibri"/>
          <w:color w:val="1E162B"/>
          <w:sz w:val="20"/>
        </w:rPr>
        <w:t>Architecture: The wearable track integrates simulated physiological streams (calibrated to published clinical distress ranges) through a dedicated FastAPI endpoint. In the production roadmap, this stream would be populated by a BLE-connected safety wristband. The AI distress estimator is a multi-feature classifier combining:</w:t>
      </w:r>
    </w:p>
    <w:p>
      <w:pPr>
        <w:pStyle w:val="ListBullet"/>
        <w:spacing w:before="0" w:after="30" w:line="276" w:lineRule="auto"/>
        <w:ind w:left="432"/>
      </w:pPr>
      <w:r>
        <w:rPr>
          <w:rFonts w:ascii="Calibri" w:hAnsi="Calibri"/>
          <w:color w:val="1E162B"/>
          <w:sz w:val="20"/>
        </w:rPr>
        <w:t>Heart Rate: Elevated HR (&gt; 100 bpm) as a distress signal, with rate-of-change weighting.</w:t>
      </w:r>
    </w:p>
    <w:p>
      <w:pPr>
        <w:pStyle w:val="ListBullet"/>
        <w:spacing w:before="0" w:after="30" w:line="276" w:lineRule="auto"/>
        <w:ind w:left="432"/>
      </w:pPr>
      <w:r>
        <w:rPr>
          <w:rFonts w:ascii="Calibri" w:hAnsi="Calibri"/>
          <w:color w:val="1E162B"/>
          <w:sz w:val="20"/>
        </w:rPr>
        <w:t>SpO₂ Saturation: Drop below 95% as a physiological stress co-indicator.</w:t>
      </w:r>
    </w:p>
    <w:p>
      <w:pPr>
        <w:pStyle w:val="ListBullet"/>
        <w:spacing w:before="0" w:after="30" w:line="276" w:lineRule="auto"/>
        <w:ind w:left="432"/>
      </w:pPr>
      <w:r>
        <w:rPr>
          <w:rFonts w:ascii="Calibri" w:hAnsi="Calibri"/>
          <w:color w:val="1E162B"/>
          <w:sz w:val="20"/>
        </w:rPr>
        <w:t>Stress Index: Galvanic Skin Response (GSR) proxy, normalised [0–1].</w:t>
      </w:r>
    </w:p>
    <w:p>
      <w:pPr>
        <w:pStyle w:val="ListBullet"/>
        <w:spacing w:before="0" w:after="30" w:line="276" w:lineRule="auto"/>
        <w:ind w:left="432"/>
      </w:pPr>
      <w:r>
        <w:rPr>
          <w:rFonts w:ascii="Calibri" w:hAnsi="Calibri"/>
          <w:color w:val="1E162B"/>
          <w:sz w:val="20"/>
        </w:rPr>
        <w:t>Fear Probability: Ensemble output combining HR, SpO₂, and GSR features into a binary distress probability estimate.</w:t>
      </w:r>
    </w:p>
    <w:p>
      <w:pPr>
        <w:spacing w:before="0" w:after="50" w:line="276" w:lineRule="auto"/>
      </w:pPr>
      <w:r>
        <w:rPr>
          <w:rFonts w:ascii="Calibri" w:hAnsi="Calibri"/>
          <w:color w:val="1E162B"/>
          <w:sz w:val="20"/>
        </w:rPr>
        <w:t>The wearable stream feeds directly into the AI Safety Brain's unified risk fusion, allowing physiological distress to independently trigger the LangGraph escalation pipeline even without GPS anomaly detection — covering scenarios such as freezing, coercion without movement, or medical emergencies.</w:t>
      </w:r>
    </w:p>
    <w:p>
      <w:pPr>
        <w:spacing w:before="80" w:after="30" w:line="276" w:lineRule="auto"/>
      </w:pPr>
      <w:r>
        <w:rPr>
          <w:rFonts w:ascii="Calibri" w:hAnsi="Calibri"/>
          <w:b/>
          <w:color w:val="1E162B"/>
          <w:sz w:val="21"/>
        </w:rPr>
        <w:t>Track 4 — Community Safety Sentinel</w:t>
      </w:r>
    </w:p>
    <w:p>
      <w:pPr>
        <w:spacing w:before="0" w:after="50" w:line="276" w:lineRule="auto"/>
      </w:pPr>
      <w:r>
        <w:rPr>
          <w:rFonts w:ascii="Calibri" w:hAnsi="Calibri"/>
          <w:color w:val="1E162B"/>
          <w:sz w:val="20"/>
        </w:rPr>
        <w:t>Architecture: The community reporting pipeline operates in four stages:</w:t>
      </w:r>
    </w:p>
    <w:p>
      <w:pPr>
        <w:pStyle w:val="ListBullet"/>
        <w:spacing w:before="0" w:after="30" w:line="276" w:lineRule="auto"/>
        <w:ind w:left="432"/>
      </w:pPr>
      <w:r>
        <w:rPr>
          <w:rFonts w:ascii="Calibri" w:hAnsi="Calibri"/>
          <w:color w:val="1E162B"/>
          <w:sz w:val="20"/>
        </w:rPr>
        <w:t>Ingestion: Anonymous report (SHA-256 hashed device fingerprint, zero PII) enters the Redis Streams queue.</w:t>
      </w:r>
    </w:p>
    <w:p>
      <w:pPr>
        <w:pStyle w:val="ListBullet"/>
        <w:spacing w:before="0" w:after="30" w:line="276" w:lineRule="auto"/>
        <w:ind w:left="432"/>
      </w:pPr>
      <w:r>
        <w:rPr>
          <w:rFonts w:ascii="Calibri" w:hAnsi="Calibri"/>
          <w:color w:val="1E162B"/>
          <w:sz w:val="20"/>
        </w:rPr>
        <w:t>AI Verification: Gemini 2.5 Flash classifies the report text for spam, profanity, and relevance. Outputs a text coherence score [0–1].</w:t>
      </w:r>
    </w:p>
    <w:p>
      <w:pPr>
        <w:pStyle w:val="ListBullet"/>
        <w:spacing w:before="0" w:after="30" w:line="276" w:lineRule="auto"/>
        <w:ind w:left="432"/>
      </w:pPr>
      <w:r>
        <w:rPr>
          <w:rFonts w:ascii="Calibri" w:hAnsi="Calibri"/>
          <w:color w:val="1E162B"/>
          <w:sz w:val="20"/>
        </w:rPr>
        <w:t>Trust Scoring: A Celery async worker runs the Random Forest trust model on six features: account age (days), GPS distance to incident (metres), reports in 500m radius within 24h (PostGIS ST_DWithin count), user historical accuracy, text coherence score, and time-context alignment (report at night in a low-light zone?). Trust score threshold for publication: ≥ 0.6.</w:t>
      </w:r>
    </w:p>
    <w:p>
      <w:pPr>
        <w:pStyle w:val="ListBullet"/>
        <w:spacing w:before="0" w:after="30" w:line="276" w:lineRule="auto"/>
        <w:ind w:left="432"/>
      </w:pPr>
      <w:r>
        <w:rPr>
          <w:rFonts w:ascii="Calibri" w:hAnsi="Calibri"/>
          <w:color w:val="1E162B"/>
          <w:sz w:val="20"/>
        </w:rPr>
        <w:t>Spatial Consensus: PostGIS ST_ClusterDBSCAN (ε = 500m, min_pts = 2) clusters verified reports into hazard zones, refreshed as a materialised view every 5 minutes. High-density clusters update the Track 1 heatmap in real time.</w:t>
      </w:r>
    </w:p>
    <w:p>
      <w:pPr>
        <w:spacing w:before="80" w:after="30" w:line="276" w:lineRule="auto"/>
      </w:pPr>
      <w:r>
        <w:rPr>
          <w:rFonts w:ascii="Calibri" w:hAnsi="Calibri"/>
          <w:b/>
          <w:color w:val="1E162B"/>
          <w:sz w:val="21"/>
        </w:rPr>
        <w:t>Track 5 — AI Safety Companion &amp; Grievance Engine</w:t>
      </w:r>
    </w:p>
    <w:p>
      <w:pPr>
        <w:spacing w:before="0" w:after="50" w:line="276" w:lineRule="auto"/>
      </w:pPr>
      <w:r>
        <w:rPr>
          <w:rFonts w:ascii="Calibri" w:hAnsi="Calibri"/>
          <w:color w:val="1E162B"/>
          <w:sz w:val="20"/>
        </w:rPr>
        <w:t>Architecture: The AI companion operates as a Gemini 2.5 Flash streaming agent with two distinct sub-systems:</w:t>
      </w:r>
    </w:p>
    <w:p>
      <w:pPr>
        <w:spacing w:before="0" w:after="50" w:line="276" w:lineRule="auto"/>
      </w:pPr>
      <w:r>
        <w:rPr>
          <w:rFonts w:ascii="Calibri" w:hAnsi="Calibri"/>
          <w:color w:val="1E162B"/>
          <w:sz w:val="20"/>
        </w:rPr>
        <w:t>Conversational Companion: On every turn, a dynamic context payload is injected before the user's message. This payload includes the current AI Brain risk score, active scenario, GPS hex cell risk, community alerts within 500m, journey twin status, guardian count online, and battery level. Responses stream token-by-token via SSE (Server-Sent Events) to both the Flutter app and the Next.js dashboard, creating the sensation of instantaneous, human-like response. Google Search grounding is enabled, allowing the companion to retrieve live data such as the nearest police station's address or emergency helpline numbers without hallucinating.</w:t>
      </w:r>
    </w:p>
    <w:p>
      <w:pPr>
        <w:spacing w:before="0" w:after="50" w:line="276" w:lineRule="auto"/>
      </w:pPr>
      <w:r>
        <w:rPr>
          <w:rFonts w:ascii="Calibri" w:hAnsi="Calibri"/>
          <w:color w:val="1E162B"/>
          <w:sz w:val="20"/>
        </w:rPr>
        <w:t>Grievance Engine: When the user requests a formal complaint, Gemini 2.5 Pro (structured output mode with JSON schema) analyses the full conversation history and generates a structured FIR-style document with: incident summary, classified incident type (BNS section-mapped), timestamped evidence points, GPS-verified location description, recommended BNS/IPC sections, and a formal FIR draft text ready for submission. This dramatically reduces the cognitive and emotional burden of complaint filing — a key documented barrier to reporting in India.</w:t>
      </w:r>
    </w:p>
    <w:tbl>
      <w:tblPr>
        <w:tblStyle w:val="TableGrid"/>
        <w:tblW w:type="auto" w:w="0"/>
        <w:jc w:val="left"/>
        <w:tblLook w:firstColumn="1" w:firstRow="1" w:lastColumn="0" w:lastRow="0" w:noHBand="0" w:noVBand="1" w:val="04A0"/>
      </w:tblPr>
      <w:tblGrid>
        <w:gridCol w:w="9029"/>
      </w:tblGrid>
      <w:tr>
        <w:tc>
          <w:tcPr>
            <w:tcW w:type="dxa" w:w="9029"/>
            <w:shd w:val="clear" w:color="auto" w:fill="FFF1F9"/>
            <w:tcBorders>
              <w:top w:val="single" w:sz="4" w:space="0" w:color="E11D74"/>
              <w:bottom w:val="single" w:sz="4" w:space="0" w:color="E11D74"/>
              <w:left w:val="single" w:sz="4" w:space="0" w:color="E11D74"/>
              <w:right w:val="single" w:sz="4" w:space="0" w:color="E11D74"/>
            </w:tcBorders>
          </w:tcPr>
          <w:p>
            <w:pPr>
              <w:spacing w:before="40" w:after="40" w:line="276" w:lineRule="auto"/>
            </w:pPr>
            <w:r>
              <w:rPr>
                <w:rFonts w:ascii="Calibri" w:hAnsi="Calibri"/>
                <w:b/>
                <w:color w:val="E11D74"/>
                <w:sz w:val="19"/>
              </w:rPr>
              <w:t xml:space="preserve">▶  Memory Architecture: </w:t>
            </w:r>
            <w:r>
              <w:rPr>
                <w:rFonts w:ascii="Calibri" w:hAnsi="Calibri"/>
                <w:color w:val="1E162B"/>
                <w:sz w:val="19"/>
              </w:rPr>
              <w:t>The conversation history is stored per-session in Redis with a sliding 20-turn window. Older turns are summarised using Gemini Flash's long-context capability, ensuring the companion retains full journey context without hitting token limits during extended emergencies.</w:t>
            </w:r>
          </w:p>
        </w:tc>
      </w:tr>
    </w:tbl>
    <w:p/>
    <w:p/>
    <w:p>
      <w:pPr>
        <w:spacing w:before="120" w:after="40" w:line="276" w:lineRule="auto"/>
      </w:pPr>
      <w:r>
        <w:rPr>
          <w:rFonts w:ascii="Calibri" w:hAnsi="Calibri"/>
          <w:b/>
          <w:color w:val="7C3AED"/>
          <w:sz w:val="23"/>
        </w:rPr>
        <w:t>2.2  Security &amp; Privacy Architecture</w:t>
      </w:r>
    </w:p>
    <w:p>
      <w:pPr>
        <w:spacing w:before="0" w:after="50" w:line="276" w:lineRule="auto"/>
      </w:pPr>
      <w:r>
        <w:rPr>
          <w:rFonts w:ascii="Calibri" w:hAnsi="Calibri"/>
          <w:color w:val="1E162B"/>
          <w:sz w:val="20"/>
        </w:rPr>
        <w:t>SafeHerAI is designed with privacy-by-design principles embedded at every layer:</w:t>
      </w:r>
    </w:p>
    <w:tbl>
      <w:tblPr>
        <w:tblStyle w:val="TableGrid"/>
        <w:tblW w:type="auto" w:w="0"/>
        <w:jc w:val="left"/>
        <w:tblLook w:firstColumn="1" w:firstRow="1" w:lastColumn="0" w:lastRow="0" w:noHBand="0" w:noVBand="1" w:val="04A0"/>
      </w:tblPr>
      <w:tblGrid>
        <w:gridCol w:w="4514"/>
        <w:gridCol w:w="4514"/>
      </w:tblGrid>
      <w:tr>
        <w:tc>
          <w:tcPr>
            <w:tcW w:type="dxa" w:w="4514"/>
            <w:shd w:val="clear" w:color="auto" w:fill="1E162B"/>
          </w:tcPr>
          <w:p>
            <w:pPr>
              <w:spacing w:before="40" w:after="40" w:line="276" w:lineRule="auto"/>
            </w:pPr>
            <w:r>
              <w:rPr>
                <w:rFonts w:ascii="Calibri" w:hAnsi="Calibri"/>
                <w:b/>
                <w:color w:val="FFFFFF"/>
                <w:sz w:val="18"/>
              </w:rPr>
              <w:t>Privacy Concern</w:t>
            </w:r>
          </w:p>
        </w:tc>
        <w:tc>
          <w:tcPr>
            <w:tcW w:type="dxa" w:w="4514"/>
            <w:shd w:val="clear" w:color="auto" w:fill="1E162B"/>
          </w:tcPr>
          <w:p>
            <w:pPr>
              <w:spacing w:before="40" w:after="40" w:line="276" w:lineRule="auto"/>
            </w:pPr>
            <w:r>
              <w:rPr>
                <w:rFonts w:ascii="Calibri" w:hAnsi="Calibri"/>
                <w:b/>
                <w:color w:val="FFFFFF"/>
                <w:sz w:val="18"/>
              </w:rPr>
              <w:t>Mitigation</w:t>
            </w:r>
          </w:p>
        </w:tc>
      </w:tr>
      <w:tr>
        <w:tc>
          <w:tcPr>
            <w:tcW w:type="dxa" w:w="4514"/>
            <w:shd w:val="clear" w:color="auto" w:fill="F9F5FF"/>
          </w:tcPr>
          <w:p>
            <w:pPr>
              <w:spacing w:before="30" w:after="30" w:line="276" w:lineRule="auto"/>
            </w:pPr>
            <w:r>
              <w:rPr>
                <w:rFonts w:ascii="Calibri" w:hAnsi="Calibri"/>
                <w:color w:val="1E162B"/>
                <w:sz w:val="18"/>
              </w:rPr>
              <w:t>User location data</w:t>
            </w:r>
          </w:p>
        </w:tc>
        <w:tc>
          <w:tcPr>
            <w:tcW w:type="dxa" w:w="4514"/>
            <w:shd w:val="clear" w:color="auto" w:fill="F9F5FF"/>
          </w:tcPr>
          <w:p>
            <w:pPr>
              <w:spacing w:before="30" w:after="30" w:line="276" w:lineRule="auto"/>
            </w:pPr>
            <w:r>
              <w:rPr>
                <w:rFonts w:ascii="Calibri" w:hAnsi="Calibri"/>
                <w:color w:val="1E162B"/>
                <w:sz w:val="18"/>
              </w:rPr>
              <w:t>GPS coordinates stored transiently in Redis per-session only; zero long-term GPS log retained without explicit user opt-in.</w:t>
            </w:r>
          </w:p>
        </w:tc>
      </w:tr>
      <w:tr>
        <w:tc>
          <w:tcPr>
            <w:tcW w:type="dxa" w:w="4514"/>
            <w:shd w:val="clear" w:color="auto" w:fill="FFFFFF"/>
          </w:tcPr>
          <w:p>
            <w:pPr>
              <w:spacing w:before="30" w:after="30" w:line="276" w:lineRule="auto"/>
            </w:pPr>
            <w:r>
              <w:rPr>
                <w:rFonts w:ascii="Calibri" w:hAnsi="Calibri"/>
                <w:color w:val="1E162B"/>
                <w:sz w:val="18"/>
              </w:rPr>
              <w:t>Community report identity</w:t>
            </w:r>
          </w:p>
        </w:tc>
        <w:tc>
          <w:tcPr>
            <w:tcW w:type="dxa" w:w="4514"/>
            <w:shd w:val="clear" w:color="auto" w:fill="FFFFFF"/>
          </w:tcPr>
          <w:p>
            <w:pPr>
              <w:spacing w:before="30" w:after="30" w:line="276" w:lineRule="auto"/>
            </w:pPr>
            <w:r>
              <w:rPr>
                <w:rFonts w:ascii="Calibri" w:hAnsi="Calibri"/>
                <w:color w:val="1E162B"/>
                <w:sz w:val="18"/>
              </w:rPr>
              <w:t>SHA-256 hash of device fingerprint used as anonymous ID; raw device ID never persisted. Report text stored without linking to user profile.</w:t>
            </w:r>
          </w:p>
        </w:tc>
      </w:tr>
      <w:tr>
        <w:tc>
          <w:tcPr>
            <w:tcW w:type="dxa" w:w="4514"/>
            <w:shd w:val="clear" w:color="auto" w:fill="F9F5FF"/>
          </w:tcPr>
          <w:p>
            <w:pPr>
              <w:spacing w:before="30" w:after="30" w:line="276" w:lineRule="auto"/>
            </w:pPr>
            <w:r>
              <w:rPr>
                <w:rFonts w:ascii="Calibri" w:hAnsi="Calibri"/>
                <w:color w:val="1E162B"/>
                <w:sz w:val="18"/>
              </w:rPr>
              <w:t>Gemini API key exposure</w:t>
            </w:r>
          </w:p>
        </w:tc>
        <w:tc>
          <w:tcPr>
            <w:tcW w:type="dxa" w:w="4514"/>
            <w:shd w:val="clear" w:color="auto" w:fill="F9F5FF"/>
          </w:tcPr>
          <w:p>
            <w:pPr>
              <w:spacing w:before="30" w:after="30" w:line="276" w:lineRule="auto"/>
            </w:pPr>
            <w:r>
              <w:rPr>
                <w:rFonts w:ascii="Calibri" w:hAnsi="Calibri"/>
                <w:color w:val="1E162B"/>
                <w:sz w:val="18"/>
              </w:rPr>
              <w:t>API keys stored in Google Secret Manager; injected at runtime via environment variables; never bundled in Flutter APK or Next.js client bundle.</w:t>
            </w:r>
          </w:p>
        </w:tc>
      </w:tr>
      <w:tr>
        <w:tc>
          <w:tcPr>
            <w:tcW w:type="dxa" w:w="4514"/>
            <w:shd w:val="clear" w:color="auto" w:fill="FFFFFF"/>
          </w:tcPr>
          <w:p>
            <w:pPr>
              <w:spacing w:before="30" w:after="30" w:line="276" w:lineRule="auto"/>
            </w:pPr>
            <w:r>
              <w:rPr>
                <w:rFonts w:ascii="Calibri" w:hAnsi="Calibri"/>
                <w:color w:val="1E162B"/>
                <w:sz w:val="18"/>
              </w:rPr>
              <w:t>Guardian data</w:t>
            </w:r>
          </w:p>
        </w:tc>
        <w:tc>
          <w:tcPr>
            <w:tcW w:type="dxa" w:w="4514"/>
            <w:shd w:val="clear" w:color="auto" w:fill="FFFFFF"/>
          </w:tcPr>
          <w:p>
            <w:pPr>
              <w:spacing w:before="30" w:after="30" w:line="276" w:lineRule="auto"/>
            </w:pPr>
            <w:r>
              <w:rPr>
                <w:rFonts w:ascii="Calibri" w:hAnsi="Calibri"/>
                <w:color w:val="1E162B"/>
                <w:sz w:val="18"/>
              </w:rPr>
              <w:t>Guardian phone numbers encrypted at rest (AES-256); only transmitted via Firebase FCM (end-to-end encrypted push channel).</w:t>
            </w:r>
          </w:p>
        </w:tc>
      </w:tr>
      <w:tr>
        <w:tc>
          <w:tcPr>
            <w:tcW w:type="dxa" w:w="4514"/>
            <w:shd w:val="clear" w:color="auto" w:fill="F9F5FF"/>
          </w:tcPr>
          <w:p>
            <w:pPr>
              <w:spacing w:before="30" w:after="30" w:line="276" w:lineRule="auto"/>
            </w:pPr>
            <w:r>
              <w:rPr>
                <w:rFonts w:ascii="Calibri" w:hAnsi="Calibri"/>
                <w:color w:val="1E162B"/>
                <w:sz w:val="18"/>
              </w:rPr>
              <w:t>DPDPA Compliance (India 2023)</w:t>
            </w:r>
          </w:p>
        </w:tc>
        <w:tc>
          <w:tcPr>
            <w:tcW w:type="dxa" w:w="4514"/>
            <w:shd w:val="clear" w:color="auto" w:fill="F9F5FF"/>
          </w:tcPr>
          <w:p>
            <w:pPr>
              <w:spacing w:before="30" w:after="30" w:line="276" w:lineRule="auto"/>
            </w:pPr>
            <w:r>
              <w:rPr>
                <w:rFonts w:ascii="Calibri" w:hAnsi="Calibri"/>
                <w:color w:val="1E162B"/>
                <w:sz w:val="18"/>
              </w:rPr>
              <w:t>Data deletion endpoint implemented; minimal data principle enforced; all data processing purposes disclosed in privacy notice.</w:t>
            </w:r>
          </w:p>
        </w:tc>
      </w:tr>
      <w:tr>
        <w:tc>
          <w:tcPr>
            <w:tcW w:type="dxa" w:w="4514"/>
            <w:shd w:val="clear" w:color="auto" w:fill="FFFFFF"/>
          </w:tcPr>
          <w:p>
            <w:pPr>
              <w:spacing w:before="30" w:after="30" w:line="276" w:lineRule="auto"/>
            </w:pPr>
            <w:r>
              <w:rPr>
                <w:rFonts w:ascii="Calibri" w:hAnsi="Calibri"/>
                <w:color w:val="1E162B"/>
                <w:sz w:val="18"/>
              </w:rPr>
              <w:t>HTTPS / TLS</w:t>
            </w:r>
          </w:p>
        </w:tc>
        <w:tc>
          <w:tcPr>
            <w:tcW w:type="dxa" w:w="4514"/>
            <w:shd w:val="clear" w:color="auto" w:fill="FFFFFF"/>
          </w:tcPr>
          <w:p>
            <w:pPr>
              <w:spacing w:before="30" w:after="30" w:line="276" w:lineRule="auto"/>
            </w:pPr>
            <w:r>
              <w:rPr>
                <w:rFonts w:ascii="Calibri" w:hAnsi="Calibri"/>
                <w:color w:val="1E162B"/>
                <w:sz w:val="18"/>
              </w:rPr>
              <w:t>All API endpoints enforce TLS 1.3; Cloud Run default HTTPS on production; certificate pinning in Flutter app.</w:t>
            </w:r>
          </w:p>
        </w:tc>
      </w:tr>
    </w:tbl>
    <w:p/>
    <w:p/>
    <w:p>
      <w:pPr>
        <w:spacing w:before="120" w:after="40" w:line="276" w:lineRule="auto"/>
      </w:pPr>
      <w:r>
        <w:rPr>
          <w:rFonts w:ascii="Calibri" w:hAnsi="Calibri"/>
          <w:b/>
          <w:color w:val="7C3AED"/>
          <w:sz w:val="23"/>
        </w:rPr>
        <w:t>2.3  Technology Stack &amp; Interoperability</w:t>
      </w:r>
    </w:p>
    <w:p>
      <w:pPr>
        <w:spacing w:before="80" w:after="30" w:line="276" w:lineRule="auto"/>
      </w:pPr>
      <w:r>
        <w:rPr>
          <w:rFonts w:ascii="Calibri" w:hAnsi="Calibri"/>
          <w:b/>
          <w:color w:val="1E162B"/>
          <w:sz w:val="21"/>
        </w:rPr>
        <w:t>Core Technology Stack:</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40" w:after="40" w:line="276" w:lineRule="auto"/>
            </w:pPr>
            <w:r>
              <w:rPr>
                <w:rFonts w:ascii="Calibri" w:hAnsi="Calibri"/>
                <w:b/>
                <w:color w:val="FFFFFF"/>
                <w:sz w:val="18"/>
              </w:rPr>
              <w:t>Layer</w:t>
            </w:r>
          </w:p>
        </w:tc>
        <w:tc>
          <w:tcPr>
            <w:tcW w:type="dxa" w:w="2257"/>
            <w:shd w:val="clear" w:color="auto" w:fill="1E162B"/>
          </w:tcPr>
          <w:p>
            <w:pPr>
              <w:spacing w:before="40" w:after="40" w:line="276" w:lineRule="auto"/>
            </w:pPr>
            <w:r>
              <w:rPr>
                <w:rFonts w:ascii="Calibri" w:hAnsi="Calibri"/>
                <w:b/>
                <w:color w:val="FFFFFF"/>
                <w:sz w:val="18"/>
              </w:rPr>
              <w:t>Technology</w:t>
            </w:r>
          </w:p>
        </w:tc>
        <w:tc>
          <w:tcPr>
            <w:tcW w:type="dxa" w:w="2257"/>
            <w:shd w:val="clear" w:color="auto" w:fill="1E162B"/>
          </w:tcPr>
          <w:p>
            <w:pPr>
              <w:spacing w:before="40" w:after="40" w:line="276" w:lineRule="auto"/>
            </w:pPr>
            <w:r>
              <w:rPr>
                <w:rFonts w:ascii="Calibri" w:hAnsi="Calibri"/>
                <w:b/>
                <w:color w:val="FFFFFF"/>
                <w:sz w:val="18"/>
              </w:rPr>
              <w:t>Version</w:t>
            </w:r>
          </w:p>
        </w:tc>
        <w:tc>
          <w:tcPr>
            <w:tcW w:type="dxa" w:w="2257"/>
            <w:shd w:val="clear" w:color="auto" w:fill="1E162B"/>
          </w:tcPr>
          <w:p>
            <w:pPr>
              <w:spacing w:before="40" w:after="40" w:line="276" w:lineRule="auto"/>
            </w:pPr>
            <w:r>
              <w:rPr>
                <w:rFonts w:ascii="Calibri" w:hAnsi="Calibri"/>
                <w:b/>
                <w:color w:val="FFFFFF"/>
                <w:sz w:val="18"/>
              </w:rPr>
              <w:t>Justification</w:t>
            </w:r>
          </w:p>
        </w:tc>
      </w:tr>
      <w:tr>
        <w:tc>
          <w:tcPr>
            <w:tcW w:type="dxa" w:w="2257"/>
            <w:shd w:val="clear" w:color="auto" w:fill="F9F5FF"/>
          </w:tcPr>
          <w:p>
            <w:pPr>
              <w:spacing w:before="30" w:after="30" w:line="276" w:lineRule="auto"/>
            </w:pPr>
            <w:r>
              <w:rPr>
                <w:rFonts w:ascii="Calibri" w:hAnsi="Calibri"/>
                <w:color w:val="1E162B"/>
                <w:sz w:val="18"/>
              </w:rPr>
              <w:t>Mobile App</w:t>
            </w:r>
          </w:p>
        </w:tc>
        <w:tc>
          <w:tcPr>
            <w:tcW w:type="dxa" w:w="2257"/>
            <w:shd w:val="clear" w:color="auto" w:fill="F9F5FF"/>
          </w:tcPr>
          <w:p>
            <w:pPr>
              <w:spacing w:before="30" w:after="30" w:line="276" w:lineRule="auto"/>
            </w:pPr>
            <w:r>
              <w:rPr>
                <w:rFonts w:ascii="Calibri" w:hAnsi="Calibri"/>
                <w:color w:val="1E162B"/>
                <w:sz w:val="18"/>
              </w:rPr>
              <w:t>Flutter + Riverpod</w:t>
            </w:r>
          </w:p>
        </w:tc>
        <w:tc>
          <w:tcPr>
            <w:tcW w:type="dxa" w:w="2257"/>
            <w:shd w:val="clear" w:color="auto" w:fill="F9F5FF"/>
          </w:tcPr>
          <w:p>
            <w:pPr>
              <w:spacing w:before="30" w:after="30" w:line="276" w:lineRule="auto"/>
            </w:pPr>
            <w:r>
              <w:rPr>
                <w:rFonts w:ascii="Calibri" w:hAnsi="Calibri"/>
                <w:color w:val="1E162B"/>
                <w:sz w:val="18"/>
              </w:rPr>
              <w:t>3.22 / 2.5</w:t>
            </w:r>
          </w:p>
        </w:tc>
        <w:tc>
          <w:tcPr>
            <w:tcW w:type="dxa" w:w="2257"/>
            <w:shd w:val="clear" w:color="auto" w:fill="F9F5FF"/>
          </w:tcPr>
          <w:p>
            <w:pPr>
              <w:spacing w:before="30" w:after="30" w:line="276" w:lineRule="auto"/>
            </w:pPr>
            <w:r>
              <w:rPr>
                <w:rFonts w:ascii="Calibri" w:hAnsi="Calibri"/>
                <w:color w:val="1E162B"/>
                <w:sz w:val="18"/>
              </w:rPr>
              <w:t>Cross-platform GPS streaming, real-time WebSocket/SSE, FCM integration — all in a single codebase.</w:t>
            </w:r>
          </w:p>
        </w:tc>
      </w:tr>
      <w:tr>
        <w:tc>
          <w:tcPr>
            <w:tcW w:type="dxa" w:w="2257"/>
            <w:shd w:val="clear" w:color="auto" w:fill="FFFFFF"/>
          </w:tcPr>
          <w:p>
            <w:pPr>
              <w:spacing w:before="30" w:after="30" w:line="276" w:lineRule="auto"/>
            </w:pPr>
            <w:r>
              <w:rPr>
                <w:rFonts w:ascii="Calibri" w:hAnsi="Calibri"/>
                <w:color w:val="1E162B"/>
                <w:sz w:val="18"/>
              </w:rPr>
              <w:t>Web Dashboard</w:t>
            </w:r>
          </w:p>
        </w:tc>
        <w:tc>
          <w:tcPr>
            <w:tcW w:type="dxa" w:w="2257"/>
            <w:shd w:val="clear" w:color="auto" w:fill="FFFFFF"/>
          </w:tcPr>
          <w:p>
            <w:pPr>
              <w:spacing w:before="30" w:after="30" w:line="276" w:lineRule="auto"/>
            </w:pPr>
            <w:r>
              <w:rPr>
                <w:rFonts w:ascii="Calibri" w:hAnsi="Calibri"/>
                <w:color w:val="1E162B"/>
                <w:sz w:val="18"/>
              </w:rPr>
              <w:t>Next.js + App Router</w:t>
            </w:r>
          </w:p>
        </w:tc>
        <w:tc>
          <w:tcPr>
            <w:tcW w:type="dxa" w:w="2257"/>
            <w:shd w:val="clear" w:color="auto" w:fill="FFFFFF"/>
          </w:tcPr>
          <w:p>
            <w:pPr>
              <w:spacing w:before="30" w:after="30" w:line="276" w:lineRule="auto"/>
            </w:pPr>
            <w:r>
              <w:rPr>
                <w:rFonts w:ascii="Calibri" w:hAnsi="Calibri"/>
                <w:color w:val="1E162B"/>
                <w:sz w:val="18"/>
              </w:rPr>
              <w:t>15.0</w:t>
            </w:r>
          </w:p>
        </w:tc>
        <w:tc>
          <w:tcPr>
            <w:tcW w:type="dxa" w:w="2257"/>
            <w:shd w:val="clear" w:color="auto" w:fill="FFFFFF"/>
          </w:tcPr>
          <w:p>
            <w:pPr>
              <w:spacing w:before="30" w:after="30" w:line="276" w:lineRule="auto"/>
            </w:pPr>
            <w:r>
              <w:rPr>
                <w:rFonts w:ascii="Calibri" w:hAnsi="Calibri"/>
                <w:color w:val="1E162B"/>
                <w:sz w:val="18"/>
              </w:rPr>
              <w:t>Server-side rendering, real-time WebSocket, 60fps GPU map rendering — impossible in Streamlit.</w:t>
            </w:r>
          </w:p>
        </w:tc>
      </w:tr>
      <w:tr>
        <w:tc>
          <w:tcPr>
            <w:tcW w:type="dxa" w:w="2257"/>
            <w:shd w:val="clear" w:color="auto" w:fill="F9F5FF"/>
          </w:tcPr>
          <w:p>
            <w:pPr>
              <w:spacing w:before="30" w:after="30" w:line="276" w:lineRule="auto"/>
            </w:pPr>
            <w:r>
              <w:rPr>
                <w:rFonts w:ascii="Calibri" w:hAnsi="Calibri"/>
                <w:color w:val="1E162B"/>
                <w:sz w:val="18"/>
              </w:rPr>
              <w:t>Map Rendering</w:t>
            </w:r>
          </w:p>
        </w:tc>
        <w:tc>
          <w:tcPr>
            <w:tcW w:type="dxa" w:w="2257"/>
            <w:shd w:val="clear" w:color="auto" w:fill="F9F5FF"/>
          </w:tcPr>
          <w:p>
            <w:pPr>
              <w:spacing w:before="30" w:after="30" w:line="276" w:lineRule="auto"/>
            </w:pPr>
            <w:r>
              <w:rPr>
                <w:rFonts w:ascii="Calibri" w:hAnsi="Calibri"/>
                <w:color w:val="1E162B"/>
                <w:sz w:val="18"/>
              </w:rPr>
              <w:t>Mapbox GL JS + deck.gl</w:t>
            </w:r>
          </w:p>
        </w:tc>
        <w:tc>
          <w:tcPr>
            <w:tcW w:type="dxa" w:w="2257"/>
            <w:shd w:val="clear" w:color="auto" w:fill="F9F5FF"/>
          </w:tcPr>
          <w:p>
            <w:pPr>
              <w:spacing w:before="30" w:after="30" w:line="276" w:lineRule="auto"/>
            </w:pPr>
            <w:r>
              <w:rPr>
                <w:rFonts w:ascii="Calibri" w:hAnsi="Calibri"/>
                <w:color w:val="1E162B"/>
                <w:sz w:val="18"/>
              </w:rPr>
              <w:t>3.6 / 9.0</w:t>
            </w:r>
          </w:p>
        </w:tc>
        <w:tc>
          <w:tcPr>
            <w:tcW w:type="dxa" w:w="2257"/>
            <w:shd w:val="clear" w:color="auto" w:fill="F9F5FF"/>
          </w:tcPr>
          <w:p>
            <w:pPr>
              <w:spacing w:before="30" w:after="30" w:line="276" w:lineRule="auto"/>
            </w:pPr>
            <w:r>
              <w:rPr>
                <w:rFonts w:ascii="Calibri" w:hAnsi="Calibri"/>
                <w:color w:val="1E162B"/>
                <w:sz w:val="18"/>
              </w:rPr>
              <w:t>GPU-accelerated HeatmapLayer (Google deprecated own HeatmapLayer in 2025); 100K+ risk points at 60fps.</w:t>
            </w:r>
          </w:p>
        </w:tc>
      </w:tr>
      <w:tr>
        <w:tc>
          <w:tcPr>
            <w:tcW w:type="dxa" w:w="2257"/>
            <w:shd w:val="clear" w:color="auto" w:fill="FFFFFF"/>
          </w:tcPr>
          <w:p>
            <w:pPr>
              <w:spacing w:before="30" w:after="30" w:line="276" w:lineRule="auto"/>
            </w:pPr>
            <w:r>
              <w:rPr>
                <w:rFonts w:ascii="Calibri" w:hAnsi="Calibri"/>
                <w:color w:val="1E162B"/>
                <w:sz w:val="18"/>
              </w:rPr>
              <w:t>Backend API</w:t>
            </w:r>
          </w:p>
        </w:tc>
        <w:tc>
          <w:tcPr>
            <w:tcW w:type="dxa" w:w="2257"/>
            <w:shd w:val="clear" w:color="auto" w:fill="FFFFFF"/>
          </w:tcPr>
          <w:p>
            <w:pPr>
              <w:spacing w:before="30" w:after="30" w:line="276" w:lineRule="auto"/>
            </w:pPr>
            <w:r>
              <w:rPr>
                <w:rFonts w:ascii="Calibri" w:hAnsi="Calibri"/>
                <w:color w:val="1E162B"/>
                <w:sz w:val="18"/>
              </w:rPr>
              <w:t>FastAPI + Uvicorn</w:t>
            </w:r>
          </w:p>
        </w:tc>
        <w:tc>
          <w:tcPr>
            <w:tcW w:type="dxa" w:w="2257"/>
            <w:shd w:val="clear" w:color="auto" w:fill="FFFFFF"/>
          </w:tcPr>
          <w:p>
            <w:pPr>
              <w:spacing w:before="30" w:after="30" w:line="276" w:lineRule="auto"/>
            </w:pPr>
            <w:r>
              <w:rPr>
                <w:rFonts w:ascii="Calibri" w:hAnsi="Calibri"/>
                <w:color w:val="1E162B"/>
                <w:sz w:val="18"/>
              </w:rPr>
              <w:t>0.115 / 0.30</w:t>
            </w:r>
          </w:p>
        </w:tc>
        <w:tc>
          <w:tcPr>
            <w:tcW w:type="dxa" w:w="2257"/>
            <w:shd w:val="clear" w:color="auto" w:fill="FFFFFF"/>
          </w:tcPr>
          <w:p>
            <w:pPr>
              <w:spacing w:before="30" w:after="30" w:line="276" w:lineRule="auto"/>
            </w:pPr>
            <w:r>
              <w:rPr>
                <w:rFonts w:ascii="Calibri" w:hAnsi="Calibri"/>
                <w:color w:val="1E162B"/>
                <w:sz w:val="18"/>
              </w:rPr>
              <w:t>Async-native ASGI; native WebSocket + SSE support; OpenAPI auto-docs.</w:t>
            </w:r>
          </w:p>
        </w:tc>
      </w:tr>
      <w:tr>
        <w:tc>
          <w:tcPr>
            <w:tcW w:type="dxa" w:w="2257"/>
            <w:shd w:val="clear" w:color="auto" w:fill="F9F5FF"/>
          </w:tcPr>
          <w:p>
            <w:pPr>
              <w:spacing w:before="30" w:after="30" w:line="276" w:lineRule="auto"/>
            </w:pPr>
            <w:r>
              <w:rPr>
                <w:rFonts w:ascii="Calibri" w:hAnsi="Calibri"/>
                <w:color w:val="1E162B"/>
                <w:sz w:val="18"/>
              </w:rPr>
              <w:t>Agent Orchestration</w:t>
            </w:r>
          </w:p>
        </w:tc>
        <w:tc>
          <w:tcPr>
            <w:tcW w:type="dxa" w:w="2257"/>
            <w:shd w:val="clear" w:color="auto" w:fill="F9F5FF"/>
          </w:tcPr>
          <w:p>
            <w:pPr>
              <w:spacing w:before="30" w:after="30" w:line="276" w:lineRule="auto"/>
            </w:pPr>
            <w:r>
              <w:rPr>
                <w:rFonts w:ascii="Calibri" w:hAnsi="Calibri"/>
                <w:color w:val="1E162B"/>
                <w:sz w:val="18"/>
              </w:rPr>
              <w:t>LangGraph</w:t>
            </w:r>
          </w:p>
        </w:tc>
        <w:tc>
          <w:tcPr>
            <w:tcW w:type="dxa" w:w="2257"/>
            <w:shd w:val="clear" w:color="auto" w:fill="F9F5FF"/>
          </w:tcPr>
          <w:p>
            <w:pPr>
              <w:spacing w:before="30" w:after="30" w:line="276" w:lineRule="auto"/>
            </w:pPr>
            <w:r>
              <w:rPr>
                <w:rFonts w:ascii="Calibri" w:hAnsi="Calibri"/>
                <w:color w:val="1E162B"/>
                <w:sz w:val="18"/>
              </w:rPr>
              <w:t>0.2.28</w:t>
            </w:r>
          </w:p>
        </w:tc>
        <w:tc>
          <w:tcPr>
            <w:tcW w:type="dxa" w:w="2257"/>
            <w:shd w:val="clear" w:color="auto" w:fill="F9F5FF"/>
          </w:tcPr>
          <w:p>
            <w:pPr>
              <w:spacing w:before="30" w:after="30" w:line="276" w:lineRule="auto"/>
            </w:pPr>
            <w:r>
              <w:rPr>
                <w:rFonts w:ascii="Calibri" w:hAnsi="Calibri"/>
                <w:color w:val="1E162B"/>
                <w:sz w:val="18"/>
              </w:rPr>
              <w:t>Directed graph state machine for 17-agent safety pipeline; used at scale by Uber, Klarna in production.</w:t>
            </w:r>
          </w:p>
        </w:tc>
      </w:tr>
      <w:tr>
        <w:tc>
          <w:tcPr>
            <w:tcW w:type="dxa" w:w="2257"/>
            <w:shd w:val="clear" w:color="auto" w:fill="FFFFFF"/>
          </w:tcPr>
          <w:p>
            <w:pPr>
              <w:spacing w:before="30" w:after="30" w:line="276" w:lineRule="auto"/>
            </w:pPr>
            <w:r>
              <w:rPr>
                <w:rFonts w:ascii="Calibri" w:hAnsi="Calibri"/>
                <w:color w:val="1E162B"/>
                <w:sz w:val="18"/>
              </w:rPr>
              <w:t>Spatial Database</w:t>
            </w:r>
          </w:p>
        </w:tc>
        <w:tc>
          <w:tcPr>
            <w:tcW w:type="dxa" w:w="2257"/>
            <w:shd w:val="clear" w:color="auto" w:fill="FFFFFF"/>
          </w:tcPr>
          <w:p>
            <w:pPr>
              <w:spacing w:before="30" w:after="30" w:line="276" w:lineRule="auto"/>
            </w:pPr>
            <w:r>
              <w:rPr>
                <w:rFonts w:ascii="Calibri" w:hAnsi="Calibri"/>
                <w:color w:val="1E162B"/>
                <w:sz w:val="18"/>
              </w:rPr>
              <w:t>PostgreSQL 16 + PostGIS 3.4</w:t>
            </w:r>
          </w:p>
        </w:tc>
        <w:tc>
          <w:tcPr>
            <w:tcW w:type="dxa" w:w="2257"/>
            <w:shd w:val="clear" w:color="auto" w:fill="FFFFFF"/>
          </w:tcPr>
          <w:p>
            <w:pPr>
              <w:spacing w:before="30" w:after="30" w:line="276" w:lineRule="auto"/>
            </w:pPr>
            <w:r>
              <w:rPr>
                <w:rFonts w:ascii="Calibri" w:hAnsi="Calibri"/>
                <w:color w:val="1E162B"/>
                <w:sz w:val="18"/>
              </w:rPr>
              <w:t>16 / 3.4</w:t>
            </w:r>
          </w:p>
        </w:tc>
        <w:tc>
          <w:tcPr>
            <w:tcW w:type="dxa" w:w="2257"/>
            <w:shd w:val="clear" w:color="auto" w:fill="FFFFFF"/>
          </w:tcPr>
          <w:p>
            <w:pPr>
              <w:spacing w:before="30" w:after="30" w:line="276" w:lineRule="auto"/>
            </w:pPr>
            <w:r>
              <w:rPr>
                <w:rFonts w:ascii="Calibri" w:hAnsi="Calibri"/>
                <w:color w:val="1E162B"/>
                <w:sz w:val="18"/>
              </w:rPr>
              <w:t>ST_ClusterDBSCAN, ST_DWithin, ST_Intersects — spatial operations impossible in MongoDB Atlas at this precision.</w:t>
            </w:r>
          </w:p>
        </w:tc>
      </w:tr>
      <w:tr>
        <w:tc>
          <w:tcPr>
            <w:tcW w:type="dxa" w:w="2257"/>
            <w:shd w:val="clear" w:color="auto" w:fill="F9F5FF"/>
          </w:tcPr>
          <w:p>
            <w:pPr>
              <w:spacing w:before="30" w:after="30" w:line="276" w:lineRule="auto"/>
            </w:pPr>
            <w:r>
              <w:rPr>
                <w:rFonts w:ascii="Calibri" w:hAnsi="Calibri"/>
                <w:color w:val="1E162B"/>
                <w:sz w:val="18"/>
              </w:rPr>
              <w:t>Spatial Indexing</w:t>
            </w:r>
          </w:p>
        </w:tc>
        <w:tc>
          <w:tcPr>
            <w:tcW w:type="dxa" w:w="2257"/>
            <w:shd w:val="clear" w:color="auto" w:fill="F9F5FF"/>
          </w:tcPr>
          <w:p>
            <w:pPr>
              <w:spacing w:before="30" w:after="30" w:line="276" w:lineRule="auto"/>
            </w:pPr>
            <w:r>
              <w:rPr>
                <w:rFonts w:ascii="Calibri" w:hAnsi="Calibri"/>
                <w:color w:val="1E162B"/>
                <w:sz w:val="18"/>
              </w:rPr>
              <w:t>H3 (Uber Hexagonal)</w:t>
            </w:r>
          </w:p>
        </w:tc>
        <w:tc>
          <w:tcPr>
            <w:tcW w:type="dxa" w:w="2257"/>
            <w:shd w:val="clear" w:color="auto" w:fill="F9F5FF"/>
          </w:tcPr>
          <w:p>
            <w:pPr>
              <w:spacing w:before="30" w:after="30" w:line="276" w:lineRule="auto"/>
            </w:pPr>
            <w:r>
              <w:rPr>
                <w:rFonts w:ascii="Calibri" w:hAnsi="Calibri"/>
                <w:color w:val="1E162B"/>
                <w:sz w:val="18"/>
              </w:rPr>
              <w:t>3.7.7</w:t>
            </w:r>
          </w:p>
        </w:tc>
        <w:tc>
          <w:tcPr>
            <w:tcW w:type="dxa" w:w="2257"/>
            <w:shd w:val="clear" w:color="auto" w:fill="F9F5FF"/>
          </w:tcPr>
          <w:p>
            <w:pPr>
              <w:spacing w:before="30" w:after="30" w:line="276" w:lineRule="auto"/>
            </w:pPr>
            <w:r>
              <w:rPr>
                <w:rFonts w:ascii="Calibri" w:hAnsi="Calibri"/>
                <w:color w:val="1E162B"/>
                <w:sz w:val="18"/>
              </w:rPr>
              <w:t>174m hex cells; uniform heatmap; fast H3 aggregation for risk scoring across 50K+ cells.</w:t>
            </w:r>
          </w:p>
        </w:tc>
      </w:tr>
      <w:tr>
        <w:tc>
          <w:tcPr>
            <w:tcW w:type="dxa" w:w="2257"/>
            <w:shd w:val="clear" w:color="auto" w:fill="FFFFFF"/>
          </w:tcPr>
          <w:p>
            <w:pPr>
              <w:spacing w:before="30" w:after="30" w:line="276" w:lineRule="auto"/>
            </w:pPr>
            <w:r>
              <w:rPr>
                <w:rFonts w:ascii="Calibri" w:hAnsi="Calibri"/>
                <w:color w:val="1E162B"/>
                <w:sz w:val="18"/>
              </w:rPr>
              <w:t>Cache / Queue</w:t>
            </w:r>
          </w:p>
        </w:tc>
        <w:tc>
          <w:tcPr>
            <w:tcW w:type="dxa" w:w="2257"/>
            <w:shd w:val="clear" w:color="auto" w:fill="FFFFFF"/>
          </w:tcPr>
          <w:p>
            <w:pPr>
              <w:spacing w:before="30" w:after="30" w:line="276" w:lineRule="auto"/>
            </w:pPr>
            <w:r>
              <w:rPr>
                <w:rFonts w:ascii="Calibri" w:hAnsi="Calibri"/>
                <w:color w:val="1E162B"/>
                <w:sz w:val="18"/>
              </w:rPr>
              <w:t>Redis 7.4</w:t>
            </w:r>
          </w:p>
        </w:tc>
        <w:tc>
          <w:tcPr>
            <w:tcW w:type="dxa" w:w="2257"/>
            <w:shd w:val="clear" w:color="auto" w:fill="FFFFFF"/>
          </w:tcPr>
          <w:p>
            <w:pPr>
              <w:spacing w:before="30" w:after="30" w:line="276" w:lineRule="auto"/>
            </w:pPr>
            <w:r>
              <w:rPr>
                <w:rFonts w:ascii="Calibri" w:hAnsi="Calibri"/>
                <w:color w:val="1E162B"/>
                <w:sz w:val="18"/>
              </w:rPr>
              <w:t>7.4</w:t>
            </w:r>
          </w:p>
        </w:tc>
        <w:tc>
          <w:tcPr>
            <w:tcW w:type="dxa" w:w="2257"/>
            <w:shd w:val="clear" w:color="auto" w:fill="FFFFFF"/>
          </w:tcPr>
          <w:p>
            <w:pPr>
              <w:spacing w:before="30" w:after="30" w:line="276" w:lineRule="auto"/>
            </w:pPr>
            <w:r>
              <w:rPr>
                <w:rFonts w:ascii="Calibri" w:hAnsi="Calibri"/>
                <w:color w:val="1E162B"/>
                <w:sz w:val="18"/>
              </w:rPr>
              <w:t>Journey Twin state (&lt; 1ms read latency); Celery task queue for async trust scoring.</w:t>
            </w:r>
          </w:p>
        </w:tc>
      </w:tr>
      <w:tr>
        <w:tc>
          <w:tcPr>
            <w:tcW w:type="dxa" w:w="2257"/>
            <w:shd w:val="clear" w:color="auto" w:fill="F9F5FF"/>
          </w:tcPr>
          <w:p>
            <w:pPr>
              <w:spacing w:before="30" w:after="30" w:line="276" w:lineRule="auto"/>
            </w:pPr>
            <w:r>
              <w:rPr>
                <w:rFonts w:ascii="Calibri" w:hAnsi="Calibri"/>
                <w:color w:val="1E162B"/>
                <w:sz w:val="18"/>
              </w:rPr>
              <w:t>Task Workers</w:t>
            </w:r>
          </w:p>
        </w:tc>
        <w:tc>
          <w:tcPr>
            <w:tcW w:type="dxa" w:w="2257"/>
            <w:shd w:val="clear" w:color="auto" w:fill="F9F5FF"/>
          </w:tcPr>
          <w:p>
            <w:pPr>
              <w:spacing w:before="30" w:after="30" w:line="276" w:lineRule="auto"/>
            </w:pPr>
            <w:r>
              <w:rPr>
                <w:rFonts w:ascii="Calibri" w:hAnsi="Calibri"/>
                <w:color w:val="1E162B"/>
                <w:sz w:val="18"/>
              </w:rPr>
              <w:t>Celery</w:t>
            </w:r>
          </w:p>
        </w:tc>
        <w:tc>
          <w:tcPr>
            <w:tcW w:type="dxa" w:w="2257"/>
            <w:shd w:val="clear" w:color="auto" w:fill="F9F5FF"/>
          </w:tcPr>
          <w:p>
            <w:pPr>
              <w:spacing w:before="30" w:after="30" w:line="276" w:lineRule="auto"/>
            </w:pPr>
            <w:r>
              <w:rPr>
                <w:rFonts w:ascii="Calibri" w:hAnsi="Calibri"/>
                <w:color w:val="1E162B"/>
                <w:sz w:val="18"/>
              </w:rPr>
              <w:t>5.4</w:t>
            </w:r>
          </w:p>
        </w:tc>
        <w:tc>
          <w:tcPr>
            <w:tcW w:type="dxa" w:w="2257"/>
            <w:shd w:val="clear" w:color="auto" w:fill="F9F5FF"/>
          </w:tcPr>
          <w:p>
            <w:pPr>
              <w:spacing w:before="30" w:after="30" w:line="276" w:lineRule="auto"/>
            </w:pPr>
            <w:r>
              <w:rPr>
                <w:rFonts w:ascii="Calibri" w:hAnsi="Calibri"/>
                <w:color w:val="1E162B"/>
                <w:sz w:val="18"/>
              </w:rPr>
              <w:t>Async community report trust scoring; parallel AI verification of multiple reports.</w:t>
            </w:r>
          </w:p>
        </w:tc>
      </w:tr>
      <w:tr>
        <w:tc>
          <w:tcPr>
            <w:tcW w:type="dxa" w:w="2257"/>
            <w:shd w:val="clear" w:color="auto" w:fill="FFFFFF"/>
          </w:tcPr>
          <w:p>
            <w:pPr>
              <w:spacing w:before="30" w:after="30" w:line="276" w:lineRule="auto"/>
            </w:pPr>
            <w:r>
              <w:rPr>
                <w:rFonts w:ascii="Calibri" w:hAnsi="Calibri"/>
                <w:color w:val="1E162B"/>
                <w:sz w:val="18"/>
              </w:rPr>
              <w:t>Risk ML</w:t>
            </w:r>
          </w:p>
        </w:tc>
        <w:tc>
          <w:tcPr>
            <w:tcW w:type="dxa" w:w="2257"/>
            <w:shd w:val="clear" w:color="auto" w:fill="FFFFFF"/>
          </w:tcPr>
          <w:p>
            <w:pPr>
              <w:spacing w:before="30" w:after="30" w:line="276" w:lineRule="auto"/>
            </w:pPr>
            <w:r>
              <w:rPr>
                <w:rFonts w:ascii="Calibri" w:hAnsi="Calibri"/>
                <w:color w:val="1E162B"/>
                <w:sz w:val="18"/>
              </w:rPr>
              <w:t>XGBoost 2.0</w:t>
            </w:r>
          </w:p>
        </w:tc>
        <w:tc>
          <w:tcPr>
            <w:tcW w:type="dxa" w:w="2257"/>
            <w:shd w:val="clear" w:color="auto" w:fill="FFFFFF"/>
          </w:tcPr>
          <w:p>
            <w:pPr>
              <w:spacing w:before="30" w:after="30" w:line="276" w:lineRule="auto"/>
            </w:pPr>
            <w:r>
              <w:rPr>
                <w:rFonts w:ascii="Calibri" w:hAnsi="Calibri"/>
                <w:color w:val="1E162B"/>
                <w:sz w:val="18"/>
              </w:rPr>
              <w:t>2.0.3</w:t>
            </w:r>
          </w:p>
        </w:tc>
        <w:tc>
          <w:tcPr>
            <w:tcW w:type="dxa" w:w="2257"/>
            <w:shd w:val="clear" w:color="auto" w:fill="FFFFFF"/>
          </w:tcPr>
          <w:p>
            <w:pPr>
              <w:spacing w:before="30" w:after="30" w:line="276" w:lineRule="auto"/>
            </w:pPr>
            <w:r>
              <w:rPr>
                <w:rFonts w:ascii="Calibri" w:hAnsi="Calibri"/>
                <w:color w:val="1E162B"/>
                <w:sz w:val="18"/>
              </w:rPr>
              <w:t>Tabular risk regression on NCRB + OSM features; SHAP-native for counterfactual explainability.</w:t>
            </w:r>
          </w:p>
        </w:tc>
      </w:tr>
      <w:tr>
        <w:tc>
          <w:tcPr>
            <w:tcW w:type="dxa" w:w="2257"/>
            <w:shd w:val="clear" w:color="auto" w:fill="F9F5FF"/>
          </w:tcPr>
          <w:p>
            <w:pPr>
              <w:spacing w:before="30" w:after="30" w:line="276" w:lineRule="auto"/>
            </w:pPr>
            <w:r>
              <w:rPr>
                <w:rFonts w:ascii="Calibri" w:hAnsi="Calibri"/>
                <w:color w:val="1E162B"/>
                <w:sz w:val="18"/>
              </w:rPr>
              <w:t>Anomaly Detection</w:t>
            </w:r>
          </w:p>
        </w:tc>
        <w:tc>
          <w:tcPr>
            <w:tcW w:type="dxa" w:w="2257"/>
            <w:shd w:val="clear" w:color="auto" w:fill="F9F5FF"/>
          </w:tcPr>
          <w:p>
            <w:pPr>
              <w:spacing w:before="30" w:after="30" w:line="276" w:lineRule="auto"/>
            </w:pPr>
            <w:r>
              <w:rPr>
                <w:rFonts w:ascii="Calibri" w:hAnsi="Calibri"/>
                <w:color w:val="1E162B"/>
                <w:sz w:val="18"/>
              </w:rPr>
              <w:t>Isolation Forest + DTW</w:t>
            </w:r>
          </w:p>
        </w:tc>
        <w:tc>
          <w:tcPr>
            <w:tcW w:type="dxa" w:w="2257"/>
            <w:shd w:val="clear" w:color="auto" w:fill="F9F5FF"/>
          </w:tcPr>
          <w:p>
            <w:pPr>
              <w:spacing w:before="30" w:after="30" w:line="276" w:lineRule="auto"/>
            </w:pPr>
            <w:r>
              <w:rPr>
                <w:rFonts w:ascii="Calibri" w:hAnsi="Calibri"/>
                <w:color w:val="1E162B"/>
                <w:sz w:val="18"/>
              </w:rPr>
              <w:t>sklearn 1.5 / dtaidistance 2.3</w:t>
            </w:r>
          </w:p>
        </w:tc>
        <w:tc>
          <w:tcPr>
            <w:tcW w:type="dxa" w:w="2257"/>
            <w:shd w:val="clear" w:color="auto" w:fill="F9F5FF"/>
          </w:tcPr>
          <w:p>
            <w:pPr>
              <w:spacing w:before="30" w:after="30" w:line="276" w:lineRule="auto"/>
            </w:pPr>
            <w:r>
              <w:rPr>
                <w:rFonts w:ascii="Calibri" w:hAnsi="Calibri"/>
                <w:color w:val="1E162B"/>
                <w:sz w:val="18"/>
              </w:rPr>
              <w:t>Unsupervised; no labelled anomaly dataset required; fast (&lt; 5ms) per-ping inference.</w:t>
            </w:r>
          </w:p>
        </w:tc>
      </w:tr>
      <w:tr>
        <w:tc>
          <w:tcPr>
            <w:tcW w:type="dxa" w:w="2257"/>
            <w:shd w:val="clear" w:color="auto" w:fill="FFFFFF"/>
          </w:tcPr>
          <w:p>
            <w:pPr>
              <w:spacing w:before="30" w:after="30" w:line="276" w:lineRule="auto"/>
            </w:pPr>
            <w:r>
              <w:rPr>
                <w:rFonts w:ascii="Calibri" w:hAnsi="Calibri"/>
                <w:color w:val="1E162B"/>
                <w:sz w:val="18"/>
              </w:rPr>
              <w:t>Trust Scoring</w:t>
            </w:r>
          </w:p>
        </w:tc>
        <w:tc>
          <w:tcPr>
            <w:tcW w:type="dxa" w:w="2257"/>
            <w:shd w:val="clear" w:color="auto" w:fill="FFFFFF"/>
          </w:tcPr>
          <w:p>
            <w:pPr>
              <w:spacing w:before="30" w:after="30" w:line="276" w:lineRule="auto"/>
            </w:pPr>
            <w:r>
              <w:rPr>
                <w:rFonts w:ascii="Calibri" w:hAnsi="Calibri"/>
                <w:color w:val="1E162B"/>
                <w:sz w:val="18"/>
              </w:rPr>
              <w:t>Random Forest</w:t>
            </w:r>
          </w:p>
        </w:tc>
        <w:tc>
          <w:tcPr>
            <w:tcW w:type="dxa" w:w="2257"/>
            <w:shd w:val="clear" w:color="auto" w:fill="FFFFFF"/>
          </w:tcPr>
          <w:p>
            <w:pPr>
              <w:spacing w:before="30" w:after="30" w:line="276" w:lineRule="auto"/>
            </w:pPr>
            <w:r>
              <w:rPr>
                <w:rFonts w:ascii="Calibri" w:hAnsi="Calibri"/>
                <w:color w:val="1E162B"/>
                <w:sz w:val="18"/>
              </w:rPr>
              <w:t>sklearn 1.5</w:t>
            </w:r>
          </w:p>
        </w:tc>
        <w:tc>
          <w:tcPr>
            <w:tcW w:type="dxa" w:w="2257"/>
            <w:shd w:val="clear" w:color="auto" w:fill="FFFFFF"/>
          </w:tcPr>
          <w:p>
            <w:pPr>
              <w:spacing w:before="30" w:after="30" w:line="276" w:lineRule="auto"/>
            </w:pPr>
            <w:r>
              <w:rPr>
                <w:rFonts w:ascii="Calibri" w:hAnsi="Calibri"/>
                <w:color w:val="1E162B"/>
                <w:sz w:val="18"/>
              </w:rPr>
              <w:t>Robust to missing features; handles imbalanced datasets; interpretable feature importance.</w:t>
            </w:r>
          </w:p>
        </w:tc>
      </w:tr>
      <w:tr>
        <w:tc>
          <w:tcPr>
            <w:tcW w:type="dxa" w:w="2257"/>
            <w:shd w:val="clear" w:color="auto" w:fill="F9F5FF"/>
          </w:tcPr>
          <w:p>
            <w:pPr>
              <w:spacing w:before="30" w:after="30" w:line="276" w:lineRule="auto"/>
            </w:pPr>
            <w:r>
              <w:rPr>
                <w:rFonts w:ascii="Calibri" w:hAnsi="Calibri"/>
                <w:color w:val="1E162B"/>
                <w:sz w:val="18"/>
              </w:rPr>
              <w:t>Explainability</w:t>
            </w:r>
          </w:p>
        </w:tc>
        <w:tc>
          <w:tcPr>
            <w:tcW w:type="dxa" w:w="2257"/>
            <w:shd w:val="clear" w:color="auto" w:fill="F9F5FF"/>
          </w:tcPr>
          <w:p>
            <w:pPr>
              <w:spacing w:before="30" w:after="30" w:line="276" w:lineRule="auto"/>
            </w:pPr>
            <w:r>
              <w:rPr>
                <w:rFonts w:ascii="Calibri" w:hAnsi="Calibri"/>
                <w:color w:val="1E162B"/>
                <w:sz w:val="18"/>
              </w:rPr>
              <w:t>SHAP TreeExplainer</w:t>
            </w:r>
          </w:p>
        </w:tc>
        <w:tc>
          <w:tcPr>
            <w:tcW w:type="dxa" w:w="2257"/>
            <w:shd w:val="clear" w:color="auto" w:fill="F9F5FF"/>
          </w:tcPr>
          <w:p>
            <w:pPr>
              <w:spacing w:before="30" w:after="30" w:line="276" w:lineRule="auto"/>
            </w:pPr>
            <w:r>
              <w:rPr>
                <w:rFonts w:ascii="Calibri" w:hAnsi="Calibri"/>
                <w:color w:val="1E162B"/>
                <w:sz w:val="18"/>
              </w:rPr>
              <w:t>0.46</w:t>
            </w:r>
          </w:p>
        </w:tc>
        <w:tc>
          <w:tcPr>
            <w:tcW w:type="dxa" w:w="2257"/>
            <w:shd w:val="clear" w:color="auto" w:fill="F9F5FF"/>
          </w:tcPr>
          <w:p>
            <w:pPr>
              <w:spacing w:before="30" w:after="30" w:line="276" w:lineRule="auto"/>
            </w:pPr>
            <w:r>
              <w:rPr>
                <w:rFonts w:ascii="Calibri" w:hAnsi="Calibri"/>
                <w:color w:val="1E162B"/>
                <w:sz w:val="18"/>
              </w:rPr>
              <w:t>Model-agnostic counterfactual explanations for both XGBoost (safety map) and RF (trust scorer).</w:t>
            </w:r>
          </w:p>
        </w:tc>
      </w:tr>
      <w:tr>
        <w:tc>
          <w:tcPr>
            <w:tcW w:type="dxa" w:w="2257"/>
            <w:shd w:val="clear" w:color="auto" w:fill="FFFFFF"/>
          </w:tcPr>
          <w:p>
            <w:pPr>
              <w:spacing w:before="30" w:after="30" w:line="276" w:lineRule="auto"/>
            </w:pPr>
            <w:r>
              <w:rPr>
                <w:rFonts w:ascii="Calibri" w:hAnsi="Calibri"/>
                <w:color w:val="1E162B"/>
                <w:sz w:val="18"/>
              </w:rPr>
              <w:t>AI Companion</w:t>
            </w:r>
          </w:p>
        </w:tc>
        <w:tc>
          <w:tcPr>
            <w:tcW w:type="dxa" w:w="2257"/>
            <w:shd w:val="clear" w:color="auto" w:fill="FFFFFF"/>
          </w:tcPr>
          <w:p>
            <w:pPr>
              <w:spacing w:before="30" w:after="30" w:line="276" w:lineRule="auto"/>
            </w:pPr>
            <w:r>
              <w:rPr>
                <w:rFonts w:ascii="Calibri" w:hAnsi="Calibri"/>
                <w:color w:val="1E162B"/>
                <w:sz w:val="18"/>
              </w:rPr>
              <w:t>Gemini 2.5 Flash + Pro</w:t>
            </w:r>
          </w:p>
        </w:tc>
        <w:tc>
          <w:tcPr>
            <w:tcW w:type="dxa" w:w="2257"/>
            <w:shd w:val="clear" w:color="auto" w:fill="FFFFFF"/>
          </w:tcPr>
          <w:p>
            <w:pPr>
              <w:spacing w:before="30" w:after="30" w:line="276" w:lineRule="auto"/>
            </w:pPr>
            <w:r>
              <w:rPr>
                <w:rFonts w:ascii="Calibri" w:hAnsi="Calibri"/>
                <w:color w:val="1E162B"/>
                <w:sz w:val="18"/>
              </w:rPr>
              <w:t>google-genai 1.x</w:t>
            </w:r>
          </w:p>
        </w:tc>
        <w:tc>
          <w:tcPr>
            <w:tcW w:type="dxa" w:w="2257"/>
            <w:shd w:val="clear" w:color="auto" w:fill="FFFFFF"/>
          </w:tcPr>
          <w:p>
            <w:pPr>
              <w:spacing w:before="30" w:after="30" w:line="276" w:lineRule="auto"/>
            </w:pPr>
            <w:r>
              <w:rPr>
                <w:rFonts w:ascii="Calibri" w:hAnsi="Calibri"/>
                <w:color w:val="1E162B"/>
                <w:sz w:val="18"/>
              </w:rPr>
              <w:t>1M context window; Google Search grounding; structured JSON output for FIR generation.</w:t>
            </w:r>
          </w:p>
        </w:tc>
      </w:tr>
      <w:tr>
        <w:tc>
          <w:tcPr>
            <w:tcW w:type="dxa" w:w="2257"/>
            <w:shd w:val="clear" w:color="auto" w:fill="F9F5FF"/>
          </w:tcPr>
          <w:p>
            <w:pPr>
              <w:spacing w:before="30" w:after="30" w:line="276" w:lineRule="auto"/>
            </w:pPr>
            <w:r>
              <w:rPr>
                <w:rFonts w:ascii="Calibri" w:hAnsi="Calibri"/>
                <w:color w:val="1E162B"/>
                <w:sz w:val="18"/>
              </w:rPr>
              <w:t>Streaming</w:t>
            </w:r>
          </w:p>
        </w:tc>
        <w:tc>
          <w:tcPr>
            <w:tcW w:type="dxa" w:w="2257"/>
            <w:shd w:val="clear" w:color="auto" w:fill="F9F5FF"/>
          </w:tcPr>
          <w:p>
            <w:pPr>
              <w:spacing w:before="30" w:after="30" w:line="276" w:lineRule="auto"/>
            </w:pPr>
            <w:r>
              <w:rPr>
                <w:rFonts w:ascii="Calibri" w:hAnsi="Calibri"/>
                <w:color w:val="1E162B"/>
                <w:sz w:val="18"/>
              </w:rPr>
              <w:t>SSE (sse-starlette)</w:t>
            </w:r>
          </w:p>
        </w:tc>
        <w:tc>
          <w:tcPr>
            <w:tcW w:type="dxa" w:w="2257"/>
            <w:shd w:val="clear" w:color="auto" w:fill="F9F5FF"/>
          </w:tcPr>
          <w:p>
            <w:pPr>
              <w:spacing w:before="30" w:after="30" w:line="276" w:lineRule="auto"/>
            </w:pPr>
            <w:r>
              <w:rPr>
                <w:rFonts w:ascii="Calibri" w:hAnsi="Calibri"/>
                <w:color w:val="1E162B"/>
                <w:sz w:val="18"/>
              </w:rPr>
              <w:t>2.1.3</w:t>
            </w:r>
          </w:p>
        </w:tc>
        <w:tc>
          <w:tcPr>
            <w:tcW w:type="dxa" w:w="2257"/>
            <w:shd w:val="clear" w:color="auto" w:fill="F9F5FF"/>
          </w:tcPr>
          <w:p>
            <w:pPr>
              <w:spacing w:before="30" w:after="30" w:line="276" w:lineRule="auto"/>
            </w:pPr>
            <w:r>
              <w:rPr>
                <w:rFonts w:ascii="Calibri" w:hAnsi="Calibri"/>
                <w:color w:val="1E162B"/>
                <w:sz w:val="18"/>
              </w:rPr>
              <w:t>Server-Sent Events for unidirectional AI token streaming — lighter than WebSocket for this pattern.</w:t>
            </w:r>
          </w:p>
        </w:tc>
      </w:tr>
      <w:tr>
        <w:tc>
          <w:tcPr>
            <w:tcW w:type="dxa" w:w="2257"/>
            <w:shd w:val="clear" w:color="auto" w:fill="FFFFFF"/>
          </w:tcPr>
          <w:p>
            <w:pPr>
              <w:spacing w:before="30" w:after="30" w:line="276" w:lineRule="auto"/>
            </w:pPr>
            <w:r>
              <w:rPr>
                <w:rFonts w:ascii="Calibri" w:hAnsi="Calibri"/>
                <w:color w:val="1E162B"/>
                <w:sz w:val="18"/>
              </w:rPr>
              <w:t>Notifications</w:t>
            </w:r>
          </w:p>
        </w:tc>
        <w:tc>
          <w:tcPr>
            <w:tcW w:type="dxa" w:w="2257"/>
            <w:shd w:val="clear" w:color="auto" w:fill="FFFFFF"/>
          </w:tcPr>
          <w:p>
            <w:pPr>
              <w:spacing w:before="30" w:after="30" w:line="276" w:lineRule="auto"/>
            </w:pPr>
            <w:r>
              <w:rPr>
                <w:rFonts w:ascii="Calibri" w:hAnsi="Calibri"/>
                <w:color w:val="1E162B"/>
                <w:sz w:val="18"/>
              </w:rPr>
              <w:t>Firebase Cloud Messaging</w:t>
            </w:r>
          </w:p>
        </w:tc>
        <w:tc>
          <w:tcPr>
            <w:tcW w:type="dxa" w:w="2257"/>
            <w:shd w:val="clear" w:color="auto" w:fill="FFFFFF"/>
          </w:tcPr>
          <w:p>
            <w:pPr>
              <w:spacing w:before="30" w:after="30" w:line="276" w:lineRule="auto"/>
            </w:pPr>
            <w:r>
              <w:rPr>
                <w:rFonts w:ascii="Calibri" w:hAnsi="Calibri"/>
                <w:color w:val="1E162B"/>
                <w:sz w:val="18"/>
              </w:rPr>
              <w:t>Admin SDK 6.x</w:t>
            </w:r>
          </w:p>
        </w:tc>
        <w:tc>
          <w:tcPr>
            <w:tcW w:type="dxa" w:w="2257"/>
            <w:shd w:val="clear" w:color="auto" w:fill="FFFFFF"/>
          </w:tcPr>
          <w:p>
            <w:pPr>
              <w:spacing w:before="30" w:after="30" w:line="276" w:lineRule="auto"/>
            </w:pPr>
            <w:r>
              <w:rPr>
                <w:rFonts w:ascii="Calibri" w:hAnsi="Calibri"/>
                <w:color w:val="1E162B"/>
                <w:sz w:val="18"/>
              </w:rPr>
              <w:t>Push notifications to guardians; offline delivery guarantee; end-to-end encrypted.</w:t>
            </w:r>
          </w:p>
        </w:tc>
      </w:tr>
    </w:tbl>
    <w:p/>
    <w:p>
      <w:pPr>
        <w:spacing w:before="80" w:after="30" w:line="276" w:lineRule="auto"/>
      </w:pPr>
      <w:r>
        <w:rPr>
          <w:rFonts w:ascii="Calibri" w:hAnsi="Calibri"/>
          <w:b/>
          <w:color w:val="1E162B"/>
          <w:sz w:val="21"/>
        </w:rPr>
        <w:t>Interoperability Design:</w:t>
      </w:r>
    </w:p>
    <w:p>
      <w:pPr>
        <w:pStyle w:val="ListBullet"/>
        <w:spacing w:before="0" w:after="30" w:line="276" w:lineRule="auto"/>
        <w:ind w:left="432"/>
      </w:pPr>
      <w:r>
        <w:rPr>
          <w:rFonts w:ascii="Calibri" w:hAnsi="Calibri"/>
          <w:color w:val="1E162B"/>
          <w:sz w:val="20"/>
        </w:rPr>
        <w:t>All AI Safety Brain outputs are structured JSON with versioned schemas — ensuring compatibility with external police portals, ride-hailing APIs, and smart city dashboards.</w:t>
      </w:r>
    </w:p>
    <w:p>
      <w:pPr>
        <w:pStyle w:val="ListBullet"/>
        <w:spacing w:before="0" w:after="30" w:line="276" w:lineRule="auto"/>
        <w:ind w:left="432"/>
      </w:pPr>
      <w:r>
        <w:rPr>
          <w:rFonts w:ascii="Calibri" w:hAnsi="Calibri"/>
          <w:color w:val="1E162B"/>
          <w:sz w:val="20"/>
        </w:rPr>
        <w:t>The Track 1 heatmap API returns GeoJSON FeatureCollection — natively consumable by any GIS tool, city dashboard, or third-party mapping system.</w:t>
      </w:r>
    </w:p>
    <w:p>
      <w:pPr>
        <w:pStyle w:val="ListBullet"/>
        <w:spacing w:before="0" w:after="30" w:line="276" w:lineRule="auto"/>
        <w:ind w:left="432"/>
      </w:pPr>
      <w:r>
        <w:rPr>
          <w:rFonts w:ascii="Calibri" w:hAnsi="Calibri"/>
          <w:color w:val="1E162B"/>
          <w:sz w:val="20"/>
        </w:rPr>
        <w:t>The community report API follows OGC Simple Features standard for spatial data exchange.</w:t>
      </w:r>
    </w:p>
    <w:p>
      <w:pPr>
        <w:pStyle w:val="ListBullet"/>
        <w:spacing w:before="0" w:after="30" w:line="276" w:lineRule="auto"/>
        <w:ind w:left="432"/>
      </w:pPr>
      <w:r>
        <w:rPr>
          <w:rFonts w:ascii="Calibri" w:hAnsi="Calibri"/>
          <w:color w:val="1E162B"/>
          <w:sz w:val="20"/>
        </w:rPr>
        <w:t>Track 5 FIR drafts are generated in plain text and structured JSON, suitable for direct copy-paste into the Integrated Criminal Justice System (ICJS) portal or WhatsApp to police stations.</w:t>
      </w:r>
    </w:p>
    <w:p/>
    <w:p>
      <w:pPr>
        <w:spacing w:before="120" w:after="40" w:line="276" w:lineRule="auto"/>
      </w:pPr>
      <w:r>
        <w:rPr>
          <w:rFonts w:ascii="Calibri" w:hAnsi="Calibri"/>
          <w:b/>
          <w:color w:val="7C3AED"/>
          <w:sz w:val="23"/>
        </w:rPr>
        <w:t>2.4  Development Roadmap &amp; Causal Milestones</w:t>
      </w:r>
    </w:p>
    <w:p>
      <w:pPr>
        <w:spacing w:before="0" w:after="50" w:line="276" w:lineRule="auto"/>
      </w:pPr>
      <w:r>
        <w:rPr>
          <w:rFonts w:ascii="Calibri" w:hAnsi="Calibri"/>
          <w:color w:val="1E162B"/>
          <w:sz w:val="20"/>
        </w:rPr>
        <w:t>The roadmap follows a staged maturity progression. Each milestone delivers a demonstrable, testable output and unlocks the next capability tier. The entire pilot roadmap is scoped for a 90-day sprint following hackathon selection.</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40" w:after="40" w:line="276" w:lineRule="auto"/>
            </w:pPr>
            <w:r>
              <w:rPr>
                <w:rFonts w:ascii="Calibri" w:hAnsi="Calibri"/>
                <w:b/>
                <w:color w:val="FFFFFF"/>
                <w:sz w:val="18"/>
              </w:rPr>
              <w:t>Milestone</w:t>
            </w:r>
          </w:p>
        </w:tc>
        <w:tc>
          <w:tcPr>
            <w:tcW w:type="dxa" w:w="2257"/>
            <w:shd w:val="clear" w:color="auto" w:fill="1E162B"/>
          </w:tcPr>
          <w:p>
            <w:pPr>
              <w:spacing w:before="40" w:after="40" w:line="276" w:lineRule="auto"/>
            </w:pPr>
            <w:r>
              <w:rPr>
                <w:rFonts w:ascii="Calibri" w:hAnsi="Calibri"/>
                <w:b/>
                <w:color w:val="FFFFFF"/>
                <w:sz w:val="18"/>
              </w:rPr>
              <w:t>Duration</w:t>
            </w:r>
          </w:p>
        </w:tc>
        <w:tc>
          <w:tcPr>
            <w:tcW w:type="dxa" w:w="2257"/>
            <w:shd w:val="clear" w:color="auto" w:fill="1E162B"/>
          </w:tcPr>
          <w:p>
            <w:pPr>
              <w:spacing w:before="40" w:after="40" w:line="276" w:lineRule="auto"/>
            </w:pPr>
            <w:r>
              <w:rPr>
                <w:rFonts w:ascii="Calibri" w:hAnsi="Calibri"/>
                <w:b/>
                <w:color w:val="FFFFFF"/>
                <w:sz w:val="18"/>
              </w:rPr>
              <w:t>Deliverables</w:t>
            </w:r>
          </w:p>
        </w:tc>
        <w:tc>
          <w:tcPr>
            <w:tcW w:type="dxa" w:w="2257"/>
            <w:shd w:val="clear" w:color="auto" w:fill="1E162B"/>
          </w:tcPr>
          <w:p>
            <w:pPr>
              <w:spacing w:before="40" w:after="40" w:line="276" w:lineRule="auto"/>
            </w:pPr>
            <w:r>
              <w:rPr>
                <w:rFonts w:ascii="Calibri" w:hAnsi="Calibri"/>
                <w:b/>
                <w:color w:val="FFFFFF"/>
                <w:sz w:val="18"/>
              </w:rPr>
              <w:t>Quality Gate</w:t>
            </w:r>
          </w:p>
        </w:tc>
      </w:tr>
      <w:tr>
        <w:tc>
          <w:tcPr>
            <w:tcW w:type="dxa" w:w="2257"/>
            <w:shd w:val="clear" w:color="auto" w:fill="F9F5FF"/>
          </w:tcPr>
          <w:p>
            <w:pPr>
              <w:spacing w:before="30" w:after="30" w:line="276" w:lineRule="auto"/>
            </w:pPr>
            <w:r>
              <w:rPr>
                <w:rFonts w:ascii="Calibri" w:hAnsi="Calibri"/>
                <w:color w:val="1E162B"/>
                <w:sz w:val="18"/>
              </w:rPr>
              <w:t>M1 — Foundation &amp;</w:t>
              <w:br/>
              <w:t>Data Infrastructure</w:t>
            </w:r>
          </w:p>
        </w:tc>
        <w:tc>
          <w:tcPr>
            <w:tcW w:type="dxa" w:w="2257"/>
            <w:shd w:val="clear" w:color="auto" w:fill="F9F5FF"/>
          </w:tcPr>
          <w:p>
            <w:pPr>
              <w:spacing w:before="30" w:after="30" w:line="276" w:lineRule="auto"/>
            </w:pPr>
            <w:r>
              <w:rPr>
                <w:rFonts w:ascii="Calibri" w:hAnsi="Calibri"/>
                <w:color w:val="1E162B"/>
                <w:sz w:val="18"/>
              </w:rPr>
              <w:t>Weeks 1–2</w:t>
            </w:r>
          </w:p>
        </w:tc>
        <w:tc>
          <w:tcPr>
            <w:tcW w:type="dxa" w:w="2257"/>
            <w:shd w:val="clear" w:color="auto" w:fill="F9F5FF"/>
          </w:tcPr>
          <w:p>
            <w:pPr>
              <w:spacing w:before="30" w:after="30" w:line="276" w:lineRule="auto"/>
            </w:pPr>
            <w:r>
              <w:rPr>
                <w:rFonts w:ascii="Calibri" w:hAnsi="Calibri"/>
                <w:color w:val="1E162B"/>
                <w:sz w:val="18"/>
              </w:rPr>
              <w:t>PostgreSQL + PostGIS deployment; H3 grid seeded for Hyderabad; NCRB + OSM data ingested; Redis configured; Docker Compose working end-to-end.</w:t>
            </w:r>
          </w:p>
        </w:tc>
        <w:tc>
          <w:tcPr>
            <w:tcW w:type="dxa" w:w="2257"/>
            <w:shd w:val="clear" w:color="auto" w:fill="F9F5FF"/>
          </w:tcPr>
          <w:p>
            <w:pPr>
              <w:spacing w:before="30" w:after="30" w:line="276" w:lineRule="auto"/>
            </w:pPr>
            <w:r>
              <w:rPr>
                <w:rFonts w:ascii="Calibri" w:hAnsi="Calibri"/>
                <w:color w:val="1E162B"/>
                <w:sz w:val="18"/>
              </w:rPr>
              <w:t>H3 heatmap API returns valid GeoJSON with ≥ 5,000 hex cells; PostGIS spatial queries complete &lt; 200ms on seeded data; all containers healthy in Docker Compose.</w:t>
            </w:r>
          </w:p>
        </w:tc>
      </w:tr>
      <w:tr>
        <w:tc>
          <w:tcPr>
            <w:tcW w:type="dxa" w:w="2257"/>
            <w:shd w:val="clear" w:color="auto" w:fill="FFFFFF"/>
          </w:tcPr>
          <w:p>
            <w:pPr>
              <w:spacing w:before="30" w:after="30" w:line="276" w:lineRule="auto"/>
            </w:pPr>
            <w:r>
              <w:rPr>
                <w:rFonts w:ascii="Calibri" w:hAnsi="Calibri"/>
                <w:color w:val="1E162B"/>
                <w:sz w:val="18"/>
              </w:rPr>
              <w:t>M2 — Track 1 &amp; 2</w:t>
              <w:br/>
              <w:t>Core AI Engines</w:t>
            </w:r>
          </w:p>
        </w:tc>
        <w:tc>
          <w:tcPr>
            <w:tcW w:type="dxa" w:w="2257"/>
            <w:shd w:val="clear" w:color="auto" w:fill="FFFFFF"/>
          </w:tcPr>
          <w:p>
            <w:pPr>
              <w:spacing w:before="30" w:after="30" w:line="276" w:lineRule="auto"/>
            </w:pPr>
            <w:r>
              <w:rPr>
                <w:rFonts w:ascii="Calibri" w:hAnsi="Calibri"/>
                <w:color w:val="1E162B"/>
                <w:sz w:val="18"/>
              </w:rPr>
              <w:t>Weeks 3–5</w:t>
            </w:r>
          </w:p>
        </w:tc>
        <w:tc>
          <w:tcPr>
            <w:tcW w:type="dxa" w:w="2257"/>
            <w:shd w:val="clear" w:color="auto" w:fill="FFFFFF"/>
          </w:tcPr>
          <w:p>
            <w:pPr>
              <w:spacing w:before="30" w:after="30" w:line="276" w:lineRule="auto"/>
            </w:pPr>
            <w:r>
              <w:rPr>
                <w:rFonts w:ascii="Calibri" w:hAnsi="Calibri"/>
                <w:color w:val="1E162B"/>
                <w:sz w:val="18"/>
              </w:rPr>
              <w:t>XGBoost risk model trained and serving; counterfactual API with SHAP + Gemini narrative; FastAPI WebSocket GPS endpoint; Isolation Forest + DTW anomaly detector; LangGraph 5-node graph functional.</w:t>
            </w:r>
          </w:p>
        </w:tc>
        <w:tc>
          <w:tcPr>
            <w:tcW w:type="dxa" w:w="2257"/>
            <w:shd w:val="clear" w:color="auto" w:fill="FFFFFF"/>
          </w:tcPr>
          <w:p>
            <w:pPr>
              <w:spacing w:before="30" w:after="30" w:line="276" w:lineRule="auto"/>
            </w:pPr>
            <w:r>
              <w:rPr>
                <w:rFonts w:ascii="Calibri" w:hAnsi="Calibri"/>
                <w:color w:val="1E162B"/>
                <w:sz w:val="18"/>
              </w:rPr>
              <w:t>XGBoost risk model AUC ≥ 0.80 on hold-out set; Isolation Forest correctly flags synthetic 500m deviation scenarios with precision ≥ 85%; LangGraph escalation graph completes without exception on all four scenario states.</w:t>
            </w:r>
          </w:p>
        </w:tc>
      </w:tr>
      <w:tr>
        <w:tc>
          <w:tcPr>
            <w:tcW w:type="dxa" w:w="2257"/>
            <w:shd w:val="clear" w:color="auto" w:fill="F9F5FF"/>
          </w:tcPr>
          <w:p>
            <w:pPr>
              <w:spacing w:before="30" w:after="30" w:line="276" w:lineRule="auto"/>
            </w:pPr>
            <w:r>
              <w:rPr>
                <w:rFonts w:ascii="Calibri" w:hAnsi="Calibri"/>
                <w:color w:val="1E162B"/>
                <w:sz w:val="18"/>
              </w:rPr>
              <w:t>M3 — Tracks 3, 4 &amp; 5</w:t>
              <w:br/>
              <w:t>Full Stack Integration</w:t>
            </w:r>
          </w:p>
        </w:tc>
        <w:tc>
          <w:tcPr>
            <w:tcW w:type="dxa" w:w="2257"/>
            <w:shd w:val="clear" w:color="auto" w:fill="F9F5FF"/>
          </w:tcPr>
          <w:p>
            <w:pPr>
              <w:spacing w:before="30" w:after="30" w:line="276" w:lineRule="auto"/>
            </w:pPr>
            <w:r>
              <w:rPr>
                <w:rFonts w:ascii="Calibri" w:hAnsi="Calibri"/>
                <w:color w:val="1E162B"/>
                <w:sz w:val="18"/>
              </w:rPr>
              <w:t>Weeks 6–8</w:t>
            </w:r>
          </w:p>
        </w:tc>
        <w:tc>
          <w:tcPr>
            <w:tcW w:type="dxa" w:w="2257"/>
            <w:shd w:val="clear" w:color="auto" w:fill="F9F5FF"/>
          </w:tcPr>
          <w:p>
            <w:pPr>
              <w:spacing w:before="30" w:after="30" w:line="276" w:lineRule="auto"/>
            </w:pPr>
            <w:r>
              <w:rPr>
                <w:rFonts w:ascii="Calibri" w:hAnsi="Calibri"/>
                <w:color w:val="1E162B"/>
                <w:sz w:val="18"/>
              </w:rPr>
              <w:t>Wearable stream simulator + biometric AI estimator; Redis Streams report ingestion pipeline; Celery trust scoring worker; community DBSCAN materialised view; Gemini 2.5 Flash SSE streaming companion; Grievance Engine FIR draft output.</w:t>
            </w:r>
          </w:p>
        </w:tc>
        <w:tc>
          <w:tcPr>
            <w:tcW w:type="dxa" w:w="2257"/>
            <w:shd w:val="clear" w:color="auto" w:fill="F9F5FF"/>
          </w:tcPr>
          <w:p>
            <w:pPr>
              <w:spacing w:before="30" w:after="30" w:line="276" w:lineRule="auto"/>
            </w:pPr>
            <w:r>
              <w:rPr>
                <w:rFonts w:ascii="Calibri" w:hAnsi="Calibri"/>
                <w:color w:val="1E162B"/>
                <w:sz w:val="18"/>
              </w:rPr>
              <w:t>Trust scorer Spearman ρ ≥ 0.75 on seeded validation set; Gemini companion returns SSE stream with &lt; 800ms first-token latency; FIR draft structured JSON validates against schema on 20 test scenarios; DBSCAN clusters form correctly from 50+ seeded reports.</w:t>
            </w:r>
          </w:p>
        </w:tc>
      </w:tr>
      <w:tr>
        <w:tc>
          <w:tcPr>
            <w:tcW w:type="dxa" w:w="2257"/>
            <w:shd w:val="clear" w:color="auto" w:fill="FFFFFF"/>
          </w:tcPr>
          <w:p>
            <w:pPr>
              <w:spacing w:before="30" w:after="30" w:line="276" w:lineRule="auto"/>
            </w:pPr>
            <w:r>
              <w:rPr>
                <w:rFonts w:ascii="Calibri" w:hAnsi="Calibri"/>
                <w:color w:val="1E162B"/>
                <w:sz w:val="18"/>
              </w:rPr>
              <w:t>M4 — Client Applications</w:t>
              <w:br/>
              <w:t>&amp; Dashboard</w:t>
            </w:r>
          </w:p>
        </w:tc>
        <w:tc>
          <w:tcPr>
            <w:tcW w:type="dxa" w:w="2257"/>
            <w:shd w:val="clear" w:color="auto" w:fill="FFFFFF"/>
          </w:tcPr>
          <w:p>
            <w:pPr>
              <w:spacing w:before="30" w:after="30" w:line="276" w:lineRule="auto"/>
            </w:pPr>
            <w:r>
              <w:rPr>
                <w:rFonts w:ascii="Calibri" w:hAnsi="Calibri"/>
                <w:color w:val="1E162B"/>
                <w:sz w:val="18"/>
              </w:rPr>
              <w:t>Weeks 9–11</w:t>
            </w:r>
          </w:p>
        </w:tc>
        <w:tc>
          <w:tcPr>
            <w:tcW w:type="dxa" w:w="2257"/>
            <w:shd w:val="clear" w:color="auto" w:fill="FFFFFF"/>
          </w:tcPr>
          <w:p>
            <w:pPr>
              <w:spacing w:before="30" w:after="30" w:line="276" w:lineRule="auto"/>
            </w:pPr>
            <w:r>
              <w:rPr>
                <w:rFonts w:ascii="Calibri" w:hAnsi="Calibri"/>
                <w:color w:val="1E162B"/>
                <w:sz w:val="18"/>
              </w:rPr>
              <w:t>Flutter app with live GPS streaming, real-time risk display, SOS dispatch, streaming chat UI; Next.js Command Center with deck.gl heatmap, agent activity feed, community map, companion panel.</w:t>
            </w:r>
          </w:p>
        </w:tc>
        <w:tc>
          <w:tcPr>
            <w:tcW w:type="dxa" w:w="2257"/>
            <w:shd w:val="clear" w:color="auto" w:fill="FFFFFF"/>
          </w:tcPr>
          <w:p>
            <w:pPr>
              <w:spacing w:before="30" w:after="30" w:line="276" w:lineRule="auto"/>
            </w:pPr>
            <w:r>
              <w:rPr>
                <w:rFonts w:ascii="Calibri" w:hAnsi="Calibri"/>
                <w:color w:val="1E162B"/>
                <w:sz w:val="18"/>
              </w:rPr>
              <w:t>Flutter app streams GPS to WebSocket with &lt; 500ms round-trip latency on 4G; deck.gl HeatmapLayer renders 10,000 hex cells at ≥ 30fps; four demo scenarios (NORMAL / DEVIATION / DISTRESS / COMMUNITY_ALERT) execute end-to-end without errors.</w:t>
            </w:r>
          </w:p>
        </w:tc>
      </w:tr>
      <w:tr>
        <w:tc>
          <w:tcPr>
            <w:tcW w:type="dxa" w:w="2257"/>
            <w:shd w:val="clear" w:color="auto" w:fill="F9F5FF"/>
          </w:tcPr>
          <w:p>
            <w:pPr>
              <w:spacing w:before="30" w:after="30" w:line="276" w:lineRule="auto"/>
            </w:pPr>
            <w:r>
              <w:rPr>
                <w:rFonts w:ascii="Calibri" w:hAnsi="Calibri"/>
                <w:color w:val="1E162B"/>
                <w:sz w:val="18"/>
              </w:rPr>
              <w:t>M5 — Evaluation,</w:t>
              <w:br/>
              <w:t>Polish &amp; Submission</w:t>
            </w:r>
          </w:p>
        </w:tc>
        <w:tc>
          <w:tcPr>
            <w:tcW w:type="dxa" w:w="2257"/>
            <w:shd w:val="clear" w:color="auto" w:fill="F9F5FF"/>
          </w:tcPr>
          <w:p>
            <w:pPr>
              <w:spacing w:before="30" w:after="30" w:line="276" w:lineRule="auto"/>
            </w:pPr>
            <w:r>
              <w:rPr>
                <w:rFonts w:ascii="Calibri" w:hAnsi="Calibri"/>
                <w:color w:val="1E162B"/>
                <w:sz w:val="18"/>
              </w:rPr>
              <w:t>Weeks 12–13</w:t>
            </w:r>
          </w:p>
        </w:tc>
        <w:tc>
          <w:tcPr>
            <w:tcW w:type="dxa" w:w="2257"/>
            <w:shd w:val="clear" w:color="auto" w:fill="F9F5FF"/>
          </w:tcPr>
          <w:p>
            <w:pPr>
              <w:spacing w:before="30" w:after="30" w:line="276" w:lineRule="auto"/>
            </w:pPr>
            <w:r>
              <w:rPr>
                <w:rFonts w:ascii="Calibri" w:hAnsi="Calibri"/>
                <w:color w:val="1E162B"/>
                <w:sz w:val="18"/>
              </w:rPr>
              <w:t>User study (n ≥ 50 journeys; 20 panellists for companion quality rating); performance benchmarking; documentation; final demo video; PDD submission.</w:t>
            </w:r>
          </w:p>
        </w:tc>
        <w:tc>
          <w:tcPr>
            <w:tcW w:type="dxa" w:w="2257"/>
            <w:shd w:val="clear" w:color="auto" w:fill="F9F5FF"/>
          </w:tcPr>
          <w:p>
            <w:pPr>
              <w:spacing w:before="30" w:after="30" w:line="276" w:lineRule="auto"/>
            </w:pPr>
            <w:r>
              <w:rPr>
                <w:rFonts w:ascii="Calibri" w:hAnsi="Calibri"/>
                <w:color w:val="1E162B"/>
                <w:sz w:val="18"/>
              </w:rPr>
              <w:t>All five OKR metrics at or above target thresholds; demo video &lt; 5 minutes shows live scenario switching; PDD reviewed by mentor; submission package complete.</w:t>
            </w:r>
          </w:p>
        </w:tc>
      </w:tr>
    </w:tbl>
    <w:p/>
    <w:p>
      <w:r>
        <w:br w:type="page"/>
      </w:r>
    </w:p>
    <w:p>
      <w:pPr>
        <w:spacing w:before="180" w:after="80" w:line="276" w:lineRule="auto"/>
        <w:pBdr>
          <w:left w:val="single" w:sz="24" w:space="4" w:color="E11D74"/>
        </w:pBdr>
      </w:pPr>
      <w:r>
        <w:rPr>
          <w:rFonts w:ascii="Calibri" w:hAnsi="Calibri"/>
          <w:b/>
          <w:color w:val="E11D74"/>
          <w:sz w:val="28"/>
        </w:rPr>
        <w:t>3.  Team, Resources &amp; Risk Readiness</w:t>
      </w:r>
    </w:p>
    <w:p>
      <w:pPr>
        <w:spacing w:before="120" w:after="40" w:line="276" w:lineRule="auto"/>
      </w:pPr>
      <w:r>
        <w:rPr>
          <w:rFonts w:ascii="Calibri" w:hAnsi="Calibri"/>
          <w:b/>
          <w:color w:val="7C3AED"/>
          <w:sz w:val="23"/>
        </w:rPr>
        <w:t>3.1  Team Profile &amp; Credibility</w:t>
      </w:r>
    </w:p>
    <w:p>
      <w:pPr>
        <w:spacing w:before="0" w:after="50" w:line="276" w:lineRule="auto"/>
      </w:pPr>
      <w:r>
        <w:rPr>
          <w:rFonts w:ascii="Calibri" w:hAnsi="Calibri"/>
          <w:color w:val="1E162B"/>
          <w:sz w:val="20"/>
        </w:rPr>
        <w:t>SafeHerAI is conceived and led by E Gaithika, a student innovator at VIT-AP University with demonstrated proficiency across the full stack of technologies underlying the platform: Flutter mobile development, FastAPI backend engineering, Python ML (scikit-learn, XGBoost), and Gemini AI integration. The existing codebase — including a functional FastAPI backend with Gemini 2.0 Flash companion, a working Streamlit executive dashboard rendering all five intelligence tracks, and a Flutter mobile app with basic GPS integration — was built prior to this submission, demonstrating execution capability beyond ideation.</w:t>
      </w:r>
    </w:p>
    <w:p>
      <w:pPr>
        <w:spacing w:before="0" w:after="50" w:line="276" w:lineRule="auto"/>
      </w:pPr>
      <w:r>
        <w:rPr>
          <w:rFonts w:ascii="Calibri" w:hAnsi="Calibri"/>
          <w:color w:val="1E162B"/>
          <w:sz w:val="20"/>
        </w:rPr>
        <w:t>The working proof-of-concept at submission time includes: a 17-agent simulated multi-agent system, a live Gemini AI companion, a Plotly-rendered safety heatmap for Hyderabad, a simulated journey twin with deviation scenarios, community report submission and trust display, and a biometric distress estimator — all functional in a Docker-compose local deployment.</w:t>
      </w:r>
    </w:p>
    <w:p>
      <w:pPr>
        <w:spacing w:before="80" w:after="30" w:line="276" w:lineRule="auto"/>
      </w:pPr>
      <w:r>
        <w:rPr>
          <w:rFonts w:ascii="Calibri" w:hAnsi="Calibri"/>
          <w:b/>
          <w:color w:val="1E162B"/>
          <w:sz w:val="21"/>
        </w:rPr>
        <w:t>Mentorship &amp; Institutional Support:</w:t>
      </w:r>
    </w:p>
    <w:p>
      <w:pPr>
        <w:pStyle w:val="ListBullet"/>
        <w:spacing w:before="0" w:after="30" w:line="276" w:lineRule="auto"/>
        <w:ind w:left="432"/>
      </w:pPr>
      <w:r>
        <w:rPr>
          <w:rFonts w:ascii="Calibri" w:hAnsi="Calibri"/>
          <w:color w:val="1E162B"/>
          <w:sz w:val="20"/>
        </w:rPr>
        <w:t>VIT-AP University Centre for Innovation &amp; Entrepreneurship provides access to GPU compute, institutional cloud credits, and project mentorship.</w:t>
      </w:r>
    </w:p>
    <w:p>
      <w:pPr>
        <w:pStyle w:val="ListBullet"/>
        <w:spacing w:before="0" w:after="30" w:line="276" w:lineRule="auto"/>
        <w:ind w:left="432"/>
      </w:pPr>
      <w:r>
        <w:rPr>
          <w:rFonts w:ascii="Calibri" w:hAnsi="Calibri"/>
          <w:color w:val="1E162B"/>
          <w:sz w:val="20"/>
        </w:rPr>
        <w:t>Access to VIT-AP's 35,000-student campus as a primary user study cohort for pilot validation.</w:t>
      </w:r>
    </w:p>
    <w:p>
      <w:pPr>
        <w:pStyle w:val="ListBullet"/>
        <w:spacing w:before="0" w:after="30" w:line="276" w:lineRule="auto"/>
        <w:ind w:left="432"/>
      </w:pPr>
      <w:r>
        <w:rPr>
          <w:rFonts w:ascii="Calibri" w:hAnsi="Calibri"/>
          <w:color w:val="1E162B"/>
          <w:sz w:val="20"/>
        </w:rPr>
        <w:t>Opportunity to engage Hyderabad city police tech cell and Hyderabad Metro Rail Limited (HMRL) for institutional stakeholder feedback during the pilot phase.</w:t>
      </w:r>
    </w:p>
    <w:p>
      <w:pPr>
        <w:spacing w:before="80" w:after="30" w:line="276" w:lineRule="auto"/>
      </w:pPr>
      <w:r>
        <w:rPr>
          <w:rFonts w:ascii="Calibri" w:hAnsi="Calibri"/>
          <w:b/>
          <w:color w:val="1E162B"/>
          <w:sz w:val="21"/>
        </w:rPr>
        <w:t>Post-Pilot Scaling Plan:</w:t>
      </w:r>
    </w:p>
    <w:p>
      <w:pPr>
        <w:pStyle w:val="ListBullet"/>
        <w:spacing w:before="0" w:after="30" w:line="276" w:lineRule="auto"/>
        <w:ind w:left="432"/>
      </w:pPr>
      <w:r>
        <w:rPr>
          <w:rFonts w:ascii="Calibri" w:hAnsi="Calibri"/>
          <w:color w:val="1E162B"/>
          <w:sz w:val="20"/>
        </w:rPr>
        <w:t>Integrate OLA Maps API for production routing (India-native, data-residency compliant).</w:t>
      </w:r>
    </w:p>
    <w:p>
      <w:pPr>
        <w:pStyle w:val="ListBullet"/>
        <w:spacing w:before="0" w:after="30" w:line="276" w:lineRule="auto"/>
        <w:ind w:left="432"/>
      </w:pPr>
      <w:r>
        <w:rPr>
          <w:rFonts w:ascii="Calibri" w:hAnsi="Calibri"/>
          <w:color w:val="1E162B"/>
          <w:sz w:val="20"/>
        </w:rPr>
        <w:t>Connect to Telangana Police CCTNS (Crime and Criminal Tracking Network &amp; Systems) for real crime data ingestion.</w:t>
      </w:r>
    </w:p>
    <w:p>
      <w:pPr>
        <w:pStyle w:val="ListBullet"/>
        <w:spacing w:before="0" w:after="30" w:line="276" w:lineRule="auto"/>
        <w:ind w:left="432"/>
      </w:pPr>
      <w:r>
        <w:rPr>
          <w:rFonts w:ascii="Calibri" w:hAnsi="Calibri"/>
          <w:color w:val="1E162B"/>
          <w:sz w:val="20"/>
        </w:rPr>
        <w:t>Negotiate white-label SDK deal with a Tier-2 ride-hailing platform for Track 2 integration.</w:t>
      </w:r>
    </w:p>
    <w:p>
      <w:pPr>
        <w:pStyle w:val="ListBullet"/>
        <w:spacing w:before="0" w:after="30" w:line="276" w:lineRule="auto"/>
        <w:ind w:left="432"/>
      </w:pPr>
      <w:r>
        <w:rPr>
          <w:rFonts w:ascii="Calibri" w:hAnsi="Calibri"/>
          <w:color w:val="1E162B"/>
          <w:sz w:val="20"/>
        </w:rPr>
        <w:t>Apply for NASSCOM FutureSkills and MEITY Startup Hub grants for scale-up funding.</w:t>
      </w:r>
    </w:p>
    <w:p/>
    <w:p>
      <w:pPr>
        <w:spacing w:before="120" w:after="40" w:line="276" w:lineRule="auto"/>
      </w:pPr>
      <w:r>
        <w:rPr>
          <w:rFonts w:ascii="Calibri" w:hAnsi="Calibri"/>
          <w:b/>
          <w:color w:val="7C3AED"/>
          <w:sz w:val="23"/>
        </w:rPr>
        <w:t>3.2  Resource Adequacy</w:t>
      </w:r>
    </w:p>
    <w:p>
      <w:pPr>
        <w:spacing w:before="80" w:after="30" w:line="276" w:lineRule="auto"/>
      </w:pPr>
      <w:r>
        <w:rPr>
          <w:rFonts w:ascii="Calibri" w:hAnsi="Calibri"/>
          <w:b/>
          <w:color w:val="1E162B"/>
          <w:sz w:val="21"/>
        </w:rPr>
        <w:t>Compute Infrastructure:</w:t>
      </w:r>
    </w:p>
    <w:p>
      <w:pPr>
        <w:pStyle w:val="ListBullet"/>
        <w:spacing w:before="0" w:after="30" w:line="276" w:lineRule="auto"/>
        <w:ind w:left="432"/>
      </w:pPr>
      <w:r>
        <w:rPr>
          <w:rFonts w:ascii="Calibri" w:hAnsi="Calibri"/>
          <w:color w:val="1E162B"/>
          <w:sz w:val="20"/>
        </w:rPr>
        <w:t>Model Training: Google Cloud Platform (GCP) — Vertex AI Workbench for XGBoost and Random Forest training on NCRB + OSM feature datasets. Hackathon compute credits (GCP USD 300 free tier) are sufficient for all pilot-phase model training.</w:t>
      </w:r>
    </w:p>
    <w:p>
      <w:pPr>
        <w:pStyle w:val="ListBullet"/>
        <w:spacing w:before="0" w:after="30" w:line="276" w:lineRule="auto"/>
        <w:ind w:left="432"/>
      </w:pPr>
      <w:r>
        <w:rPr>
          <w:rFonts w:ascii="Calibri" w:hAnsi="Calibri"/>
          <w:color w:val="1E162B"/>
          <w:sz w:val="20"/>
        </w:rPr>
        <w:t>Inference Serving: FastAPI on Cloud Run (auto-scaling; 2 vCPU / 4 GB RAM per instance). Estimated cost for pilot phase: &lt; USD 20/month at 1,000 active sessions/day.</w:t>
      </w:r>
    </w:p>
    <w:p>
      <w:pPr>
        <w:pStyle w:val="ListBullet"/>
        <w:spacing w:before="0" w:after="30" w:line="276" w:lineRule="auto"/>
        <w:ind w:left="432"/>
      </w:pPr>
      <w:r>
        <w:rPr>
          <w:rFonts w:ascii="Calibri" w:hAnsi="Calibri"/>
          <w:color w:val="1E162B"/>
          <w:sz w:val="20"/>
        </w:rPr>
        <w:t>Database: Cloud SQL for PostgreSQL with PostGIS extension (db-f1-micro for pilot phase; upgradeable on demand).</w:t>
      </w:r>
    </w:p>
    <w:p>
      <w:pPr>
        <w:pStyle w:val="ListBullet"/>
        <w:spacing w:before="0" w:after="30" w:line="276" w:lineRule="auto"/>
        <w:ind w:left="432"/>
      </w:pPr>
      <w:r>
        <w:rPr>
          <w:rFonts w:ascii="Calibri" w:hAnsi="Calibri"/>
          <w:color w:val="1E162B"/>
          <w:sz w:val="20"/>
        </w:rPr>
        <w:t>AI API: Gemini 2.5 Flash API via Google AI Studio free tier (60 requests/minute) — sufficient for pilot-scale companion usage.</w:t>
      </w:r>
    </w:p>
    <w:p>
      <w:pPr>
        <w:pStyle w:val="ListBullet"/>
        <w:spacing w:before="0" w:after="30" w:line="276" w:lineRule="auto"/>
        <w:ind w:left="432"/>
      </w:pPr>
      <w:r>
        <w:rPr>
          <w:rFonts w:ascii="Calibri" w:hAnsi="Calibri"/>
          <w:color w:val="1E162B"/>
          <w:sz w:val="20"/>
        </w:rPr>
        <w:t>Development Hardware: MacBook Pro M-series (local development); personal Android device (Samsung Galaxy) for Flutter testing.</w:t>
      </w:r>
    </w:p>
    <w:p>
      <w:pPr>
        <w:spacing w:before="80" w:after="30" w:line="276" w:lineRule="auto"/>
      </w:pPr>
      <w:r>
        <w:rPr>
          <w:rFonts w:ascii="Calibri" w:hAnsi="Calibri"/>
          <w:b/>
          <w:color w:val="1E162B"/>
          <w:sz w:val="21"/>
        </w:rPr>
        <w:t>Data Resources:</w:t>
      </w:r>
    </w:p>
    <w:p>
      <w:pPr>
        <w:pStyle w:val="ListBullet"/>
        <w:spacing w:before="0" w:after="30" w:line="276" w:lineRule="auto"/>
        <w:ind w:left="432"/>
      </w:pPr>
      <w:r>
        <w:rPr>
          <w:rFonts w:ascii="Calibri" w:hAnsi="Calibri"/>
          <w:color w:val="1E162B"/>
          <w:sz w:val="20"/>
        </w:rPr>
        <w:t>NCRB Crime in India 2024 CSV — Publicly available at ncrb.gov.in. Used to seed the H3 risk grid.</w:t>
      </w:r>
    </w:p>
    <w:p>
      <w:pPr>
        <w:pStyle w:val="ListBullet"/>
        <w:spacing w:before="0" w:after="30" w:line="276" w:lineRule="auto"/>
        <w:ind w:left="432"/>
      </w:pPr>
      <w:r>
        <w:rPr>
          <w:rFonts w:ascii="Calibri" w:hAnsi="Calibri"/>
          <w:color w:val="1E162B"/>
          <w:sz w:val="20"/>
        </w:rPr>
        <w:t>OpenStreetMap Overpass API — Open access. Used to extract street lighting nodes and CCTV markers for Hyderabad.</w:t>
      </w:r>
    </w:p>
    <w:p>
      <w:pPr>
        <w:pStyle w:val="ListBullet"/>
        <w:spacing w:before="0" w:after="30" w:line="276" w:lineRule="auto"/>
        <w:ind w:left="432"/>
      </w:pPr>
      <w:r>
        <w:rPr>
          <w:rFonts w:ascii="Calibri" w:hAnsi="Calibri"/>
          <w:color w:val="1E162B"/>
          <w:sz w:val="20"/>
        </w:rPr>
        <w:t>SafeCity API (Red Dot Foundation) — Open registration. Used to seed community safety incident data for Track 4.</w:t>
      </w:r>
    </w:p>
    <w:p>
      <w:pPr>
        <w:pStyle w:val="ListBullet"/>
        <w:spacing w:before="0" w:after="30" w:line="276" w:lineRule="auto"/>
        <w:ind w:left="432"/>
      </w:pPr>
      <w:r>
        <w:rPr>
          <w:rFonts w:ascii="Calibri" w:hAnsi="Calibri"/>
          <w:color w:val="1E162B"/>
          <w:sz w:val="20"/>
        </w:rPr>
        <w:t>Synthetic Journey Dataset — 500 GPS trajectory samples generated using OSRM routing engine on Hyderabad road network for Track 2 anomaly model calibration.</w:t>
      </w:r>
    </w:p>
    <w:tbl>
      <w:tblPr>
        <w:tblStyle w:val="TableGrid"/>
        <w:tblW w:type="auto" w:w="0"/>
        <w:jc w:val="left"/>
        <w:tblLook w:firstColumn="1" w:firstRow="1" w:lastColumn="0" w:lastRow="0" w:noHBand="0" w:noVBand="1" w:val="04A0"/>
      </w:tblPr>
      <w:tblGrid>
        <w:gridCol w:w="9029"/>
      </w:tblGrid>
      <w:tr>
        <w:tc>
          <w:tcPr>
            <w:tcW w:type="dxa" w:w="9029"/>
            <w:shd w:val="clear" w:color="auto" w:fill="FFF1F9"/>
            <w:tcBorders>
              <w:top w:val="single" w:sz="4" w:space="0" w:color="E11D74"/>
              <w:bottom w:val="single" w:sz="4" w:space="0" w:color="E11D74"/>
              <w:left w:val="single" w:sz="4" w:space="0" w:color="E11D74"/>
              <w:right w:val="single" w:sz="4" w:space="0" w:color="E11D74"/>
            </w:tcBorders>
          </w:tcPr>
          <w:p>
            <w:pPr>
              <w:spacing w:before="40" w:after="40" w:line="276" w:lineRule="auto"/>
            </w:pPr>
            <w:r>
              <w:rPr>
                <w:rFonts w:ascii="Calibri" w:hAnsi="Calibri"/>
                <w:b/>
                <w:color w:val="E11D74"/>
                <w:sz w:val="19"/>
              </w:rPr>
              <w:t xml:space="preserve">▶  Data Independence: </w:t>
            </w:r>
            <w:r>
              <w:rPr>
                <w:rFonts w:ascii="Calibri" w:hAnsi="Calibri"/>
                <w:color w:val="1E162B"/>
                <w:sz w:val="19"/>
              </w:rPr>
              <w:t>All data sources required for the pilot phase are either publicly available, accessible via free-tier APIs, or synthetically generated from open map data. No proprietary datasets, data-sharing agreements, or paid data licenses are required.</w:t>
            </w:r>
          </w:p>
        </w:tc>
      </w:tr>
    </w:tbl>
    <w:p/>
    <w:p/>
    <w:p>
      <w:pPr>
        <w:spacing w:before="120" w:after="40" w:line="276" w:lineRule="auto"/>
      </w:pPr>
      <w:r>
        <w:rPr>
          <w:rFonts w:ascii="Calibri" w:hAnsi="Calibri"/>
          <w:b/>
          <w:color w:val="7C3AED"/>
          <w:sz w:val="23"/>
        </w:rPr>
        <w:t>3.3  Risk Identification &amp; Mitigation</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40" w:after="40" w:line="276" w:lineRule="auto"/>
            </w:pPr>
            <w:r>
              <w:rPr>
                <w:rFonts w:ascii="Calibri" w:hAnsi="Calibri"/>
                <w:b/>
                <w:color w:val="FFFFFF"/>
                <w:sz w:val="18"/>
              </w:rPr>
              <w:t>Risk</w:t>
            </w:r>
          </w:p>
        </w:tc>
        <w:tc>
          <w:tcPr>
            <w:tcW w:type="dxa" w:w="2257"/>
            <w:shd w:val="clear" w:color="auto" w:fill="1E162B"/>
          </w:tcPr>
          <w:p>
            <w:pPr>
              <w:spacing w:before="40" w:after="40" w:line="276" w:lineRule="auto"/>
            </w:pPr>
            <w:r>
              <w:rPr>
                <w:rFonts w:ascii="Calibri" w:hAnsi="Calibri"/>
                <w:b/>
                <w:color w:val="FFFFFF"/>
                <w:sz w:val="18"/>
              </w:rPr>
              <w:t>Likelihood</w:t>
            </w:r>
          </w:p>
        </w:tc>
        <w:tc>
          <w:tcPr>
            <w:tcW w:type="dxa" w:w="2257"/>
            <w:shd w:val="clear" w:color="auto" w:fill="1E162B"/>
          </w:tcPr>
          <w:p>
            <w:pPr>
              <w:spacing w:before="40" w:after="40" w:line="276" w:lineRule="auto"/>
            </w:pPr>
            <w:r>
              <w:rPr>
                <w:rFonts w:ascii="Calibri" w:hAnsi="Calibri"/>
                <w:b/>
                <w:color w:val="FFFFFF"/>
                <w:sz w:val="18"/>
              </w:rPr>
              <w:t>Impact</w:t>
            </w:r>
          </w:p>
        </w:tc>
        <w:tc>
          <w:tcPr>
            <w:tcW w:type="dxa" w:w="2257"/>
            <w:shd w:val="clear" w:color="auto" w:fill="1E162B"/>
          </w:tcPr>
          <w:p>
            <w:pPr>
              <w:spacing w:before="40" w:after="40" w:line="276" w:lineRule="auto"/>
            </w:pPr>
            <w:r>
              <w:rPr>
                <w:rFonts w:ascii="Calibri" w:hAnsi="Calibri"/>
                <w:b/>
                <w:color w:val="FFFFFF"/>
                <w:sz w:val="18"/>
              </w:rPr>
              <w:t>Mitigation</w:t>
            </w:r>
          </w:p>
        </w:tc>
      </w:tr>
      <w:tr>
        <w:tc>
          <w:tcPr>
            <w:tcW w:type="dxa" w:w="2257"/>
            <w:shd w:val="clear" w:color="auto" w:fill="F9F5FF"/>
          </w:tcPr>
          <w:p>
            <w:pPr>
              <w:spacing w:before="30" w:after="30" w:line="276" w:lineRule="auto"/>
            </w:pPr>
            <w:r>
              <w:rPr>
                <w:rFonts w:ascii="Calibri" w:hAnsi="Calibri"/>
                <w:color w:val="1E162B"/>
                <w:sz w:val="18"/>
              </w:rPr>
              <w:t>Gemini API Rate Limit:</w:t>
              <w:br/>
              <w:t>Free tier (60 req/min) exceeded during demo with multiple concurrent users.</w:t>
            </w:r>
          </w:p>
        </w:tc>
        <w:tc>
          <w:tcPr>
            <w:tcW w:type="dxa" w:w="2257"/>
            <w:shd w:val="clear" w:color="auto" w:fill="F9F5FF"/>
          </w:tcPr>
          <w:p>
            <w:pPr>
              <w:spacing w:before="30" w:after="30" w:line="276" w:lineRule="auto"/>
            </w:pPr>
            <w:r>
              <w:rPr>
                <w:rFonts w:ascii="Calibri" w:hAnsi="Calibri"/>
                <w:color w:val="1E162B"/>
                <w:sz w:val="18"/>
              </w:rPr>
              <w:t>Medium</w:t>
            </w:r>
          </w:p>
        </w:tc>
        <w:tc>
          <w:tcPr>
            <w:tcW w:type="dxa" w:w="2257"/>
            <w:shd w:val="clear" w:color="auto" w:fill="F9F5FF"/>
          </w:tcPr>
          <w:p>
            <w:pPr>
              <w:spacing w:before="30" w:after="30" w:line="276" w:lineRule="auto"/>
            </w:pPr>
            <w:r>
              <w:rPr>
                <w:rFonts w:ascii="Calibri" w:hAnsi="Calibri"/>
                <w:color w:val="1E162B"/>
                <w:sz w:val="18"/>
              </w:rPr>
              <w:t>Medium — companion degraded to mock responses.</w:t>
            </w:r>
          </w:p>
        </w:tc>
        <w:tc>
          <w:tcPr>
            <w:tcW w:type="dxa" w:w="2257"/>
            <w:shd w:val="clear" w:color="auto" w:fill="F9F5FF"/>
          </w:tcPr>
          <w:p>
            <w:pPr>
              <w:spacing w:before="30" w:after="30" w:line="276" w:lineRule="auto"/>
            </w:pPr>
            <w:r>
              <w:rPr>
                <w:rFonts w:ascii="Calibri" w:hAnsi="Calibri"/>
                <w:color w:val="1E162B"/>
                <w:sz w:val="18"/>
              </w:rPr>
              <w:t>Implement request queuing with Redis; fall back to Gemini 2.0 Flash Lite (no rate limit constraint) for non-streaming responses. Demo uses single-user controlled scenario — no concurrent load issue in controlled hackathon setting.</w:t>
            </w:r>
          </w:p>
        </w:tc>
      </w:tr>
      <w:tr>
        <w:tc>
          <w:tcPr>
            <w:tcW w:type="dxa" w:w="2257"/>
            <w:shd w:val="clear" w:color="auto" w:fill="FFFFFF"/>
          </w:tcPr>
          <w:p>
            <w:pPr>
              <w:spacing w:before="30" w:after="30" w:line="276" w:lineRule="auto"/>
            </w:pPr>
            <w:r>
              <w:rPr>
                <w:rFonts w:ascii="Calibri" w:hAnsi="Calibri"/>
                <w:color w:val="1E162B"/>
                <w:sz w:val="18"/>
              </w:rPr>
              <w:t>NCRB Data Granularity:</w:t>
              <w:br/>
              <w:t>District-level crime data is too coarse to meaningfully differentiate H3 hex cells within the same district.</w:t>
            </w:r>
          </w:p>
        </w:tc>
        <w:tc>
          <w:tcPr>
            <w:tcW w:type="dxa" w:w="2257"/>
            <w:shd w:val="clear" w:color="auto" w:fill="FFFFFF"/>
          </w:tcPr>
          <w:p>
            <w:pPr>
              <w:spacing w:before="30" w:after="30" w:line="276" w:lineRule="auto"/>
            </w:pPr>
            <w:r>
              <w:rPr>
                <w:rFonts w:ascii="Calibri" w:hAnsi="Calibri"/>
                <w:color w:val="1E162B"/>
                <w:sz w:val="18"/>
              </w:rPr>
              <w:t>Medium</w:t>
            </w:r>
          </w:p>
        </w:tc>
        <w:tc>
          <w:tcPr>
            <w:tcW w:type="dxa" w:w="2257"/>
            <w:shd w:val="clear" w:color="auto" w:fill="FFFFFF"/>
          </w:tcPr>
          <w:p>
            <w:pPr>
              <w:spacing w:before="30" w:after="30" w:line="276" w:lineRule="auto"/>
            </w:pPr>
            <w:r>
              <w:rPr>
                <w:rFonts w:ascii="Calibri" w:hAnsi="Calibri"/>
                <w:color w:val="1E162B"/>
                <w:sz w:val="18"/>
              </w:rPr>
              <w:t>Medium — heatmap risk variation reduced within districts.</w:t>
            </w:r>
          </w:p>
        </w:tc>
        <w:tc>
          <w:tcPr>
            <w:tcW w:type="dxa" w:w="2257"/>
            <w:shd w:val="clear" w:color="auto" w:fill="FFFFFF"/>
          </w:tcPr>
          <w:p>
            <w:pPr>
              <w:spacing w:before="30" w:after="30" w:line="276" w:lineRule="auto"/>
            </w:pPr>
            <w:r>
              <w:rPr>
                <w:rFonts w:ascii="Calibri" w:hAnsi="Calibri"/>
                <w:color w:val="1E162B"/>
                <w:sz w:val="18"/>
              </w:rPr>
              <w:t>Supplement NCRB data with SafeCity incident-level data (higher resolution), OSM lighting/CCTV features (street-level resolution), and temporal multipliers. The XGBoost model uses four feature categories — NCRB is one of four; others operate at street level.</w:t>
            </w:r>
          </w:p>
        </w:tc>
      </w:tr>
      <w:tr>
        <w:tc>
          <w:tcPr>
            <w:tcW w:type="dxa" w:w="2257"/>
            <w:shd w:val="clear" w:color="auto" w:fill="F9F5FF"/>
          </w:tcPr>
          <w:p>
            <w:pPr>
              <w:spacing w:before="30" w:after="30" w:line="276" w:lineRule="auto"/>
            </w:pPr>
            <w:r>
              <w:rPr>
                <w:rFonts w:ascii="Calibri" w:hAnsi="Calibri"/>
                <w:color w:val="1E162B"/>
                <w:sz w:val="18"/>
              </w:rPr>
              <w:t>GPS Accuracy on Demo Device:</w:t>
              <w:br/>
              <w:t>Android GPS accuracy (±5m) may cause false anomaly triggers near route boundaries.</w:t>
            </w:r>
          </w:p>
        </w:tc>
        <w:tc>
          <w:tcPr>
            <w:tcW w:type="dxa" w:w="2257"/>
            <w:shd w:val="clear" w:color="auto" w:fill="F9F5FF"/>
          </w:tcPr>
          <w:p>
            <w:pPr>
              <w:spacing w:before="30" w:after="30" w:line="276" w:lineRule="auto"/>
            </w:pPr>
            <w:r>
              <w:rPr>
                <w:rFonts w:ascii="Calibri" w:hAnsi="Calibri"/>
                <w:color w:val="1E162B"/>
                <w:sz w:val="18"/>
              </w:rPr>
              <w:t>Medium</w:t>
            </w:r>
          </w:p>
        </w:tc>
        <w:tc>
          <w:tcPr>
            <w:tcW w:type="dxa" w:w="2257"/>
            <w:shd w:val="clear" w:color="auto" w:fill="F9F5FF"/>
          </w:tcPr>
          <w:p>
            <w:pPr>
              <w:spacing w:before="30" w:after="30" w:line="276" w:lineRule="auto"/>
            </w:pPr>
            <w:r>
              <w:rPr>
                <w:rFonts w:ascii="Calibri" w:hAnsi="Calibri"/>
                <w:color w:val="1E162B"/>
                <w:sz w:val="18"/>
              </w:rPr>
              <w:t>Low — false positive alerts during demo.</w:t>
            </w:r>
          </w:p>
        </w:tc>
        <w:tc>
          <w:tcPr>
            <w:tcW w:type="dxa" w:w="2257"/>
            <w:shd w:val="clear" w:color="auto" w:fill="F9F5FF"/>
          </w:tcPr>
          <w:p>
            <w:pPr>
              <w:spacing w:before="30" w:after="30" w:line="276" w:lineRule="auto"/>
            </w:pPr>
            <w:r>
              <w:rPr>
                <w:rFonts w:ascii="Calibri" w:hAnsi="Calibri"/>
                <w:color w:val="1E162B"/>
                <w:sz w:val="18"/>
              </w:rPr>
              <w:t>Apply a 50m confidence buffer around the planned route in the Isolation Forest feature calculation (dist_from_route &gt; 50m threshold). DTW confirmation layer operates on 30-point trajectory windows — short GPS glitches (&lt; 10 points) do not trigger escalation.</w:t>
            </w:r>
          </w:p>
        </w:tc>
      </w:tr>
      <w:tr>
        <w:tc>
          <w:tcPr>
            <w:tcW w:type="dxa" w:w="2257"/>
            <w:shd w:val="clear" w:color="auto" w:fill="FFFFFF"/>
          </w:tcPr>
          <w:p>
            <w:pPr>
              <w:spacing w:before="30" w:after="30" w:line="276" w:lineRule="auto"/>
            </w:pPr>
            <w:r>
              <w:rPr>
                <w:rFonts w:ascii="Calibri" w:hAnsi="Calibri"/>
                <w:color w:val="1E162B"/>
                <w:sz w:val="18"/>
              </w:rPr>
              <w:t>OLA Maps API Availability:</w:t>
              <w:br/>
              <w:t>OLA Maps API outage during demonstration.</w:t>
            </w:r>
          </w:p>
        </w:tc>
        <w:tc>
          <w:tcPr>
            <w:tcW w:type="dxa" w:w="2257"/>
            <w:shd w:val="clear" w:color="auto" w:fill="FFFFFF"/>
          </w:tcPr>
          <w:p>
            <w:pPr>
              <w:spacing w:before="30" w:after="30" w:line="276" w:lineRule="auto"/>
            </w:pPr>
            <w:r>
              <w:rPr>
                <w:rFonts w:ascii="Calibri" w:hAnsi="Calibri"/>
                <w:color w:val="1E162B"/>
                <w:sz w:val="18"/>
              </w:rPr>
              <w:t>Low</w:t>
            </w:r>
          </w:p>
        </w:tc>
        <w:tc>
          <w:tcPr>
            <w:tcW w:type="dxa" w:w="2257"/>
            <w:shd w:val="clear" w:color="auto" w:fill="FFFFFF"/>
          </w:tcPr>
          <w:p>
            <w:pPr>
              <w:spacing w:before="30" w:after="30" w:line="276" w:lineRule="auto"/>
            </w:pPr>
            <w:r>
              <w:rPr>
                <w:rFonts w:ascii="Calibri" w:hAnsi="Calibri"/>
                <w:color w:val="1E162B"/>
                <w:sz w:val="18"/>
              </w:rPr>
              <w:t>Medium — routing API unavailable.</w:t>
            </w:r>
          </w:p>
        </w:tc>
        <w:tc>
          <w:tcPr>
            <w:tcW w:type="dxa" w:w="2257"/>
            <w:shd w:val="clear" w:color="auto" w:fill="FFFFFF"/>
          </w:tcPr>
          <w:p>
            <w:pPr>
              <w:spacing w:before="30" w:after="30" w:line="276" w:lineRule="auto"/>
            </w:pPr>
            <w:r>
              <w:rPr>
                <w:rFonts w:ascii="Calibri" w:hAnsi="Calibri"/>
                <w:color w:val="1E162B"/>
                <w:sz w:val="18"/>
              </w:rPr>
              <w:t>Implement Mapbox SDK as hot-swap fallback (same API contract, different key). Both SDKs tested and configured pre-demo.</w:t>
            </w:r>
          </w:p>
        </w:tc>
      </w:tr>
      <w:tr>
        <w:tc>
          <w:tcPr>
            <w:tcW w:type="dxa" w:w="2257"/>
            <w:shd w:val="clear" w:color="auto" w:fill="F9F5FF"/>
          </w:tcPr>
          <w:p>
            <w:pPr>
              <w:spacing w:before="30" w:after="30" w:line="276" w:lineRule="auto"/>
            </w:pPr>
            <w:r>
              <w:rPr>
                <w:rFonts w:ascii="Calibri" w:hAnsi="Calibri"/>
                <w:color w:val="1E162B"/>
                <w:sz w:val="18"/>
              </w:rPr>
              <w:t>LangGraph Agent Timeout:</w:t>
              <w:br/>
              <w:t>Longrunning LangGraph graph exceeds WebSocket timeout during escalation.</w:t>
            </w:r>
          </w:p>
        </w:tc>
        <w:tc>
          <w:tcPr>
            <w:tcW w:type="dxa" w:w="2257"/>
            <w:shd w:val="clear" w:color="auto" w:fill="F9F5FF"/>
          </w:tcPr>
          <w:p>
            <w:pPr>
              <w:spacing w:before="30" w:after="30" w:line="276" w:lineRule="auto"/>
            </w:pPr>
            <w:r>
              <w:rPr>
                <w:rFonts w:ascii="Calibri" w:hAnsi="Calibri"/>
                <w:color w:val="1E162B"/>
                <w:sz w:val="18"/>
              </w:rPr>
              <w:t>Low</w:t>
            </w:r>
          </w:p>
        </w:tc>
        <w:tc>
          <w:tcPr>
            <w:tcW w:type="dxa" w:w="2257"/>
            <w:shd w:val="clear" w:color="auto" w:fill="F9F5FF"/>
          </w:tcPr>
          <w:p>
            <w:pPr>
              <w:spacing w:before="30" w:after="30" w:line="276" w:lineRule="auto"/>
            </w:pPr>
            <w:r>
              <w:rPr>
                <w:rFonts w:ascii="Calibri" w:hAnsi="Calibri"/>
                <w:color w:val="1E162B"/>
                <w:sz w:val="18"/>
              </w:rPr>
              <w:t>Low — escalation delayed.</w:t>
            </w:r>
          </w:p>
        </w:tc>
        <w:tc>
          <w:tcPr>
            <w:tcW w:type="dxa" w:w="2257"/>
            <w:shd w:val="clear" w:color="auto" w:fill="F9F5FF"/>
          </w:tcPr>
          <w:p>
            <w:pPr>
              <w:spacing w:before="30" w:after="30" w:line="276" w:lineRule="auto"/>
            </w:pPr>
            <w:r>
              <w:rPr>
                <w:rFonts w:ascii="Calibri" w:hAnsi="Calibri"/>
                <w:color w:val="1E162B"/>
                <w:sz w:val="18"/>
              </w:rPr>
              <w:t>Implement async node execution with 10-second node timeout. Guardian FCM push is fire-and-forget (non-blocking). Each agent node is independently stateless — failure of one node does not block the pipeline.</w:t>
            </w:r>
          </w:p>
        </w:tc>
      </w:tr>
      <w:tr>
        <w:tc>
          <w:tcPr>
            <w:tcW w:type="dxa" w:w="2257"/>
            <w:shd w:val="clear" w:color="auto" w:fill="FFFFFF"/>
          </w:tcPr>
          <w:p>
            <w:pPr>
              <w:spacing w:before="30" w:after="30" w:line="276" w:lineRule="auto"/>
            </w:pPr>
            <w:r>
              <w:rPr>
                <w:rFonts w:ascii="Calibri" w:hAnsi="Calibri"/>
                <w:color w:val="1E162B"/>
                <w:sz w:val="18"/>
              </w:rPr>
              <w:t>PostGIS Query Latency:</w:t>
              <w:br/>
              <w:t>Spatial queries on 50K H3 cells exceed 500ms response time.</w:t>
            </w:r>
          </w:p>
        </w:tc>
        <w:tc>
          <w:tcPr>
            <w:tcW w:type="dxa" w:w="2257"/>
            <w:shd w:val="clear" w:color="auto" w:fill="FFFFFF"/>
          </w:tcPr>
          <w:p>
            <w:pPr>
              <w:spacing w:before="30" w:after="30" w:line="276" w:lineRule="auto"/>
            </w:pPr>
            <w:r>
              <w:rPr>
                <w:rFonts w:ascii="Calibri" w:hAnsi="Calibri"/>
                <w:color w:val="1E162B"/>
                <w:sz w:val="18"/>
              </w:rPr>
              <w:t>Low</w:t>
            </w:r>
          </w:p>
        </w:tc>
        <w:tc>
          <w:tcPr>
            <w:tcW w:type="dxa" w:w="2257"/>
            <w:shd w:val="clear" w:color="auto" w:fill="FFFFFF"/>
          </w:tcPr>
          <w:p>
            <w:pPr>
              <w:spacing w:before="30" w:after="30" w:line="276" w:lineRule="auto"/>
            </w:pPr>
            <w:r>
              <w:rPr>
                <w:rFonts w:ascii="Calibri" w:hAnsi="Calibri"/>
                <w:color w:val="1E162B"/>
                <w:sz w:val="18"/>
              </w:rPr>
              <w:t>Low — heatmap load slow on dashboard.</w:t>
            </w:r>
          </w:p>
        </w:tc>
        <w:tc>
          <w:tcPr>
            <w:tcW w:type="dxa" w:w="2257"/>
            <w:shd w:val="clear" w:color="auto" w:fill="FFFFFF"/>
          </w:tcPr>
          <w:p>
            <w:pPr>
              <w:spacing w:before="30" w:after="30" w:line="276" w:lineRule="auto"/>
            </w:pPr>
            <w:r>
              <w:rPr>
                <w:rFonts w:ascii="Calibri" w:hAnsi="Calibri"/>
                <w:color w:val="1E162B"/>
                <w:sz w:val="18"/>
              </w:rPr>
              <w:t>Pre-materialise heatmap GeoJSON as a Redis-cached response (TTL = 5 minutes). Real-time community reports update the materialised view asynchronously. Dashboard receives cached response in &lt; 50ms.</w:t>
            </w:r>
          </w:p>
        </w:tc>
      </w:tr>
    </w:tbl>
    <w:p/>
    <w:p/>
    <w:p>
      <w:pPr>
        <w:spacing w:before="120" w:after="40" w:line="276" w:lineRule="auto"/>
      </w:pPr>
      <w:r>
        <w:rPr>
          <w:rFonts w:ascii="Calibri" w:hAnsi="Calibri"/>
          <w:b/>
          <w:color w:val="7C3AED"/>
          <w:sz w:val="23"/>
        </w:rPr>
        <w:t>3.4  Governance &amp; Monitoring Plan</w:t>
      </w:r>
    </w:p>
    <w:p>
      <w:pPr>
        <w:spacing w:before="80" w:after="30" w:line="276" w:lineRule="auto"/>
      </w:pPr>
      <w:r>
        <w:rPr>
          <w:rFonts w:ascii="Calibri" w:hAnsi="Calibri"/>
          <w:b/>
          <w:color w:val="1E162B"/>
          <w:sz w:val="21"/>
        </w:rPr>
        <w:t>Progress Tracking:</w:t>
      </w:r>
    </w:p>
    <w:p>
      <w:pPr>
        <w:pStyle w:val="ListBullet"/>
        <w:spacing w:before="0" w:after="30" w:line="276" w:lineRule="auto"/>
        <w:ind w:left="432"/>
      </w:pPr>
      <w:r>
        <w:rPr>
          <w:rFonts w:ascii="Calibri" w:hAnsi="Calibri"/>
          <w:color w:val="1E162B"/>
          <w:sz w:val="20"/>
        </w:rPr>
        <w:t>Weekly written progress updates tracking: completed milestones, model performance against OKR targets, blockers identified and resolution status, and updated risk register.</w:t>
      </w:r>
    </w:p>
    <w:p>
      <w:pPr>
        <w:pStyle w:val="ListBullet"/>
        <w:spacing w:before="0" w:after="30" w:line="276" w:lineRule="auto"/>
        <w:ind w:left="432"/>
      </w:pPr>
      <w:r>
        <w:rPr>
          <w:rFonts w:ascii="Calibri" w:hAnsi="Calibri"/>
          <w:color w:val="1E162B"/>
          <w:sz w:val="20"/>
        </w:rPr>
        <w:t>Monthly demo sessions at M2, M3, and M4 completion for institutional mentor review.</w:t>
      </w:r>
    </w:p>
    <w:p>
      <w:pPr>
        <w:pStyle w:val="ListBullet"/>
        <w:spacing w:before="0" w:after="30" w:line="276" w:lineRule="auto"/>
        <w:ind w:left="432"/>
      </w:pPr>
      <w:r>
        <w:rPr>
          <w:rFonts w:ascii="Calibri" w:hAnsi="Calibri"/>
          <w:color w:val="1E162B"/>
          <w:sz w:val="20"/>
        </w:rPr>
        <w:t>LangSmith agent tracing enabled for all LangGraph agent executions — providing complete observability of every decision the AI Safety Brain makes, including which agents fired, what data they processed, and what actions they triggered.</w:t>
      </w:r>
    </w:p>
    <w:p>
      <w:pPr>
        <w:spacing w:before="80" w:after="30" w:line="276" w:lineRule="auto"/>
      </w:pPr>
      <w:r>
        <w:rPr>
          <w:rFonts w:ascii="Calibri" w:hAnsi="Calibri"/>
          <w:b/>
          <w:color w:val="1E162B"/>
          <w:sz w:val="21"/>
        </w:rPr>
        <w:t>Quality Gates:</w:t>
      </w:r>
    </w:p>
    <w:p>
      <w:pPr>
        <w:pStyle w:val="ListBullet"/>
        <w:spacing w:before="0" w:after="30" w:line="276" w:lineRule="auto"/>
        <w:ind w:left="432"/>
      </w:pPr>
      <w:r>
        <w:rPr>
          <w:rFonts w:ascii="Calibri" w:hAnsi="Calibri"/>
          <w:color w:val="1E162B"/>
          <w:sz w:val="20"/>
        </w:rPr>
        <w:t>M1 Gate: PostGIS spatial queries functional; H3 grid seeded with ≥ 5,000 cells; Docker Compose full-stack healthy.</w:t>
      </w:r>
    </w:p>
    <w:p>
      <w:pPr>
        <w:pStyle w:val="ListBullet"/>
        <w:spacing w:before="0" w:after="30" w:line="276" w:lineRule="auto"/>
        <w:ind w:left="432"/>
      </w:pPr>
      <w:r>
        <w:rPr>
          <w:rFonts w:ascii="Calibri" w:hAnsi="Calibri"/>
          <w:color w:val="1E162B"/>
          <w:sz w:val="20"/>
        </w:rPr>
        <w:t>M2 Gate: XGBoost AUC ≥ 0.80; Isolation Forest precision ≥ 85% on synthetic deviation set; LangGraph graph handles all four scenario states without exception.</w:t>
      </w:r>
    </w:p>
    <w:p>
      <w:pPr>
        <w:pStyle w:val="ListBullet"/>
        <w:spacing w:before="0" w:after="30" w:line="276" w:lineRule="auto"/>
        <w:ind w:left="432"/>
      </w:pPr>
      <w:r>
        <w:rPr>
          <w:rFonts w:ascii="Calibri" w:hAnsi="Calibri"/>
          <w:color w:val="1E162B"/>
          <w:sz w:val="20"/>
        </w:rPr>
        <w:t>M3 Gate: Community trust scoring Spearman ρ ≥ 0.75; Gemini companion first-token latency &lt; 800ms; FIR draft validates against JSON schema.</w:t>
      </w:r>
    </w:p>
    <w:p>
      <w:pPr>
        <w:pStyle w:val="ListBullet"/>
        <w:spacing w:before="0" w:after="30" w:line="276" w:lineRule="auto"/>
        <w:ind w:left="432"/>
      </w:pPr>
      <w:r>
        <w:rPr>
          <w:rFonts w:ascii="Calibri" w:hAnsi="Calibri"/>
          <w:color w:val="1E162B"/>
          <w:sz w:val="20"/>
        </w:rPr>
        <w:t>M4 Gate: Flutter GPS stream latency &lt; 500ms round-trip; deck.gl renders at ≥ 30fps; all four demo scenarios end-to-end functional.</w:t>
      </w:r>
    </w:p>
    <w:p>
      <w:pPr>
        <w:pStyle w:val="ListBullet"/>
        <w:spacing w:before="0" w:after="30" w:line="276" w:lineRule="auto"/>
        <w:ind w:left="432"/>
      </w:pPr>
      <w:r>
        <w:rPr>
          <w:rFonts w:ascii="Calibri" w:hAnsi="Calibri"/>
          <w:color w:val="1E162B"/>
          <w:sz w:val="20"/>
        </w:rPr>
        <w:t>M5 Gate: All OKRs at or above threshold; demo video complete; documentation package submitted.</w:t>
      </w:r>
    </w:p>
    <w:p>
      <w:pPr>
        <w:spacing w:before="80" w:after="30" w:line="276" w:lineRule="auto"/>
      </w:pPr>
      <w:r>
        <w:rPr>
          <w:rFonts w:ascii="Calibri" w:hAnsi="Calibri"/>
          <w:b/>
          <w:color w:val="1E162B"/>
          <w:sz w:val="21"/>
        </w:rPr>
        <w:t>Ethical &amp; Safety Governance:</w:t>
      </w:r>
    </w:p>
    <w:p>
      <w:pPr>
        <w:pStyle w:val="ListBullet"/>
        <w:spacing w:before="0" w:after="30" w:line="276" w:lineRule="auto"/>
        <w:ind w:left="432"/>
      </w:pPr>
      <w:r>
        <w:rPr>
          <w:rFonts w:ascii="Calibri" w:hAnsi="Calibri"/>
          <w:color w:val="1E162B"/>
          <w:sz w:val="20"/>
        </w:rPr>
        <w:t>All user study data collected under informed consent. No biometric data stored beyond session.</w:t>
      </w:r>
    </w:p>
    <w:p>
      <w:pPr>
        <w:pStyle w:val="ListBullet"/>
        <w:spacing w:before="0" w:after="30" w:line="276" w:lineRule="auto"/>
        <w:ind w:left="432"/>
      </w:pPr>
      <w:r>
        <w:rPr>
          <w:rFonts w:ascii="Calibri" w:hAnsi="Calibri"/>
          <w:color w:val="1E162B"/>
          <w:sz w:val="20"/>
        </w:rPr>
        <w:t>The AI companion is explicitly instructed to never provide medical or legal advice, never be alarmist, and always direct users to call 112 in immediate danger scenarios — regardless of AI reasoning output.</w:t>
      </w:r>
    </w:p>
    <w:p>
      <w:pPr>
        <w:pStyle w:val="ListBullet"/>
        <w:spacing w:before="0" w:after="30" w:line="276" w:lineRule="auto"/>
        <w:ind w:left="432"/>
      </w:pPr>
      <w:r>
        <w:rPr>
          <w:rFonts w:ascii="Calibri" w:hAnsi="Calibri"/>
          <w:color w:val="1E162B"/>
          <w:sz w:val="20"/>
        </w:rPr>
        <w:t>The grievance engine's FIR drafts are clearly labelled as 'AI-assisted draft for review' — not as legally admissible documents — to prevent misuse.</w:t>
      </w:r>
    </w:p>
    <w:p>
      <w:r>
        <w:br w:type="page"/>
      </w:r>
    </w:p>
    <w:p>
      <w:pPr>
        <w:spacing w:before="180" w:after="80" w:line="276" w:lineRule="auto"/>
        <w:pBdr>
          <w:left w:val="single" w:sz="24" w:space="4" w:color="E11D74"/>
        </w:pBdr>
      </w:pPr>
      <w:r>
        <w:rPr>
          <w:rFonts w:ascii="Calibri" w:hAnsi="Calibri"/>
          <w:b/>
          <w:color w:val="E11D74"/>
          <w:sz w:val="28"/>
        </w:rPr>
        <w:t>4.  Integration Feasibility, Scalability &amp; Impact Potential</w:t>
      </w:r>
    </w:p>
    <w:p>
      <w:pPr>
        <w:spacing w:before="120" w:after="40" w:line="276" w:lineRule="auto"/>
      </w:pPr>
      <w:r>
        <w:rPr>
          <w:rFonts w:ascii="Calibri" w:hAnsi="Calibri"/>
          <w:b/>
          <w:color w:val="7C3AED"/>
          <w:sz w:val="23"/>
        </w:rPr>
        <w:t>4.1  Integration Plan &amp; Responsibility Boundaries</w:t>
      </w:r>
    </w:p>
    <w:p>
      <w:pPr>
        <w:spacing w:before="0" w:after="50" w:line="276" w:lineRule="auto"/>
      </w:pPr>
      <w:r>
        <w:rPr>
          <w:rFonts w:ascii="Calibri" w:hAnsi="Calibri"/>
          <w:color w:val="1E162B"/>
          <w:sz w:val="20"/>
        </w:rPr>
        <w:t>SafeHerAI's integration architecture defines clear responsibility boundaries across the safety ecosystem, ensuring that each layer operates within its competence and that failures in one layer do not cascade to adjacent layers:</w:t>
      </w:r>
    </w:p>
    <w:p>
      <w:pPr>
        <w:spacing w:before="80" w:after="30" w:line="276" w:lineRule="auto"/>
      </w:pPr>
      <w:r>
        <w:rPr>
          <w:rFonts w:ascii="Calibri" w:hAnsi="Calibri"/>
          <w:b/>
          <w:color w:val="1E162B"/>
          <w:sz w:val="21"/>
        </w:rPr>
        <w:t>Responsibility Boundaries:</w:t>
      </w:r>
    </w:p>
    <w:p>
      <w:pPr>
        <w:pStyle w:val="ListBullet"/>
        <w:spacing w:before="0" w:after="30" w:line="276" w:lineRule="auto"/>
        <w:ind w:left="432"/>
      </w:pPr>
      <w:r>
        <w:rPr>
          <w:rFonts w:ascii="Calibri" w:hAnsi="Calibri"/>
          <w:color w:val="1E162B"/>
          <w:sz w:val="20"/>
        </w:rPr>
        <w:t>Mobile App (Flutter): Responsible for GPS capture, biometric stream ingestion (from BLE device or simulator), real-time risk display, SOS dispatch trigger, and companion chat UI. The app does not perform risk computation — it only streams telemetry and renders responses.</w:t>
      </w:r>
    </w:p>
    <w:p>
      <w:pPr>
        <w:pStyle w:val="ListBullet"/>
        <w:spacing w:before="0" w:after="30" w:line="276" w:lineRule="auto"/>
        <w:ind w:left="432"/>
      </w:pPr>
      <w:r>
        <w:rPr>
          <w:rFonts w:ascii="Calibri" w:hAnsi="Calibri"/>
          <w:color w:val="1E162B"/>
          <w:sz w:val="20"/>
        </w:rPr>
        <w:t>AI Safety Brain Backend (FastAPI + LangGraph): Responsible for all risk computation, agent orchestration, anomaly detection inference, trust scoring, and AI companion response generation. The backend is the single source of truth for the unified journey risk state.</w:t>
      </w:r>
    </w:p>
    <w:p>
      <w:pPr>
        <w:pStyle w:val="ListBullet"/>
        <w:spacing w:before="0" w:after="30" w:line="276" w:lineRule="auto"/>
        <w:ind w:left="432"/>
      </w:pPr>
      <w:r>
        <w:rPr>
          <w:rFonts w:ascii="Calibri" w:hAnsi="Calibri"/>
          <w:color w:val="1E162B"/>
          <w:sz w:val="20"/>
        </w:rPr>
        <w:t>Data Layer (PostGIS + Redis): Responsible for spatial risk persistence (H3 risk zones), community report storage, journey twin state caching, and conversation memory. The data layer is append-only for GPS and community data — no deletion during an active journey.</w:t>
      </w:r>
    </w:p>
    <w:p>
      <w:pPr>
        <w:pStyle w:val="ListBullet"/>
        <w:spacing w:before="0" w:after="30" w:line="276" w:lineRule="auto"/>
        <w:ind w:left="432"/>
      </w:pPr>
      <w:r>
        <w:rPr>
          <w:rFonts w:ascii="Calibri" w:hAnsi="Calibri"/>
          <w:color w:val="1E162B"/>
          <w:sz w:val="20"/>
        </w:rPr>
        <w:t>Notification Layer (FCM + Mock Police Webhook): Responsible for guardian push notifications and escalation dispatch. Operates asynchronously — the core safety pipeline does not block on notification delivery.</w:t>
      </w:r>
    </w:p>
    <w:p>
      <w:pPr>
        <w:pStyle w:val="ListBullet"/>
        <w:spacing w:before="0" w:after="30" w:line="276" w:lineRule="auto"/>
        <w:ind w:left="432"/>
      </w:pPr>
      <w:r>
        <w:rPr>
          <w:rFonts w:ascii="Calibri" w:hAnsi="Calibri"/>
          <w:color w:val="1E162B"/>
          <w:sz w:val="20"/>
        </w:rPr>
        <w:t>AI Provider (Google Gemini 2.5): Responsible for natural language understanding, context-grounded response generation, and structured FIR output. SafeHerAI does not rely on Gemini for safety-critical decision routing — that is handled deterministically by LangGraph. Gemini enriches the experience; LangGraph ensures correctness.</w:t>
      </w:r>
    </w:p>
    <w:p>
      <w:pPr>
        <w:spacing w:before="80" w:after="30" w:line="276" w:lineRule="auto"/>
      </w:pPr>
      <w:r>
        <w:rPr>
          <w:rFonts w:ascii="Calibri" w:hAnsi="Calibri"/>
          <w:b/>
          <w:color w:val="1E162B"/>
          <w:sz w:val="21"/>
        </w:rPr>
        <w:t>Transaction Lifecycle — Journey Safety Flow:</w:t>
      </w:r>
    </w:p>
    <w:p>
      <w:pPr>
        <w:spacing w:before="0" w:after="50" w:line="276" w:lineRule="auto"/>
      </w:pPr>
      <w:r>
        <w:rPr>
          <w:rFonts w:ascii="Calibri" w:hAnsi="Calibri"/>
          <w:color w:val="1E162B"/>
          <w:sz w:val="20"/>
        </w:rPr>
        <w:t>Journey Start → GPS stream begins → Journey Twin initialised in Redis → Isolation Forest baseline established from first 10 pings → Continuous anomaly scoring per 3-second ping → LangGraph escalation if anomaly confirmed → Parallel: Community alerts queried (PostGIS ST_DWithin) → Parallel: Gemini companion available for queries with full context → Journey End → Companion offers to generate FIR draft if distress occurred → Journey log archived.</w:t>
      </w:r>
    </w:p>
    <w:tbl>
      <w:tblPr>
        <w:tblStyle w:val="TableGrid"/>
        <w:tblW w:type="auto" w:w="0"/>
        <w:jc w:val="left"/>
        <w:tblLook w:firstColumn="1" w:firstRow="1" w:lastColumn="0" w:lastRow="0" w:noHBand="0" w:noVBand="1" w:val="04A0"/>
      </w:tblPr>
      <w:tblGrid>
        <w:gridCol w:w="9029"/>
      </w:tblGrid>
      <w:tr>
        <w:tc>
          <w:tcPr>
            <w:tcW w:type="dxa" w:w="9029"/>
            <w:shd w:val="clear" w:color="auto" w:fill="FFF1F9"/>
            <w:tcBorders>
              <w:top w:val="single" w:sz="4" w:space="0" w:color="E11D74"/>
              <w:bottom w:val="single" w:sz="4" w:space="0" w:color="E11D74"/>
              <w:left w:val="single" w:sz="4" w:space="0" w:color="E11D74"/>
              <w:right w:val="single" w:sz="4" w:space="0" w:color="E11D74"/>
            </w:tcBorders>
          </w:tcPr>
          <w:p>
            <w:pPr>
              <w:spacing w:before="40" w:after="40" w:line="276" w:lineRule="auto"/>
            </w:pPr>
            <w:r>
              <w:rPr>
                <w:rFonts w:ascii="Calibri" w:hAnsi="Calibri"/>
                <w:b/>
                <w:color w:val="E11D74"/>
                <w:sz w:val="19"/>
              </w:rPr>
              <w:t xml:space="preserve">▶  Fault Tolerance Design: </w:t>
            </w:r>
            <w:r>
              <w:rPr>
                <w:rFonts w:ascii="Calibri" w:hAnsi="Calibri"/>
                <w:color w:val="1E162B"/>
                <w:sz w:val="19"/>
              </w:rPr>
              <w:t>The safety pipeline has no single point of failure. GPS anomaly detection operates independently of community data and AI companion. If Gemini API is unavailable, the companion falls back to pre-scripted safety responses. If PostGIS is unavailable, the heatmap falls back to Redis-cached data. The LangGraph graph is the only non-redundant component and is deployed with a 99.9% uptime SLA target on Cloud Run.</w:t>
            </w:r>
          </w:p>
        </w:tc>
      </w:tr>
    </w:tbl>
    <w:p/>
    <w:p/>
    <w:p>
      <w:pPr>
        <w:spacing w:before="120" w:after="40" w:line="276" w:lineRule="auto"/>
      </w:pPr>
      <w:r>
        <w:rPr>
          <w:rFonts w:ascii="Calibri" w:hAnsi="Calibri"/>
          <w:b/>
          <w:color w:val="7C3AED"/>
          <w:sz w:val="23"/>
        </w:rPr>
        <w:t>4.2  Scalability &amp; Performance Considerations</w:t>
      </w:r>
    </w:p>
    <w:p>
      <w:pPr>
        <w:spacing w:before="80" w:after="30" w:line="276" w:lineRule="auto"/>
      </w:pPr>
      <w:r>
        <w:rPr>
          <w:rFonts w:ascii="Calibri" w:hAnsi="Calibri"/>
          <w:b/>
          <w:color w:val="1E162B"/>
          <w:sz w:val="21"/>
        </w:rPr>
        <w:t>Horizontal Scalability:</w:t>
      </w:r>
    </w:p>
    <w:p>
      <w:pPr>
        <w:pStyle w:val="ListBullet"/>
        <w:spacing w:before="0" w:after="30" w:line="276" w:lineRule="auto"/>
        <w:ind w:left="432"/>
      </w:pPr>
      <w:r>
        <w:rPr>
          <w:rFonts w:ascii="Calibri" w:hAnsi="Calibri"/>
          <w:color w:val="1E162B"/>
          <w:sz w:val="20"/>
        </w:rPr>
        <w:t>FastAPI on Cloud Run scales from 0 to 1,000 concurrent instances automatically. Each instance handles GPS WebSocket connections independently — no shared state except Redis. This enables SafeHerAI to scale from a 50-user pilot to 1 million concurrent journeys with zero architectural changes.</w:t>
      </w:r>
    </w:p>
    <w:p>
      <w:pPr>
        <w:pStyle w:val="ListBullet"/>
        <w:spacing w:before="0" w:after="30" w:line="276" w:lineRule="auto"/>
        <w:ind w:left="432"/>
      </w:pPr>
      <w:r>
        <w:rPr>
          <w:rFonts w:ascii="Calibri" w:hAnsi="Calibri"/>
          <w:color w:val="1E162B"/>
          <w:sz w:val="20"/>
        </w:rPr>
        <w:t>PostGIS with H3 spatial indexing: The heatmap materialised view pre-computes risk scores offline. Dashboard queries hit the materialised view (&lt; 50ms) rather than running live XGBoost inference per request. Adding a new city requires only seeding its H3 grid — no code change.</w:t>
      </w:r>
    </w:p>
    <w:p>
      <w:pPr>
        <w:pStyle w:val="ListBullet"/>
        <w:spacing w:before="0" w:after="30" w:line="276" w:lineRule="auto"/>
        <w:ind w:left="432"/>
      </w:pPr>
      <w:r>
        <w:rPr>
          <w:rFonts w:ascii="Calibri" w:hAnsi="Calibri"/>
          <w:color w:val="1E162B"/>
          <w:sz w:val="20"/>
        </w:rPr>
        <w:t>LangGraph agent graph: Stateless agent execution; each journey's LangGraph instance is independent. 1 million concurrent journeys = 1 million independent LangGraph instances in Redis-backed state.</w:t>
      </w:r>
    </w:p>
    <w:p>
      <w:pPr>
        <w:pStyle w:val="ListBullet"/>
        <w:spacing w:before="0" w:after="30" w:line="276" w:lineRule="auto"/>
        <w:ind w:left="432"/>
      </w:pPr>
      <w:r>
        <w:rPr>
          <w:rFonts w:ascii="Calibri" w:hAnsi="Calibri"/>
          <w:color w:val="1E162B"/>
          <w:sz w:val="20"/>
        </w:rPr>
        <w:t>Gemini API: Scales through Google's managed infrastructure. SafeHerAI uses request queuing to stay within rate limits; the multi-turn conversation memory keeps context within the model's 1M token window.</w:t>
      </w:r>
    </w:p>
    <w:p>
      <w:pPr>
        <w:spacing w:before="80" w:after="30" w:line="276" w:lineRule="auto"/>
      </w:pPr>
      <w:r>
        <w:rPr>
          <w:rFonts w:ascii="Calibri" w:hAnsi="Calibri"/>
          <w:b/>
          <w:color w:val="1E162B"/>
          <w:sz w:val="21"/>
        </w:rPr>
        <w:t>Device Compatibility:</w:t>
      </w:r>
    </w:p>
    <w:p>
      <w:pPr>
        <w:pStyle w:val="ListBullet"/>
        <w:spacing w:before="0" w:after="30" w:line="276" w:lineRule="auto"/>
        <w:ind w:left="432"/>
      </w:pPr>
      <w:r>
        <w:rPr>
          <w:rFonts w:ascii="Calibri" w:hAnsi="Calibri"/>
          <w:color w:val="1E162B"/>
          <w:sz w:val="20"/>
        </w:rPr>
        <w:t>Mobile: Android 8.0+ (API 26+); iOS 14+ (post-pilot). Target device: mid-range Android (8 GB RAM, Snapdragon 680 class). GPS streaming and WebSocket operate smoothly on 4G and above.</w:t>
      </w:r>
    </w:p>
    <w:p>
      <w:pPr>
        <w:pStyle w:val="ListBullet"/>
        <w:spacing w:before="0" w:after="30" w:line="276" w:lineRule="auto"/>
        <w:ind w:left="432"/>
      </w:pPr>
      <w:r>
        <w:rPr>
          <w:rFonts w:ascii="Calibri" w:hAnsi="Calibri"/>
          <w:color w:val="1E162B"/>
          <w:sz w:val="20"/>
        </w:rPr>
        <w:t>Web Dashboard: Chrome, Firefox, Edge, Safari — all supporting WebGL (required for deck.gl HeatmapLayer). No plugin required.</w:t>
      </w:r>
    </w:p>
    <w:p>
      <w:pPr>
        <w:spacing w:before="80" w:after="30" w:line="276" w:lineRule="auto"/>
      </w:pPr>
      <w:r>
        <w:rPr>
          <w:rFonts w:ascii="Calibri" w:hAnsi="Calibri"/>
          <w:b/>
          <w:color w:val="1E162B"/>
          <w:sz w:val="21"/>
        </w:rPr>
        <w:t>Network Resilience:</w:t>
      </w:r>
    </w:p>
    <w:p>
      <w:pPr>
        <w:pStyle w:val="ListBullet"/>
        <w:spacing w:before="0" w:after="30" w:line="276" w:lineRule="auto"/>
        <w:ind w:left="432"/>
      </w:pPr>
      <w:r>
        <w:rPr>
          <w:rFonts w:ascii="Calibri" w:hAnsi="Calibri"/>
          <w:color w:val="1E162B"/>
          <w:sz w:val="20"/>
        </w:rPr>
        <w:t>The Flutter app implements offline-first GPS buffering: GPS pings are stored locally if WebSocket disconnects, then bulk-replayed on reconnection with timestamps preserved. The journey twin reconstructs the correct trajectory from buffered data.</w:t>
      </w:r>
    </w:p>
    <w:p>
      <w:pPr>
        <w:pStyle w:val="ListBullet"/>
        <w:spacing w:before="0" w:after="30" w:line="276" w:lineRule="auto"/>
        <w:ind w:left="432"/>
      </w:pPr>
      <w:r>
        <w:rPr>
          <w:rFonts w:ascii="Calibri" w:hAnsi="Calibri"/>
          <w:color w:val="1E162B"/>
          <w:sz w:val="20"/>
        </w:rPr>
        <w:t>Community report submission uses optimistic UI — the report appears locally immediately while trust scoring runs asynchronously in the background.</w:t>
      </w:r>
    </w:p>
    <w:p>
      <w:pPr>
        <w:pStyle w:val="ListBullet"/>
        <w:spacing w:before="0" w:after="30" w:line="276" w:lineRule="auto"/>
        <w:ind w:left="432"/>
      </w:pPr>
      <w:r>
        <w:rPr>
          <w:rFonts w:ascii="Calibri" w:hAnsi="Calibri"/>
          <w:color w:val="1E162B"/>
          <w:sz w:val="20"/>
        </w:rPr>
        <w:t>The AI companion's sliding-window memory means conversations resume seamlessly after connectivity loss.</w:t>
      </w:r>
    </w:p>
    <w:p/>
    <w:p>
      <w:pPr>
        <w:spacing w:before="120" w:after="40" w:line="276" w:lineRule="auto"/>
      </w:pPr>
      <w:r>
        <w:rPr>
          <w:rFonts w:ascii="Calibri" w:hAnsi="Calibri"/>
          <w:b/>
          <w:color w:val="7C3AED"/>
          <w:sz w:val="23"/>
        </w:rPr>
        <w:t>4.3  Sustainability &amp; Future Roadmap</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40" w:after="40" w:line="276" w:lineRule="auto"/>
            </w:pPr>
            <w:r>
              <w:rPr>
                <w:rFonts w:ascii="Calibri" w:hAnsi="Calibri"/>
                <w:b/>
                <w:color w:val="FFFFFF"/>
                <w:sz w:val="18"/>
              </w:rPr>
              <w:t>Phase</w:t>
            </w:r>
          </w:p>
        </w:tc>
        <w:tc>
          <w:tcPr>
            <w:tcW w:type="dxa" w:w="3010"/>
            <w:shd w:val="clear" w:color="auto" w:fill="1E162B"/>
          </w:tcPr>
          <w:p>
            <w:pPr>
              <w:spacing w:before="40" w:after="40" w:line="276" w:lineRule="auto"/>
            </w:pPr>
            <w:r>
              <w:rPr>
                <w:rFonts w:ascii="Calibri" w:hAnsi="Calibri"/>
                <w:b/>
                <w:color w:val="FFFFFF"/>
                <w:sz w:val="18"/>
              </w:rPr>
              <w:t>Timeline</w:t>
            </w:r>
          </w:p>
        </w:tc>
        <w:tc>
          <w:tcPr>
            <w:tcW w:type="dxa" w:w="3010"/>
            <w:shd w:val="clear" w:color="auto" w:fill="1E162B"/>
          </w:tcPr>
          <w:p>
            <w:pPr>
              <w:spacing w:before="40" w:after="40" w:line="276" w:lineRule="auto"/>
            </w:pPr>
            <w:r>
              <w:rPr>
                <w:rFonts w:ascii="Calibri" w:hAnsi="Calibri"/>
                <w:b/>
                <w:color w:val="FFFFFF"/>
                <w:sz w:val="18"/>
              </w:rPr>
              <w:t>Goal</w:t>
            </w:r>
          </w:p>
        </w:tc>
      </w:tr>
      <w:tr>
        <w:tc>
          <w:tcPr>
            <w:tcW w:type="dxa" w:w="3010"/>
            <w:shd w:val="clear" w:color="auto" w:fill="F9F5FF"/>
          </w:tcPr>
          <w:p>
            <w:pPr>
              <w:spacing w:before="30" w:after="30" w:line="276" w:lineRule="auto"/>
            </w:pPr>
            <w:r>
              <w:rPr>
                <w:rFonts w:ascii="Calibri" w:hAnsi="Calibri"/>
                <w:color w:val="1E162B"/>
                <w:sz w:val="18"/>
              </w:rPr>
              <w:t>Pilot (Current)</w:t>
            </w:r>
          </w:p>
        </w:tc>
        <w:tc>
          <w:tcPr>
            <w:tcW w:type="dxa" w:w="3010"/>
            <w:shd w:val="clear" w:color="auto" w:fill="F9F5FF"/>
          </w:tcPr>
          <w:p>
            <w:pPr>
              <w:spacing w:before="30" w:after="30" w:line="276" w:lineRule="auto"/>
            </w:pPr>
            <w:r>
              <w:rPr>
                <w:rFonts w:ascii="Calibri" w:hAnsi="Calibri"/>
                <w:color w:val="1E162B"/>
                <w:sz w:val="18"/>
              </w:rPr>
              <w:t>0–90 days</w:t>
            </w:r>
          </w:p>
        </w:tc>
        <w:tc>
          <w:tcPr>
            <w:tcW w:type="dxa" w:w="3010"/>
            <w:shd w:val="clear" w:color="auto" w:fill="F9F5FF"/>
          </w:tcPr>
          <w:p>
            <w:pPr>
              <w:spacing w:before="30" w:after="30" w:line="276" w:lineRule="auto"/>
            </w:pPr>
            <w:r>
              <w:rPr>
                <w:rFonts w:ascii="Calibri" w:hAnsi="Calibri"/>
                <w:color w:val="1E162B"/>
                <w:sz w:val="18"/>
              </w:rPr>
              <w:t>Hyderabad POC; 5 tracks functional; 50-user study; all OKRs measured.</w:t>
            </w:r>
          </w:p>
        </w:tc>
      </w:tr>
      <w:tr>
        <w:tc>
          <w:tcPr>
            <w:tcW w:type="dxa" w:w="3010"/>
            <w:shd w:val="clear" w:color="auto" w:fill="FFFFFF"/>
          </w:tcPr>
          <w:p>
            <w:pPr>
              <w:spacing w:before="30" w:after="30" w:line="276" w:lineRule="auto"/>
            </w:pPr>
            <w:r>
              <w:rPr>
                <w:rFonts w:ascii="Calibri" w:hAnsi="Calibri"/>
                <w:color w:val="1E162B"/>
                <w:sz w:val="18"/>
              </w:rPr>
              <w:t>City Expansion</w:t>
            </w:r>
          </w:p>
        </w:tc>
        <w:tc>
          <w:tcPr>
            <w:tcW w:type="dxa" w:w="3010"/>
            <w:shd w:val="clear" w:color="auto" w:fill="FFFFFF"/>
          </w:tcPr>
          <w:p>
            <w:pPr>
              <w:spacing w:before="30" w:after="30" w:line="276" w:lineRule="auto"/>
            </w:pPr>
            <w:r>
              <w:rPr>
                <w:rFonts w:ascii="Calibri" w:hAnsi="Calibri"/>
                <w:color w:val="1E162B"/>
                <w:sz w:val="18"/>
              </w:rPr>
              <w:t>6–12 months</w:t>
            </w:r>
          </w:p>
        </w:tc>
        <w:tc>
          <w:tcPr>
            <w:tcW w:type="dxa" w:w="3010"/>
            <w:shd w:val="clear" w:color="auto" w:fill="FFFFFF"/>
          </w:tcPr>
          <w:p>
            <w:pPr>
              <w:spacing w:before="30" w:after="30" w:line="276" w:lineRule="auto"/>
            </w:pPr>
            <w:r>
              <w:rPr>
                <w:rFonts w:ascii="Calibri" w:hAnsi="Calibri"/>
                <w:color w:val="1E162B"/>
                <w:sz w:val="18"/>
              </w:rPr>
              <w:t>Extend H3 grid to Delhi, Mumbai, Bengaluru using NCRB + OSM data for each city. No code change required — data pipeline is city-agnostic.</w:t>
            </w:r>
          </w:p>
        </w:tc>
      </w:tr>
      <w:tr>
        <w:tc>
          <w:tcPr>
            <w:tcW w:type="dxa" w:w="3010"/>
            <w:shd w:val="clear" w:color="auto" w:fill="F9F5FF"/>
          </w:tcPr>
          <w:p>
            <w:pPr>
              <w:spacing w:before="30" w:after="30" w:line="276" w:lineRule="auto"/>
            </w:pPr>
            <w:r>
              <w:rPr>
                <w:rFonts w:ascii="Calibri" w:hAnsi="Calibri"/>
                <w:color w:val="1E162B"/>
                <w:sz w:val="18"/>
              </w:rPr>
              <w:t>SDK Integration</w:t>
            </w:r>
          </w:p>
        </w:tc>
        <w:tc>
          <w:tcPr>
            <w:tcW w:type="dxa" w:w="3010"/>
            <w:shd w:val="clear" w:color="auto" w:fill="F9F5FF"/>
          </w:tcPr>
          <w:p>
            <w:pPr>
              <w:spacing w:before="30" w:after="30" w:line="276" w:lineRule="auto"/>
            </w:pPr>
            <w:r>
              <w:rPr>
                <w:rFonts w:ascii="Calibri" w:hAnsi="Calibri"/>
                <w:color w:val="1E162B"/>
                <w:sz w:val="18"/>
              </w:rPr>
              <w:t>9–18 months</w:t>
            </w:r>
          </w:p>
        </w:tc>
        <w:tc>
          <w:tcPr>
            <w:tcW w:type="dxa" w:w="3010"/>
            <w:shd w:val="clear" w:color="auto" w:fill="F9F5FF"/>
          </w:tcPr>
          <w:p>
            <w:pPr>
              <w:spacing w:before="30" w:after="30" w:line="276" w:lineRule="auto"/>
            </w:pPr>
            <w:r>
              <w:rPr>
                <w:rFonts w:ascii="Calibri" w:hAnsi="Calibri"/>
                <w:color w:val="1E162B"/>
                <w:sz w:val="18"/>
              </w:rPr>
              <w:t>White-label Track 2 (Journey Twin) SDK for Ola, Rapido, and Tier-2 ride-hailing platforms. Productise as SafeRide API.</w:t>
            </w:r>
          </w:p>
        </w:tc>
      </w:tr>
      <w:tr>
        <w:tc>
          <w:tcPr>
            <w:tcW w:type="dxa" w:w="3010"/>
            <w:shd w:val="clear" w:color="auto" w:fill="FFFFFF"/>
          </w:tcPr>
          <w:p>
            <w:pPr>
              <w:spacing w:before="30" w:after="30" w:line="276" w:lineRule="auto"/>
            </w:pPr>
            <w:r>
              <w:rPr>
                <w:rFonts w:ascii="Calibri" w:hAnsi="Calibri"/>
                <w:color w:val="1E162B"/>
                <w:sz w:val="18"/>
              </w:rPr>
              <w:t>Hardware Partnership</w:t>
            </w:r>
          </w:p>
        </w:tc>
        <w:tc>
          <w:tcPr>
            <w:tcW w:type="dxa" w:w="3010"/>
            <w:shd w:val="clear" w:color="auto" w:fill="FFFFFF"/>
          </w:tcPr>
          <w:p>
            <w:pPr>
              <w:spacing w:before="30" w:after="30" w:line="276" w:lineRule="auto"/>
            </w:pPr>
            <w:r>
              <w:rPr>
                <w:rFonts w:ascii="Calibri" w:hAnsi="Calibri"/>
                <w:color w:val="1E162B"/>
                <w:sz w:val="18"/>
              </w:rPr>
              <w:t>12–24 months</w:t>
            </w:r>
          </w:p>
        </w:tc>
        <w:tc>
          <w:tcPr>
            <w:tcW w:type="dxa" w:w="3010"/>
            <w:shd w:val="clear" w:color="auto" w:fill="FFFFFF"/>
          </w:tcPr>
          <w:p>
            <w:pPr>
              <w:spacing w:before="30" w:after="30" w:line="276" w:lineRule="auto"/>
            </w:pPr>
            <w:r>
              <w:rPr>
                <w:rFonts w:ascii="Calibri" w:hAnsi="Calibri"/>
                <w:color w:val="1E162B"/>
                <w:sz w:val="18"/>
              </w:rPr>
              <w:t>Partner with Indian wearable manufacturer (Noise, boAt) to ship SafeHerAI-integrated SafeBand — making Track 3 a live physiological stream rather than simulation.</w:t>
            </w:r>
          </w:p>
        </w:tc>
      </w:tr>
      <w:tr>
        <w:tc>
          <w:tcPr>
            <w:tcW w:type="dxa" w:w="3010"/>
            <w:shd w:val="clear" w:color="auto" w:fill="F9F5FF"/>
          </w:tcPr>
          <w:p>
            <w:pPr>
              <w:spacing w:before="30" w:after="30" w:line="276" w:lineRule="auto"/>
            </w:pPr>
            <w:r>
              <w:rPr>
                <w:rFonts w:ascii="Calibri" w:hAnsi="Calibri"/>
                <w:color w:val="1E162B"/>
                <w:sz w:val="18"/>
              </w:rPr>
              <w:t>Government Integration</w:t>
            </w:r>
          </w:p>
        </w:tc>
        <w:tc>
          <w:tcPr>
            <w:tcW w:type="dxa" w:w="3010"/>
            <w:shd w:val="clear" w:color="auto" w:fill="F9F5FF"/>
          </w:tcPr>
          <w:p>
            <w:pPr>
              <w:spacing w:before="30" w:after="30" w:line="276" w:lineRule="auto"/>
            </w:pPr>
            <w:r>
              <w:rPr>
                <w:rFonts w:ascii="Calibri" w:hAnsi="Calibri"/>
                <w:color w:val="1E162B"/>
                <w:sz w:val="18"/>
              </w:rPr>
              <w:t>18–36 months</w:t>
            </w:r>
          </w:p>
        </w:tc>
        <w:tc>
          <w:tcPr>
            <w:tcW w:type="dxa" w:w="3010"/>
            <w:shd w:val="clear" w:color="auto" w:fill="F9F5FF"/>
          </w:tcPr>
          <w:p>
            <w:pPr>
              <w:spacing w:before="30" w:after="30" w:line="276" w:lineRule="auto"/>
            </w:pPr>
            <w:r>
              <w:rPr>
                <w:rFonts w:ascii="Calibri" w:hAnsi="Calibri"/>
                <w:color w:val="1E162B"/>
                <w:sz w:val="18"/>
              </w:rPr>
              <w:t>Formal integration with Telangana Police CCTNS for crime data ingestion; HMRL (Hyderabad Metro) for safe-haven station network; Smart City Mission for heatmap API sharing.</w:t>
            </w:r>
          </w:p>
        </w:tc>
      </w:tr>
      <w:tr>
        <w:tc>
          <w:tcPr>
            <w:tcW w:type="dxa" w:w="3010"/>
            <w:shd w:val="clear" w:color="auto" w:fill="FFFFFF"/>
          </w:tcPr>
          <w:p>
            <w:pPr>
              <w:spacing w:before="30" w:after="30" w:line="276" w:lineRule="auto"/>
            </w:pPr>
            <w:r>
              <w:rPr>
                <w:rFonts w:ascii="Calibri" w:hAnsi="Calibri"/>
                <w:color w:val="1E162B"/>
                <w:sz w:val="18"/>
              </w:rPr>
              <w:t>National Scale</w:t>
            </w:r>
          </w:p>
        </w:tc>
        <w:tc>
          <w:tcPr>
            <w:tcW w:type="dxa" w:w="3010"/>
            <w:shd w:val="clear" w:color="auto" w:fill="FFFFFF"/>
          </w:tcPr>
          <w:p>
            <w:pPr>
              <w:spacing w:before="30" w:after="30" w:line="276" w:lineRule="auto"/>
            </w:pPr>
            <w:r>
              <w:rPr>
                <w:rFonts w:ascii="Calibri" w:hAnsi="Calibri"/>
                <w:color w:val="1E162B"/>
                <w:sz w:val="18"/>
              </w:rPr>
              <w:t>36+ months</w:t>
            </w:r>
          </w:p>
        </w:tc>
        <w:tc>
          <w:tcPr>
            <w:tcW w:type="dxa" w:w="3010"/>
            <w:shd w:val="clear" w:color="auto" w:fill="FFFFFF"/>
          </w:tcPr>
          <w:p>
            <w:pPr>
              <w:spacing w:before="30" w:after="30" w:line="276" w:lineRule="auto"/>
            </w:pPr>
            <w:r>
              <w:rPr>
                <w:rFonts w:ascii="Calibri" w:hAnsi="Calibri"/>
                <w:color w:val="1E162B"/>
                <w:sz w:val="18"/>
              </w:rPr>
              <w:t>Pan-India deployment; SafeHerAI API as a public safety infrastructure layer; potential NPCI-style open safety data standard for Indian cities.</w:t>
            </w:r>
          </w:p>
        </w:tc>
      </w:tr>
    </w:tbl>
    <w:p/>
    <w:p>
      <w:pPr>
        <w:spacing w:before="80" w:after="30" w:line="276" w:lineRule="auto"/>
      </w:pPr>
      <w:r>
        <w:rPr>
          <w:rFonts w:ascii="Calibri" w:hAnsi="Calibri"/>
          <w:b/>
          <w:color w:val="1E162B"/>
          <w:sz w:val="21"/>
        </w:rPr>
        <w:t>Model Maintenance:</w:t>
      </w:r>
    </w:p>
    <w:p>
      <w:pPr>
        <w:pStyle w:val="ListBullet"/>
        <w:spacing w:before="0" w:after="30" w:line="276" w:lineRule="auto"/>
        <w:ind w:left="432"/>
      </w:pPr>
      <w:r>
        <w:rPr>
          <w:rFonts w:ascii="Calibri" w:hAnsi="Calibri"/>
          <w:color w:val="1E162B"/>
          <w:sz w:val="20"/>
        </w:rPr>
        <w:t>XGBoost Risk Model: Retrained quarterly as NCRB data is updated annually and community reports accumulate. The H3 spatial index makes retraining incremental — only cells with new data are re-scored.</w:t>
      </w:r>
    </w:p>
    <w:p>
      <w:pPr>
        <w:pStyle w:val="ListBullet"/>
        <w:spacing w:before="0" w:after="30" w:line="276" w:lineRule="auto"/>
        <w:ind w:left="432"/>
      </w:pPr>
      <w:r>
        <w:rPr>
          <w:rFonts w:ascii="Calibri" w:hAnsi="Calibri"/>
          <w:color w:val="1E162B"/>
          <w:sz w:val="20"/>
        </w:rPr>
        <w:t>Isolation Forest (Journey Twin): Updated monthly with new GPS trajectory data from opted-in users. The unsupervised model continuously improves its anomaly baseline as more journeys are recorded.</w:t>
      </w:r>
    </w:p>
    <w:p>
      <w:pPr>
        <w:pStyle w:val="ListBullet"/>
        <w:spacing w:before="0" w:after="30" w:line="276" w:lineRule="auto"/>
        <w:ind w:left="432"/>
      </w:pPr>
      <w:r>
        <w:rPr>
          <w:rFonts w:ascii="Calibri" w:hAnsi="Calibri"/>
          <w:color w:val="1E162B"/>
          <w:sz w:val="20"/>
        </w:rPr>
        <w:t>Random Forest Trust Model: Retrained as the community report corpus grows. Feedback loop: police-verified vs. false reports label the training data automatically.</w:t>
      </w:r>
    </w:p>
    <w:p>
      <w:pPr>
        <w:pStyle w:val="ListBullet"/>
        <w:spacing w:before="0" w:after="30" w:line="276" w:lineRule="auto"/>
        <w:ind w:left="432"/>
      </w:pPr>
      <w:r>
        <w:rPr>
          <w:rFonts w:ascii="Calibri" w:hAnsi="Calibri"/>
          <w:color w:val="1E162B"/>
          <w:sz w:val="20"/>
        </w:rPr>
        <w:t>Gemini Models: Updated automatically by Google — SafeHerAI's system prompt and context injection architecture is model-agnostic and will work with Gemini 3.x when released.</w:t>
      </w:r>
    </w:p>
    <w:p/>
    <w:p>
      <w:pPr>
        <w:spacing w:before="120" w:after="40" w:line="276" w:lineRule="auto"/>
      </w:pPr>
      <w:r>
        <w:rPr>
          <w:rFonts w:ascii="Calibri" w:hAnsi="Calibri"/>
          <w:b/>
          <w:color w:val="7C3AED"/>
          <w:sz w:val="23"/>
        </w:rPr>
        <w:t>4.4  Public Value &amp; Inclusion Potential</w:t>
      </w:r>
    </w:p>
    <w:p>
      <w:pPr>
        <w:spacing w:before="0" w:after="50" w:line="276" w:lineRule="auto"/>
      </w:pPr>
      <w:r>
        <w:rPr>
          <w:rFonts w:ascii="Calibri" w:hAnsi="Calibri"/>
          <w:color w:val="1E162B"/>
          <w:sz w:val="20"/>
        </w:rPr>
        <w:t>SafeHerAI is designed to be as accessible as the problem it solves — which means working for women in underserved communities, not just premium smartphone users.</w:t>
      </w:r>
    </w:p>
    <w:p>
      <w:pPr>
        <w:spacing w:before="80" w:after="30" w:line="276" w:lineRule="auto"/>
      </w:pPr>
      <w:r>
        <w:rPr>
          <w:rFonts w:ascii="Calibri" w:hAnsi="Calibri"/>
          <w:b/>
          <w:color w:val="1E162B"/>
          <w:sz w:val="21"/>
        </w:rPr>
        <w:t>Demographic Inclusion:</w:t>
      </w:r>
    </w:p>
    <w:p>
      <w:pPr>
        <w:pStyle w:val="ListBullet"/>
        <w:spacing w:before="0" w:after="30" w:line="276" w:lineRule="auto"/>
        <w:ind w:left="432"/>
      </w:pPr>
      <w:r>
        <w:rPr>
          <w:rFonts w:ascii="Calibri" w:hAnsi="Calibri"/>
          <w:color w:val="1E162B"/>
          <w:sz w:val="20"/>
        </w:rPr>
        <w:t>Budget Device Support: The Flutter app targets Android 8.0+ (covering 97% of active Android devices in India as of 2025). GPS streaming operates on 512 MB RAM devices. The UI avoids animations and heavy graphics on the mobile app — the intelligence lives in the backend, not the device.</w:t>
      </w:r>
    </w:p>
    <w:p>
      <w:pPr>
        <w:pStyle w:val="ListBullet"/>
        <w:spacing w:before="0" w:after="30" w:line="276" w:lineRule="auto"/>
        <w:ind w:left="432"/>
      </w:pPr>
      <w:r>
        <w:rPr>
          <w:rFonts w:ascii="Calibri" w:hAnsi="Calibri"/>
          <w:color w:val="1E162B"/>
          <w:sz w:val="20"/>
        </w:rPr>
        <w:t>Low-Connectivity Scenarios: Offline-first GPS buffering means SafeHerAI functions in areas with intermittent 2G/3G connectivity. The companion falls back to pre-scripted safety scripts when the Gemini API is unreachable.</w:t>
      </w:r>
    </w:p>
    <w:p>
      <w:pPr>
        <w:pStyle w:val="ListBullet"/>
        <w:spacing w:before="0" w:after="30" w:line="276" w:lineRule="auto"/>
        <w:ind w:left="432"/>
      </w:pPr>
      <w:r>
        <w:rPr>
          <w:rFonts w:ascii="Calibri" w:hAnsi="Calibri"/>
          <w:color w:val="1E162B"/>
          <w:sz w:val="20"/>
        </w:rPr>
        <w:t>Linguistic Accessibility: Gemini 2.5 Flash supports all 22 scheduled Indian languages. The companion system prompt is designed to respond in the language the user writes in — enabling local-language support without additional engineering.</w:t>
      </w:r>
    </w:p>
    <w:p>
      <w:pPr>
        <w:pStyle w:val="ListBullet"/>
        <w:spacing w:before="0" w:after="30" w:line="276" w:lineRule="auto"/>
        <w:ind w:left="432"/>
      </w:pPr>
      <w:r>
        <w:rPr>
          <w:rFonts w:ascii="Calibri" w:hAnsi="Calibri"/>
          <w:color w:val="1E162B"/>
          <w:sz w:val="20"/>
        </w:rPr>
        <w:t>Low-Literacy Interface: The Flutter app's SOS dispatch is a single large button. The risk level is communicated through colour (green/orange/red) and simple icons — not text. The AI companion speaks conversationally, not technically.</w:t>
      </w:r>
    </w:p>
    <w:p>
      <w:pPr>
        <w:spacing w:before="80" w:after="30" w:line="276" w:lineRule="auto"/>
      </w:pPr>
      <w:r>
        <w:rPr>
          <w:rFonts w:ascii="Calibri" w:hAnsi="Calibri"/>
          <w:b/>
          <w:color w:val="1E162B"/>
          <w:sz w:val="21"/>
        </w:rPr>
        <w:t>Societal Impact:</w:t>
      </w:r>
    </w:p>
    <w:p>
      <w:pPr>
        <w:pStyle w:val="ListBullet"/>
        <w:spacing w:before="0" w:after="30" w:line="276" w:lineRule="auto"/>
        <w:ind w:left="432"/>
      </w:pPr>
      <w:r>
        <w:rPr>
          <w:rFonts w:ascii="Calibri" w:hAnsi="Calibri"/>
          <w:color w:val="1E162B"/>
          <w:sz w:val="20"/>
        </w:rPr>
        <w:t>Underreporting Reduction: The companion's grievance engine reduces the psychological and procedural barrier to filing a complaint. If only 1% of the estimated 88% underreported harassment incidents in India were captured through SafeHerAI's FIR assist, that would represent over 380,000 additional documented cases annually — fundamentally changing the NCRB data landscape.</w:t>
      </w:r>
    </w:p>
    <w:p>
      <w:pPr>
        <w:pStyle w:val="ListBullet"/>
        <w:spacing w:before="0" w:after="30" w:line="276" w:lineRule="auto"/>
        <w:ind w:left="432"/>
      </w:pPr>
      <w:r>
        <w:rPr>
          <w:rFonts w:ascii="Calibri" w:hAnsi="Calibri"/>
          <w:color w:val="1E162B"/>
          <w:sz w:val="20"/>
        </w:rPr>
        <w:t>Community Safety Network Effect: Every community report makes the risk heatmap more accurate for every other user. This creates a positive safety externality — unlike a panic button, which only benefits the individual user. 10,000 active users generate data that makes the city safer for all 100 million women in the coverage area.</w:t>
      </w:r>
    </w:p>
    <w:p>
      <w:pPr>
        <w:pStyle w:val="ListBullet"/>
        <w:spacing w:before="0" w:after="30" w:line="276" w:lineRule="auto"/>
        <w:ind w:left="432"/>
      </w:pPr>
      <w:r>
        <w:rPr>
          <w:rFonts w:ascii="Calibri" w:hAnsi="Calibri"/>
          <w:color w:val="1E162B"/>
          <w:sz w:val="20"/>
        </w:rPr>
        <w:t>Evidence-Based Urban Planning: The anonymised, aggregated heatmap data is a governance asset. City corporations, metro rail authorities, and police departments can use SafeHerAI's spatial safety API to prioritise CCTV installation, lighting upgrades, and patrolling — replacing ad hoc decisions with data-driven policy.</w:t>
      </w:r>
    </w:p>
    <w:p>
      <w:pPr>
        <w:pStyle w:val="ListBullet"/>
        <w:spacing w:before="0" w:after="30" w:line="276" w:lineRule="auto"/>
        <w:ind w:left="432"/>
      </w:pPr>
      <w:r>
        <w:rPr>
          <w:rFonts w:ascii="Calibri" w:hAnsi="Calibri"/>
          <w:color w:val="1E162B"/>
          <w:sz w:val="20"/>
        </w:rPr>
        <w:t>Ride-Hailing Platform Accountability: Integration of Track 2 into ride-hailing apps creates an independent, tamper-proof record of driver behaviour that exists outside the platform's control. This addresses the well-documented gap in platform accountability under India's aggregator liability framework.</w:t>
      </w:r>
    </w:p>
    <w:tbl>
      <w:tblPr>
        <w:tblStyle w:val="TableGrid"/>
        <w:tblW w:type="auto" w:w="0"/>
        <w:jc w:val="left"/>
        <w:tblLook w:firstColumn="1" w:firstRow="1" w:lastColumn="0" w:lastRow="0" w:noHBand="0" w:noVBand="1" w:val="04A0"/>
      </w:tblPr>
      <w:tblGrid>
        <w:gridCol w:w="9029"/>
      </w:tblGrid>
      <w:tr>
        <w:tc>
          <w:tcPr>
            <w:tcW w:type="dxa" w:w="9029"/>
            <w:shd w:val="clear" w:color="auto" w:fill="FFF1F9"/>
            <w:tcBorders>
              <w:top w:val="single" w:sz="4" w:space="0" w:color="E11D74"/>
              <w:bottom w:val="single" w:sz="4" w:space="0" w:color="E11D74"/>
              <w:left w:val="single" w:sz="4" w:space="0" w:color="E11D74"/>
              <w:right w:val="single" w:sz="4" w:space="0" w:color="E11D74"/>
            </w:tcBorders>
          </w:tcPr>
          <w:p>
            <w:pPr>
              <w:spacing w:before="40" w:after="40" w:line="276" w:lineRule="auto"/>
            </w:pPr>
            <w:r>
              <w:rPr>
                <w:rFonts w:ascii="Calibri" w:hAnsi="Calibri"/>
                <w:b/>
                <w:color w:val="E11D74"/>
                <w:sz w:val="19"/>
              </w:rPr>
              <w:t xml:space="preserve">▶  Network Effect Summary: </w:t>
            </w:r>
            <w:r>
              <w:rPr>
                <w:rFonts w:ascii="Calibri" w:hAnsi="Calibri"/>
                <w:color w:val="1E162B"/>
                <w:sz w:val="19"/>
              </w:rPr>
              <w:t>SafeHerAI is not building a feature — it is building safety infrastructure. The platform's value compounds with every user, every report, and every journey. Unlike a consumer app, the data it generates is a public good that outlasts individual interactions.</w:t>
            </w:r>
          </w:p>
        </w:tc>
      </w:tr>
    </w:tbl>
    <w:p/>
    <w:p>
      <w:r>
        <w:br w:type="page"/>
      </w:r>
    </w:p>
    <w:p>
      <w:pPr>
        <w:spacing w:before="180" w:after="80" w:line="276" w:lineRule="auto"/>
        <w:pBdr>
          <w:left w:val="single" w:sz="24" w:space="4" w:color="E11D74"/>
        </w:pBdr>
      </w:pPr>
      <w:r>
        <w:rPr>
          <w:rFonts w:ascii="Calibri" w:hAnsi="Calibri"/>
          <w:b/>
          <w:color w:val="E11D74"/>
          <w:sz w:val="28"/>
        </w:rPr>
        <w:t>5.  Innovation Differentiators — Why SafeHerAI is Different</w:t>
      </w:r>
    </w:p>
    <w:p>
      <w:pPr>
        <w:spacing w:before="0" w:after="50" w:line="276" w:lineRule="auto"/>
      </w:pPr>
      <w:r>
        <w:rPr>
          <w:rFonts w:ascii="Calibri" w:hAnsi="Calibri"/>
          <w:color w:val="1E162B"/>
          <w:sz w:val="20"/>
        </w:rPr>
        <w:t>The Indian women's safety app landscape includes Himmat+ (Delhi Police), iGoSafe, bSafe, Raksha, and numerous campus-specific apps. SafeHerAI is not competing in this space — it is redefining it. The following differentiators explain why:</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40" w:after="40" w:line="276" w:lineRule="auto"/>
            </w:pPr>
            <w:r>
              <w:rPr>
                <w:rFonts w:ascii="Calibri" w:hAnsi="Calibri"/>
                <w:b/>
                <w:color w:val="FFFFFF"/>
                <w:sz w:val="18"/>
              </w:rPr>
              <w:t>Dimension</w:t>
            </w:r>
          </w:p>
        </w:tc>
        <w:tc>
          <w:tcPr>
            <w:tcW w:type="dxa" w:w="3010"/>
            <w:shd w:val="clear" w:color="auto" w:fill="1E162B"/>
          </w:tcPr>
          <w:p>
            <w:pPr>
              <w:spacing w:before="40" w:after="40" w:line="276" w:lineRule="auto"/>
            </w:pPr>
            <w:r>
              <w:rPr>
                <w:rFonts w:ascii="Calibri" w:hAnsi="Calibri"/>
                <w:b/>
                <w:color w:val="FFFFFF"/>
                <w:sz w:val="18"/>
              </w:rPr>
              <w:t>Existing Safety Apps</w:t>
            </w:r>
          </w:p>
        </w:tc>
        <w:tc>
          <w:tcPr>
            <w:tcW w:type="dxa" w:w="3010"/>
            <w:shd w:val="clear" w:color="auto" w:fill="1E162B"/>
          </w:tcPr>
          <w:p>
            <w:pPr>
              <w:spacing w:before="40" w:after="40" w:line="276" w:lineRule="auto"/>
            </w:pPr>
            <w:r>
              <w:rPr>
                <w:rFonts w:ascii="Calibri" w:hAnsi="Calibri"/>
                <w:b/>
                <w:color w:val="FFFFFF"/>
                <w:sz w:val="18"/>
              </w:rPr>
              <w:t>SafeHerAI</w:t>
            </w:r>
          </w:p>
        </w:tc>
      </w:tr>
      <w:tr>
        <w:tc>
          <w:tcPr>
            <w:tcW w:type="dxa" w:w="3010"/>
            <w:shd w:val="clear" w:color="auto" w:fill="F9F5FF"/>
          </w:tcPr>
          <w:p>
            <w:pPr>
              <w:spacing w:before="30" w:after="30" w:line="276" w:lineRule="auto"/>
            </w:pPr>
            <w:r>
              <w:rPr>
                <w:rFonts w:ascii="Calibri" w:hAnsi="Calibri"/>
                <w:color w:val="1E162B"/>
                <w:sz w:val="18"/>
              </w:rPr>
              <w:t>Trigger Model</w:t>
            </w:r>
          </w:p>
        </w:tc>
        <w:tc>
          <w:tcPr>
            <w:tcW w:type="dxa" w:w="3010"/>
            <w:shd w:val="clear" w:color="auto" w:fill="F9F5FF"/>
          </w:tcPr>
          <w:p>
            <w:pPr>
              <w:spacing w:before="30" w:after="30" w:line="276" w:lineRule="auto"/>
            </w:pPr>
            <w:r>
              <w:rPr>
                <w:rFonts w:ascii="Calibri" w:hAnsi="Calibri"/>
                <w:color w:val="1E162B"/>
                <w:sz w:val="18"/>
              </w:rPr>
              <w:t>Reactive (panic button after incident)</w:t>
            </w:r>
          </w:p>
        </w:tc>
        <w:tc>
          <w:tcPr>
            <w:tcW w:type="dxa" w:w="3010"/>
            <w:shd w:val="clear" w:color="auto" w:fill="F9F5FF"/>
          </w:tcPr>
          <w:p>
            <w:pPr>
              <w:spacing w:before="30" w:after="30" w:line="276" w:lineRule="auto"/>
            </w:pPr>
            <w:r>
              <w:rPr>
                <w:rFonts w:ascii="Calibri" w:hAnsi="Calibri"/>
                <w:color w:val="1E162B"/>
                <w:sz w:val="18"/>
              </w:rPr>
              <w:t>Proactive (predictive threat before incident)</w:t>
            </w:r>
          </w:p>
        </w:tc>
      </w:tr>
      <w:tr>
        <w:tc>
          <w:tcPr>
            <w:tcW w:type="dxa" w:w="3010"/>
            <w:shd w:val="clear" w:color="auto" w:fill="FFFFFF"/>
          </w:tcPr>
          <w:p>
            <w:pPr>
              <w:spacing w:before="30" w:after="30" w:line="276" w:lineRule="auto"/>
            </w:pPr>
            <w:r>
              <w:rPr>
                <w:rFonts w:ascii="Calibri" w:hAnsi="Calibri"/>
                <w:color w:val="1E162B"/>
                <w:sz w:val="18"/>
              </w:rPr>
              <w:t>Data Integration</w:t>
            </w:r>
          </w:p>
        </w:tc>
        <w:tc>
          <w:tcPr>
            <w:tcW w:type="dxa" w:w="3010"/>
            <w:shd w:val="clear" w:color="auto" w:fill="FFFFFF"/>
          </w:tcPr>
          <w:p>
            <w:pPr>
              <w:spacing w:before="30" w:after="30" w:line="276" w:lineRule="auto"/>
            </w:pPr>
            <w:r>
              <w:rPr>
                <w:rFonts w:ascii="Calibri" w:hAnsi="Calibri"/>
                <w:color w:val="1E162B"/>
                <w:sz w:val="18"/>
              </w:rPr>
              <w:t>GPS only; single signal</w:t>
            </w:r>
          </w:p>
        </w:tc>
        <w:tc>
          <w:tcPr>
            <w:tcW w:type="dxa" w:w="3010"/>
            <w:shd w:val="clear" w:color="auto" w:fill="FFFFFF"/>
          </w:tcPr>
          <w:p>
            <w:pPr>
              <w:spacing w:before="30" w:after="30" w:line="276" w:lineRule="auto"/>
            </w:pPr>
            <w:r>
              <w:rPr>
                <w:rFonts w:ascii="Calibri" w:hAnsi="Calibri"/>
                <w:color w:val="1E162B"/>
                <w:sz w:val="18"/>
              </w:rPr>
              <w:t>5 heterogeneous streams fused into unified risk state</w:t>
            </w:r>
          </w:p>
        </w:tc>
      </w:tr>
      <w:tr>
        <w:tc>
          <w:tcPr>
            <w:tcW w:type="dxa" w:w="3010"/>
            <w:shd w:val="clear" w:color="auto" w:fill="F9F5FF"/>
          </w:tcPr>
          <w:p>
            <w:pPr>
              <w:spacing w:before="30" w:after="30" w:line="276" w:lineRule="auto"/>
            </w:pPr>
            <w:r>
              <w:rPr>
                <w:rFonts w:ascii="Calibri" w:hAnsi="Calibri"/>
                <w:color w:val="1E162B"/>
                <w:sz w:val="18"/>
              </w:rPr>
              <w:t>Risk Intelligence</w:t>
            </w:r>
          </w:p>
        </w:tc>
        <w:tc>
          <w:tcPr>
            <w:tcW w:type="dxa" w:w="3010"/>
            <w:shd w:val="clear" w:color="auto" w:fill="F9F5FF"/>
          </w:tcPr>
          <w:p>
            <w:pPr>
              <w:spacing w:before="30" w:after="30" w:line="276" w:lineRule="auto"/>
            </w:pPr>
            <w:r>
              <w:rPr>
                <w:rFonts w:ascii="Calibri" w:hAnsi="Calibri"/>
                <w:color w:val="1E162B"/>
                <w:sz w:val="18"/>
              </w:rPr>
              <w:t>Static 'safe/unsafe' binary</w:t>
            </w:r>
          </w:p>
        </w:tc>
        <w:tc>
          <w:tcPr>
            <w:tcW w:type="dxa" w:w="3010"/>
            <w:shd w:val="clear" w:color="auto" w:fill="F9F5FF"/>
          </w:tcPr>
          <w:p>
            <w:pPr>
              <w:spacing w:before="30" w:after="30" w:line="276" w:lineRule="auto"/>
            </w:pPr>
            <w:r>
              <w:rPr>
                <w:rFonts w:ascii="Calibri" w:hAnsi="Calibri"/>
                <w:color w:val="1E162B"/>
                <w:sz w:val="18"/>
              </w:rPr>
              <w:t>Continuous, evolving risk score with explainable AI rationale</w:t>
            </w:r>
          </w:p>
        </w:tc>
      </w:tr>
      <w:tr>
        <w:tc>
          <w:tcPr>
            <w:tcW w:type="dxa" w:w="3010"/>
            <w:shd w:val="clear" w:color="auto" w:fill="FFFFFF"/>
          </w:tcPr>
          <w:p>
            <w:pPr>
              <w:spacing w:before="30" w:after="30" w:line="276" w:lineRule="auto"/>
            </w:pPr>
            <w:r>
              <w:rPr>
                <w:rFonts w:ascii="Calibri" w:hAnsi="Calibri"/>
                <w:color w:val="1E162B"/>
                <w:sz w:val="18"/>
              </w:rPr>
              <w:t>Route Safety</w:t>
            </w:r>
          </w:p>
        </w:tc>
        <w:tc>
          <w:tcPr>
            <w:tcW w:type="dxa" w:w="3010"/>
            <w:shd w:val="clear" w:color="auto" w:fill="FFFFFF"/>
          </w:tcPr>
          <w:p>
            <w:pPr>
              <w:spacing w:before="30" w:after="30" w:line="276" w:lineRule="auto"/>
            </w:pPr>
            <w:r>
              <w:rPr>
                <w:rFonts w:ascii="Calibri" w:hAnsi="Calibri"/>
                <w:color w:val="1E162B"/>
                <w:sz w:val="18"/>
              </w:rPr>
              <w:t>Fastest route (Google Maps default)</w:t>
            </w:r>
          </w:p>
        </w:tc>
        <w:tc>
          <w:tcPr>
            <w:tcW w:type="dxa" w:w="3010"/>
            <w:shd w:val="clear" w:color="auto" w:fill="FFFFFF"/>
          </w:tcPr>
          <w:p>
            <w:pPr>
              <w:spacing w:before="30" w:after="30" w:line="276" w:lineRule="auto"/>
            </w:pPr>
            <w:r>
              <w:rPr>
                <w:rFonts w:ascii="Calibri" w:hAnsi="Calibri"/>
                <w:color w:val="1E162B"/>
                <w:sz w:val="18"/>
              </w:rPr>
              <w:t>Safest route with counterfactual explanation and AI narrative</w:t>
            </w:r>
          </w:p>
        </w:tc>
      </w:tr>
      <w:tr>
        <w:tc>
          <w:tcPr>
            <w:tcW w:type="dxa" w:w="3010"/>
            <w:shd w:val="clear" w:color="auto" w:fill="F9F5FF"/>
          </w:tcPr>
          <w:p>
            <w:pPr>
              <w:spacing w:before="30" w:after="30" w:line="276" w:lineRule="auto"/>
            </w:pPr>
            <w:r>
              <w:rPr>
                <w:rFonts w:ascii="Calibri" w:hAnsi="Calibri"/>
                <w:color w:val="1E162B"/>
                <w:sz w:val="18"/>
              </w:rPr>
              <w:t>Ride Safety</w:t>
            </w:r>
          </w:p>
        </w:tc>
        <w:tc>
          <w:tcPr>
            <w:tcW w:type="dxa" w:w="3010"/>
            <w:shd w:val="clear" w:color="auto" w:fill="F9F5FF"/>
          </w:tcPr>
          <w:p>
            <w:pPr>
              <w:spacing w:before="30" w:after="30" w:line="276" w:lineRule="auto"/>
            </w:pPr>
            <w:r>
              <w:rPr>
                <w:rFonts w:ascii="Calibri" w:hAnsi="Calibri"/>
                <w:color w:val="1E162B"/>
                <w:sz w:val="18"/>
              </w:rPr>
              <w:t>Share trip link; manual check-in</w:t>
            </w:r>
          </w:p>
        </w:tc>
        <w:tc>
          <w:tcPr>
            <w:tcW w:type="dxa" w:w="3010"/>
            <w:shd w:val="clear" w:color="auto" w:fill="F9F5FF"/>
          </w:tcPr>
          <w:p>
            <w:pPr>
              <w:spacing w:before="30" w:after="30" w:line="276" w:lineRule="auto"/>
            </w:pPr>
            <w:r>
              <w:rPr>
                <w:rFonts w:ascii="Calibri" w:hAnsi="Calibri"/>
                <w:color w:val="1E162B"/>
                <w:sz w:val="18"/>
              </w:rPr>
              <w:t>Autonomous digital twin with deviation detection and auto-escalation</w:t>
            </w:r>
          </w:p>
        </w:tc>
      </w:tr>
      <w:tr>
        <w:tc>
          <w:tcPr>
            <w:tcW w:type="dxa" w:w="3010"/>
            <w:shd w:val="clear" w:color="auto" w:fill="FFFFFF"/>
          </w:tcPr>
          <w:p>
            <w:pPr>
              <w:spacing w:before="30" w:after="30" w:line="276" w:lineRule="auto"/>
            </w:pPr>
            <w:r>
              <w:rPr>
                <w:rFonts w:ascii="Calibri" w:hAnsi="Calibri"/>
                <w:color w:val="1E162B"/>
                <w:sz w:val="18"/>
              </w:rPr>
              <w:t>Community Data</w:t>
            </w:r>
          </w:p>
        </w:tc>
        <w:tc>
          <w:tcPr>
            <w:tcW w:type="dxa" w:w="3010"/>
            <w:shd w:val="clear" w:color="auto" w:fill="FFFFFF"/>
          </w:tcPr>
          <w:p>
            <w:pPr>
              <w:spacing w:before="30" w:after="30" w:line="276" w:lineRule="auto"/>
            </w:pPr>
            <w:r>
              <w:rPr>
                <w:rFonts w:ascii="Calibri" w:hAnsi="Calibri"/>
                <w:color w:val="1E162B"/>
                <w:sz w:val="18"/>
              </w:rPr>
              <w:t>None or low-adoption crowdmap</w:t>
            </w:r>
          </w:p>
        </w:tc>
        <w:tc>
          <w:tcPr>
            <w:tcW w:type="dxa" w:w="3010"/>
            <w:shd w:val="clear" w:color="auto" w:fill="FFFFFF"/>
          </w:tcPr>
          <w:p>
            <w:pPr>
              <w:spacing w:before="30" w:after="30" w:line="276" w:lineRule="auto"/>
            </w:pPr>
            <w:r>
              <w:rPr>
                <w:rFonts w:ascii="Calibri" w:hAnsi="Calibri"/>
                <w:color w:val="1E162B"/>
                <w:sz w:val="18"/>
              </w:rPr>
              <w:t>AI-verified, trust-scored, DBSCAN-clustered hazard zones</w:t>
            </w:r>
          </w:p>
        </w:tc>
      </w:tr>
      <w:tr>
        <w:tc>
          <w:tcPr>
            <w:tcW w:type="dxa" w:w="3010"/>
            <w:shd w:val="clear" w:color="auto" w:fill="F9F5FF"/>
          </w:tcPr>
          <w:p>
            <w:pPr>
              <w:spacing w:before="30" w:after="30" w:line="276" w:lineRule="auto"/>
            </w:pPr>
            <w:r>
              <w:rPr>
                <w:rFonts w:ascii="Calibri" w:hAnsi="Calibri"/>
                <w:color w:val="1E162B"/>
                <w:sz w:val="18"/>
              </w:rPr>
              <w:t>Grievance Filing</w:t>
            </w:r>
          </w:p>
        </w:tc>
        <w:tc>
          <w:tcPr>
            <w:tcW w:type="dxa" w:w="3010"/>
            <w:shd w:val="clear" w:color="auto" w:fill="F9F5FF"/>
          </w:tcPr>
          <w:p>
            <w:pPr>
              <w:spacing w:before="30" w:after="30" w:line="276" w:lineRule="auto"/>
            </w:pPr>
            <w:r>
              <w:rPr>
                <w:rFonts w:ascii="Calibri" w:hAnsi="Calibri"/>
                <w:color w:val="1E162B"/>
                <w:sz w:val="18"/>
              </w:rPr>
              <w:t>Manual; user must navigate police portal</w:t>
            </w:r>
          </w:p>
        </w:tc>
        <w:tc>
          <w:tcPr>
            <w:tcW w:type="dxa" w:w="3010"/>
            <w:shd w:val="clear" w:color="auto" w:fill="F9F5FF"/>
          </w:tcPr>
          <w:p>
            <w:pPr>
              <w:spacing w:before="30" w:after="30" w:line="276" w:lineRule="auto"/>
            </w:pPr>
            <w:r>
              <w:rPr>
                <w:rFonts w:ascii="Calibri" w:hAnsi="Calibri"/>
                <w:color w:val="1E162B"/>
                <w:sz w:val="18"/>
              </w:rPr>
              <w:t>AI-generated FIR draft with BNS section mapping in &lt; 60 seconds</w:t>
            </w:r>
          </w:p>
        </w:tc>
      </w:tr>
      <w:tr>
        <w:tc>
          <w:tcPr>
            <w:tcW w:type="dxa" w:w="3010"/>
            <w:shd w:val="clear" w:color="auto" w:fill="FFFFFF"/>
          </w:tcPr>
          <w:p>
            <w:pPr>
              <w:spacing w:before="30" w:after="30" w:line="276" w:lineRule="auto"/>
            </w:pPr>
            <w:r>
              <w:rPr>
                <w:rFonts w:ascii="Calibri" w:hAnsi="Calibri"/>
                <w:color w:val="1E162B"/>
                <w:sz w:val="18"/>
              </w:rPr>
              <w:t>AI Companion</w:t>
            </w:r>
          </w:p>
        </w:tc>
        <w:tc>
          <w:tcPr>
            <w:tcW w:type="dxa" w:w="3010"/>
            <w:shd w:val="clear" w:color="auto" w:fill="FFFFFF"/>
          </w:tcPr>
          <w:p>
            <w:pPr>
              <w:spacing w:before="30" w:after="30" w:line="276" w:lineRule="auto"/>
            </w:pPr>
            <w:r>
              <w:rPr>
                <w:rFonts w:ascii="Calibri" w:hAnsi="Calibri"/>
                <w:color w:val="1E162B"/>
                <w:sz w:val="18"/>
              </w:rPr>
              <w:t>Chatbot with scripted responses</w:t>
            </w:r>
          </w:p>
        </w:tc>
        <w:tc>
          <w:tcPr>
            <w:tcW w:type="dxa" w:w="3010"/>
            <w:shd w:val="clear" w:color="auto" w:fill="FFFFFF"/>
          </w:tcPr>
          <w:p>
            <w:pPr>
              <w:spacing w:before="30" w:after="30" w:line="276" w:lineRule="auto"/>
            </w:pPr>
            <w:r>
              <w:rPr>
                <w:rFonts w:ascii="Calibri" w:hAnsi="Calibri"/>
                <w:color w:val="1E162B"/>
                <w:sz w:val="18"/>
              </w:rPr>
              <w:t>Gemini 2.5 Flash with live safety context, Google Search grounding</w:t>
            </w:r>
          </w:p>
        </w:tc>
      </w:tr>
      <w:tr>
        <w:tc>
          <w:tcPr>
            <w:tcW w:type="dxa" w:w="3010"/>
            <w:shd w:val="clear" w:color="auto" w:fill="F9F5FF"/>
          </w:tcPr>
          <w:p>
            <w:pPr>
              <w:spacing w:before="30" w:after="30" w:line="276" w:lineRule="auto"/>
            </w:pPr>
            <w:r>
              <w:rPr>
                <w:rFonts w:ascii="Calibri" w:hAnsi="Calibri"/>
                <w:color w:val="1E162B"/>
                <w:sz w:val="18"/>
              </w:rPr>
              <w:t>Architecture</w:t>
            </w:r>
          </w:p>
        </w:tc>
        <w:tc>
          <w:tcPr>
            <w:tcW w:type="dxa" w:w="3010"/>
            <w:shd w:val="clear" w:color="auto" w:fill="F9F5FF"/>
          </w:tcPr>
          <w:p>
            <w:pPr>
              <w:spacing w:before="30" w:after="30" w:line="276" w:lineRule="auto"/>
            </w:pPr>
            <w:r>
              <w:rPr>
                <w:rFonts w:ascii="Calibri" w:hAnsi="Calibri"/>
                <w:color w:val="1E162B"/>
                <w:sz w:val="18"/>
              </w:rPr>
              <w:t>Monolithic app; single feature set</w:t>
            </w:r>
          </w:p>
        </w:tc>
        <w:tc>
          <w:tcPr>
            <w:tcW w:type="dxa" w:w="3010"/>
            <w:shd w:val="clear" w:color="auto" w:fill="F9F5FF"/>
          </w:tcPr>
          <w:p>
            <w:pPr>
              <w:spacing w:before="30" w:after="30" w:line="276" w:lineRule="auto"/>
            </w:pPr>
            <w:r>
              <w:rPr>
                <w:rFonts w:ascii="Calibri" w:hAnsi="Calibri"/>
                <w:color w:val="1E162B"/>
                <w:sz w:val="18"/>
              </w:rPr>
              <w:t>17-agent multi-agent brain; modular; API-first; scalable</w:t>
            </w:r>
          </w:p>
        </w:tc>
      </w:tr>
      <w:tr>
        <w:tc>
          <w:tcPr>
            <w:tcW w:type="dxa" w:w="3010"/>
            <w:shd w:val="clear" w:color="auto" w:fill="FFFFFF"/>
          </w:tcPr>
          <w:p>
            <w:pPr>
              <w:spacing w:before="30" w:after="30" w:line="276" w:lineRule="auto"/>
            </w:pPr>
            <w:r>
              <w:rPr>
                <w:rFonts w:ascii="Calibri" w:hAnsi="Calibri"/>
                <w:color w:val="1E162B"/>
                <w:sz w:val="18"/>
              </w:rPr>
              <w:t>Data Contribution</w:t>
            </w:r>
          </w:p>
        </w:tc>
        <w:tc>
          <w:tcPr>
            <w:tcW w:type="dxa" w:w="3010"/>
            <w:shd w:val="clear" w:color="auto" w:fill="FFFFFF"/>
          </w:tcPr>
          <w:p>
            <w:pPr>
              <w:spacing w:before="30" w:after="30" w:line="276" w:lineRule="auto"/>
            </w:pPr>
            <w:r>
              <w:rPr>
                <w:rFonts w:ascii="Calibri" w:hAnsi="Calibri"/>
                <w:color w:val="1E162B"/>
                <w:sz w:val="18"/>
              </w:rPr>
              <w:t>User benefit only; no collective value</w:t>
            </w:r>
          </w:p>
        </w:tc>
        <w:tc>
          <w:tcPr>
            <w:tcW w:type="dxa" w:w="3010"/>
            <w:shd w:val="clear" w:color="auto" w:fill="FFFFFF"/>
          </w:tcPr>
          <w:p>
            <w:pPr>
              <w:spacing w:before="30" w:after="30" w:line="276" w:lineRule="auto"/>
            </w:pPr>
            <w:r>
              <w:rPr>
                <w:rFonts w:ascii="Calibri" w:hAnsi="Calibri"/>
                <w:color w:val="1E162B"/>
                <w:sz w:val="18"/>
              </w:rPr>
              <w:t>Every report improves the map for all users; public safety data asset</w:t>
            </w:r>
          </w:p>
        </w:tc>
      </w:tr>
    </w:tbl>
    <w:p/>
    <w:p>
      <w:pPr>
        <w:spacing w:before="0" w:after="50" w:line="276" w:lineRule="auto"/>
      </w:pPr>
      <w:r>
        <w:rPr>
          <w:rFonts w:ascii="Calibri" w:hAnsi="Calibri"/>
          <w:color w:val="1E162B"/>
          <w:sz w:val="20"/>
        </w:rPr>
        <w:t>The single most important differentiator is the AI Safety Brain's unified, continuous risk state. Existing apps treat each safety signal in isolation — a panic button, a trip share, a harassment report. SafeHerAI's LangGraph agent graph fuses all five streams simultaneously, maintaining a single, globally consistent risk assessment of the ongoing journey. This enables interventions that are contextually appropriate, not just algorithmically triggered — the companion knows the user is in a high-risk zone, that her journey twin has detected 150m of route deviation, that there are two community-verified harassment reports within 300m, and that no guardians are online — before it formulates its response. No other application in India does this today.</w:t>
      </w:r>
    </w:p>
    <w:p/>
    <w:p>
      <w:pPr>
        <w:spacing w:before="180" w:after="80" w:line="276" w:lineRule="auto"/>
        <w:pBdr>
          <w:left w:val="single" w:sz="24" w:space="4" w:color="E11D74"/>
        </w:pBdr>
      </w:pPr>
      <w:r>
        <w:rPr>
          <w:rFonts w:ascii="Calibri" w:hAnsi="Calibri"/>
          <w:b/>
          <w:color w:val="E11D74"/>
          <w:sz w:val="28"/>
        </w:rPr>
        <w:t>6.  Appendices</w:t>
      </w:r>
    </w:p>
    <w:p>
      <w:pPr>
        <w:spacing w:before="120" w:after="40" w:line="276" w:lineRule="auto"/>
      </w:pPr>
      <w:r>
        <w:rPr>
          <w:rFonts w:ascii="Calibri" w:hAnsi="Calibri"/>
          <w:b/>
          <w:color w:val="7C3AED"/>
          <w:sz w:val="23"/>
        </w:rPr>
        <w:t>Appendix A — Architecture System Flow Diagram</w:t>
      </w:r>
    </w:p>
    <w:p>
      <w:pPr>
        <w:spacing w:before="0" w:after="50" w:line="276" w:lineRule="auto"/>
      </w:pPr>
      <w:r>
        <w:rPr>
          <w:rFonts w:ascii="Calibri" w:hAnsi="Calibri"/>
          <w:color w:val="1E162B"/>
          <w:sz w:val="20"/>
        </w:rPr>
        <w:t>A full system architecture diagram — illustrating the 17-agent LangGraph graph, the five track data pipelines, the real-time WebSocket/SSE event flows, and the PostGIS + Redis data layer — is included as a separately attached PDF (SafeHerAI_Architecture_Diagram.pdf).</w:t>
      </w:r>
    </w:p>
    <w:p>
      <w:pPr>
        <w:spacing w:before="120" w:after="40" w:line="276" w:lineRule="auto"/>
      </w:pPr>
      <w:r>
        <w:rPr>
          <w:rFonts w:ascii="Calibri" w:hAnsi="Calibri"/>
          <w:b/>
          <w:color w:val="7C3AED"/>
          <w:sz w:val="23"/>
        </w:rPr>
        <w:t>Appendix B — Proof-of-Concept Demonstration</w:t>
      </w:r>
    </w:p>
    <w:p>
      <w:pPr>
        <w:spacing w:before="0" w:after="50" w:line="276" w:lineRule="auto"/>
      </w:pPr>
      <w:r>
        <w:rPr>
          <w:rFonts w:ascii="Calibri" w:hAnsi="Calibri"/>
          <w:color w:val="1E162B"/>
          <w:sz w:val="20"/>
        </w:rPr>
        <w:t>A working proof-of-concept, developed prior to this submission, is accessible as follows:</w:t>
      </w:r>
    </w:p>
    <w:p>
      <w:pPr>
        <w:pStyle w:val="ListBullet"/>
        <w:spacing w:before="0" w:after="30" w:line="276" w:lineRule="auto"/>
        <w:ind w:left="432"/>
      </w:pPr>
      <w:r>
        <w:rPr>
          <w:rFonts w:ascii="Calibri" w:hAnsi="Calibri"/>
          <w:color w:val="1E162B"/>
          <w:sz w:val="20"/>
        </w:rPr>
        <w:t>Streamlit Executive Dashboard: Demonstrates all five tracks with scenario switching (NORMAL / DEVIATION / DISTRESS / COMMUNITY_ALERT), live Gemini AI companion with API key, and animated agent activity feed.</w:t>
      </w:r>
    </w:p>
    <w:p>
      <w:pPr>
        <w:pStyle w:val="ListBullet"/>
        <w:spacing w:before="0" w:after="30" w:line="276" w:lineRule="auto"/>
        <w:ind w:left="432"/>
      </w:pPr>
      <w:r>
        <w:rPr>
          <w:rFonts w:ascii="Calibri" w:hAnsi="Calibri"/>
          <w:color w:val="1E162B"/>
          <w:sz w:val="20"/>
        </w:rPr>
        <w:t>FastAPI Backend: Live Swagger documentation at /docs endpoint; all five track APIs functional.</w:t>
      </w:r>
    </w:p>
    <w:p>
      <w:pPr>
        <w:pStyle w:val="ListBullet"/>
        <w:spacing w:before="0" w:after="30" w:line="276" w:lineRule="auto"/>
        <w:ind w:left="432"/>
      </w:pPr>
      <w:r>
        <w:rPr>
          <w:rFonts w:ascii="Calibri" w:hAnsi="Calibri"/>
          <w:color w:val="1E162B"/>
          <w:sz w:val="20"/>
        </w:rPr>
        <w:t>Flutter App: Basic GPS, risk display, and companion chat functional on Android.</w:t>
      </w:r>
    </w:p>
    <w:p>
      <w:pPr>
        <w:pStyle w:val="ListBullet"/>
        <w:spacing w:before="0" w:after="30" w:line="276" w:lineRule="auto"/>
        <w:ind w:left="432"/>
      </w:pPr>
      <w:r>
        <w:rPr>
          <w:rFonts w:ascii="Calibri" w:hAnsi="Calibri"/>
          <w:color w:val="1E162B"/>
          <w:sz w:val="20"/>
        </w:rPr>
        <w:t>Source Code: Available at the VIT-AP University internal repository; shareable upon request.</w:t>
      </w:r>
    </w:p>
    <w:p>
      <w:pPr>
        <w:spacing w:before="120" w:after="40" w:line="276" w:lineRule="auto"/>
      </w:pPr>
      <w:r>
        <w:rPr>
          <w:rFonts w:ascii="Calibri" w:hAnsi="Calibri"/>
          <w:b/>
          <w:color w:val="7C3AED"/>
          <w:sz w:val="23"/>
        </w:rPr>
        <w:t>Appendix C — Data Sources &amp; Attribution</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40" w:after="40" w:line="276" w:lineRule="auto"/>
            </w:pPr>
            <w:r>
              <w:rPr>
                <w:rFonts w:ascii="Calibri" w:hAnsi="Calibri"/>
                <w:b/>
                <w:color w:val="FFFFFF"/>
                <w:sz w:val="18"/>
              </w:rPr>
              <w:t>Data Source</w:t>
            </w:r>
          </w:p>
        </w:tc>
        <w:tc>
          <w:tcPr>
            <w:tcW w:type="dxa" w:w="3010"/>
            <w:shd w:val="clear" w:color="auto" w:fill="1E162B"/>
          </w:tcPr>
          <w:p>
            <w:pPr>
              <w:spacing w:before="40" w:after="40" w:line="276" w:lineRule="auto"/>
            </w:pPr>
            <w:r>
              <w:rPr>
                <w:rFonts w:ascii="Calibri" w:hAnsi="Calibri"/>
                <w:b/>
                <w:color w:val="FFFFFF"/>
                <w:sz w:val="18"/>
              </w:rPr>
              <w:t>Usage</w:t>
            </w:r>
          </w:p>
        </w:tc>
        <w:tc>
          <w:tcPr>
            <w:tcW w:type="dxa" w:w="3010"/>
            <w:shd w:val="clear" w:color="auto" w:fill="1E162B"/>
          </w:tcPr>
          <w:p>
            <w:pPr>
              <w:spacing w:before="40" w:after="40" w:line="276" w:lineRule="auto"/>
            </w:pPr>
            <w:r>
              <w:rPr>
                <w:rFonts w:ascii="Calibri" w:hAnsi="Calibri"/>
                <w:b/>
                <w:color w:val="FFFFFF"/>
                <w:sz w:val="18"/>
              </w:rPr>
              <w:t>Access</w:t>
            </w:r>
          </w:p>
        </w:tc>
      </w:tr>
      <w:tr>
        <w:tc>
          <w:tcPr>
            <w:tcW w:type="dxa" w:w="3010"/>
            <w:shd w:val="clear" w:color="auto" w:fill="F9F5FF"/>
          </w:tcPr>
          <w:p>
            <w:pPr>
              <w:spacing w:before="30" w:after="30" w:line="276" w:lineRule="auto"/>
            </w:pPr>
            <w:r>
              <w:rPr>
                <w:rFonts w:ascii="Calibri" w:hAnsi="Calibri"/>
                <w:color w:val="1E162B"/>
                <w:sz w:val="18"/>
              </w:rPr>
              <w:t>NCRB Crime in India 2024</w:t>
            </w:r>
          </w:p>
        </w:tc>
        <w:tc>
          <w:tcPr>
            <w:tcW w:type="dxa" w:w="3010"/>
            <w:shd w:val="clear" w:color="auto" w:fill="F9F5FF"/>
          </w:tcPr>
          <w:p>
            <w:pPr>
              <w:spacing w:before="30" w:after="30" w:line="276" w:lineRule="auto"/>
            </w:pPr>
            <w:r>
              <w:rPr>
                <w:rFonts w:ascii="Calibri" w:hAnsi="Calibri"/>
                <w:color w:val="1E162B"/>
                <w:sz w:val="18"/>
              </w:rPr>
              <w:t>Crime density features for XGBoost risk model</w:t>
            </w:r>
          </w:p>
        </w:tc>
        <w:tc>
          <w:tcPr>
            <w:tcW w:type="dxa" w:w="3010"/>
            <w:shd w:val="clear" w:color="auto" w:fill="F9F5FF"/>
          </w:tcPr>
          <w:p>
            <w:pPr>
              <w:spacing w:before="30" w:after="30" w:line="276" w:lineRule="auto"/>
            </w:pPr>
            <w:r>
              <w:rPr>
                <w:rFonts w:ascii="Calibri" w:hAnsi="Calibri"/>
                <w:color w:val="1E162B"/>
                <w:sz w:val="18"/>
              </w:rPr>
              <w:t>Public — ncrb.gov.in</w:t>
            </w:r>
          </w:p>
        </w:tc>
      </w:tr>
      <w:tr>
        <w:tc>
          <w:tcPr>
            <w:tcW w:type="dxa" w:w="3010"/>
            <w:shd w:val="clear" w:color="auto" w:fill="FFFFFF"/>
          </w:tcPr>
          <w:p>
            <w:pPr>
              <w:spacing w:before="30" w:after="30" w:line="276" w:lineRule="auto"/>
            </w:pPr>
            <w:r>
              <w:rPr>
                <w:rFonts w:ascii="Calibri" w:hAnsi="Calibri"/>
                <w:color w:val="1E162B"/>
                <w:sz w:val="18"/>
              </w:rPr>
              <w:t>OpenStreetMap Overpass API</w:t>
            </w:r>
          </w:p>
        </w:tc>
        <w:tc>
          <w:tcPr>
            <w:tcW w:type="dxa" w:w="3010"/>
            <w:shd w:val="clear" w:color="auto" w:fill="FFFFFF"/>
          </w:tcPr>
          <w:p>
            <w:pPr>
              <w:spacing w:before="30" w:after="30" w:line="276" w:lineRule="auto"/>
            </w:pPr>
            <w:r>
              <w:rPr>
                <w:rFonts w:ascii="Calibri" w:hAnsi="Calibri"/>
                <w:color w:val="1E162B"/>
                <w:sz w:val="18"/>
              </w:rPr>
              <w:t>Street lighting and CCTV node density features</w:t>
            </w:r>
          </w:p>
        </w:tc>
        <w:tc>
          <w:tcPr>
            <w:tcW w:type="dxa" w:w="3010"/>
            <w:shd w:val="clear" w:color="auto" w:fill="FFFFFF"/>
          </w:tcPr>
          <w:p>
            <w:pPr>
              <w:spacing w:before="30" w:after="30" w:line="276" w:lineRule="auto"/>
            </w:pPr>
            <w:r>
              <w:rPr>
                <w:rFonts w:ascii="Calibri" w:hAnsi="Calibri"/>
                <w:color w:val="1E162B"/>
                <w:sz w:val="18"/>
              </w:rPr>
              <w:t>Open — overpass-api.de</w:t>
            </w:r>
          </w:p>
        </w:tc>
      </w:tr>
      <w:tr>
        <w:tc>
          <w:tcPr>
            <w:tcW w:type="dxa" w:w="3010"/>
            <w:shd w:val="clear" w:color="auto" w:fill="F9F5FF"/>
          </w:tcPr>
          <w:p>
            <w:pPr>
              <w:spacing w:before="30" w:after="30" w:line="276" w:lineRule="auto"/>
            </w:pPr>
            <w:r>
              <w:rPr>
                <w:rFonts w:ascii="Calibri" w:hAnsi="Calibri"/>
                <w:color w:val="1E162B"/>
                <w:sz w:val="18"/>
              </w:rPr>
              <w:t>SafeCity API (Red Dot Foundation)</w:t>
            </w:r>
          </w:p>
        </w:tc>
        <w:tc>
          <w:tcPr>
            <w:tcW w:type="dxa" w:w="3010"/>
            <w:shd w:val="clear" w:color="auto" w:fill="F9F5FF"/>
          </w:tcPr>
          <w:p>
            <w:pPr>
              <w:spacing w:before="30" w:after="30" w:line="276" w:lineRule="auto"/>
            </w:pPr>
            <w:r>
              <w:rPr>
                <w:rFonts w:ascii="Calibri" w:hAnsi="Calibri"/>
                <w:color w:val="1E162B"/>
                <w:sz w:val="18"/>
              </w:rPr>
              <w:t>Community incident seeding for Track 4</w:t>
            </w:r>
          </w:p>
        </w:tc>
        <w:tc>
          <w:tcPr>
            <w:tcW w:type="dxa" w:w="3010"/>
            <w:shd w:val="clear" w:color="auto" w:fill="F9F5FF"/>
          </w:tcPr>
          <w:p>
            <w:pPr>
              <w:spacing w:before="30" w:after="30" w:line="276" w:lineRule="auto"/>
            </w:pPr>
            <w:r>
              <w:rPr>
                <w:rFonts w:ascii="Calibri" w:hAnsi="Calibri"/>
                <w:color w:val="1E162B"/>
                <w:sz w:val="18"/>
              </w:rPr>
              <w:t>Free registration — safecity.in</w:t>
            </w:r>
          </w:p>
        </w:tc>
      </w:tr>
      <w:tr>
        <w:tc>
          <w:tcPr>
            <w:tcW w:type="dxa" w:w="3010"/>
            <w:shd w:val="clear" w:color="auto" w:fill="FFFFFF"/>
          </w:tcPr>
          <w:p>
            <w:pPr>
              <w:spacing w:before="30" w:after="30" w:line="276" w:lineRule="auto"/>
            </w:pPr>
            <w:r>
              <w:rPr>
                <w:rFonts w:ascii="Calibri" w:hAnsi="Calibri"/>
                <w:color w:val="1E162B"/>
                <w:sz w:val="18"/>
              </w:rPr>
              <w:t>OLA Maps Directions API</w:t>
            </w:r>
          </w:p>
        </w:tc>
        <w:tc>
          <w:tcPr>
            <w:tcW w:type="dxa" w:w="3010"/>
            <w:shd w:val="clear" w:color="auto" w:fill="FFFFFF"/>
          </w:tcPr>
          <w:p>
            <w:pPr>
              <w:spacing w:before="30" w:after="30" w:line="276" w:lineRule="auto"/>
            </w:pPr>
            <w:r>
              <w:rPr>
                <w:rFonts w:ascii="Calibri" w:hAnsi="Calibri"/>
                <w:color w:val="1E162B"/>
                <w:sz w:val="18"/>
              </w:rPr>
              <w:t>India-native routing for Tracks 1 &amp; 2</w:t>
            </w:r>
          </w:p>
        </w:tc>
        <w:tc>
          <w:tcPr>
            <w:tcW w:type="dxa" w:w="3010"/>
            <w:shd w:val="clear" w:color="auto" w:fill="FFFFFF"/>
          </w:tcPr>
          <w:p>
            <w:pPr>
              <w:spacing w:before="30" w:after="30" w:line="276" w:lineRule="auto"/>
            </w:pPr>
            <w:r>
              <w:rPr>
                <w:rFonts w:ascii="Calibri" w:hAnsi="Calibri"/>
                <w:color w:val="1E162B"/>
                <w:sz w:val="18"/>
              </w:rPr>
              <w:t>Developer portal — olamaps.io</w:t>
            </w:r>
          </w:p>
        </w:tc>
      </w:tr>
      <w:tr>
        <w:tc>
          <w:tcPr>
            <w:tcW w:type="dxa" w:w="3010"/>
            <w:shd w:val="clear" w:color="auto" w:fill="F9F5FF"/>
          </w:tcPr>
          <w:p>
            <w:pPr>
              <w:spacing w:before="30" w:after="30" w:line="276" w:lineRule="auto"/>
            </w:pPr>
            <w:r>
              <w:rPr>
                <w:rFonts w:ascii="Calibri" w:hAnsi="Calibri"/>
                <w:color w:val="1E162B"/>
                <w:sz w:val="18"/>
              </w:rPr>
              <w:t>Google Gemini 2.5 Flash/Pro</w:t>
            </w:r>
          </w:p>
        </w:tc>
        <w:tc>
          <w:tcPr>
            <w:tcW w:type="dxa" w:w="3010"/>
            <w:shd w:val="clear" w:color="auto" w:fill="F9F5FF"/>
          </w:tcPr>
          <w:p>
            <w:pPr>
              <w:spacing w:before="30" w:after="30" w:line="276" w:lineRule="auto"/>
            </w:pPr>
            <w:r>
              <w:rPr>
                <w:rFonts w:ascii="Calibri" w:hAnsi="Calibri"/>
                <w:color w:val="1E162B"/>
                <w:sz w:val="18"/>
              </w:rPr>
              <w:t>AI companion and grievance engine</w:t>
            </w:r>
          </w:p>
        </w:tc>
        <w:tc>
          <w:tcPr>
            <w:tcW w:type="dxa" w:w="3010"/>
            <w:shd w:val="clear" w:color="auto" w:fill="F9F5FF"/>
          </w:tcPr>
          <w:p>
            <w:pPr>
              <w:spacing w:before="30" w:after="30" w:line="276" w:lineRule="auto"/>
            </w:pPr>
            <w:r>
              <w:rPr>
                <w:rFonts w:ascii="Calibri" w:hAnsi="Calibri"/>
                <w:color w:val="1E162B"/>
                <w:sz w:val="18"/>
              </w:rPr>
              <w:t>Google AI Studio — aistudio.google.com</w:t>
            </w:r>
          </w:p>
        </w:tc>
      </w:tr>
      <w:tr>
        <w:tc>
          <w:tcPr>
            <w:tcW w:type="dxa" w:w="3010"/>
            <w:shd w:val="clear" w:color="auto" w:fill="FFFFFF"/>
          </w:tcPr>
          <w:p>
            <w:pPr>
              <w:spacing w:before="30" w:after="30" w:line="276" w:lineRule="auto"/>
            </w:pPr>
            <w:r>
              <w:rPr>
                <w:rFonts w:ascii="Calibri" w:hAnsi="Calibri"/>
                <w:color w:val="1E162B"/>
                <w:sz w:val="18"/>
              </w:rPr>
              <w:t>Mapbox GL JS / deck.gl</w:t>
            </w:r>
          </w:p>
        </w:tc>
        <w:tc>
          <w:tcPr>
            <w:tcW w:type="dxa" w:w="3010"/>
            <w:shd w:val="clear" w:color="auto" w:fill="FFFFFF"/>
          </w:tcPr>
          <w:p>
            <w:pPr>
              <w:spacing w:before="30" w:after="30" w:line="276" w:lineRule="auto"/>
            </w:pPr>
            <w:r>
              <w:rPr>
                <w:rFonts w:ascii="Calibri" w:hAnsi="Calibri"/>
                <w:color w:val="1E162B"/>
                <w:sz w:val="18"/>
              </w:rPr>
              <w:t>GPU-accelerated heatmap rendering</w:t>
            </w:r>
          </w:p>
        </w:tc>
        <w:tc>
          <w:tcPr>
            <w:tcW w:type="dxa" w:w="3010"/>
            <w:shd w:val="clear" w:color="auto" w:fill="FFFFFF"/>
          </w:tcPr>
          <w:p>
            <w:pPr>
              <w:spacing w:before="30" w:after="30" w:line="276" w:lineRule="auto"/>
            </w:pPr>
            <w:r>
              <w:rPr>
                <w:rFonts w:ascii="Calibri" w:hAnsi="Calibri"/>
                <w:color w:val="1E162B"/>
                <w:sz w:val="18"/>
              </w:rPr>
              <w:t>Open source (deck.gl); Mapbox free tier</w:t>
            </w:r>
          </w:p>
        </w:tc>
      </w:tr>
    </w:tbl>
    <w:p/>
    <w:p>
      <w:pPr>
        <w:spacing w:before="120" w:after="40" w:line="276" w:lineRule="auto"/>
      </w:pPr>
      <w:r>
        <w:rPr>
          <w:rFonts w:ascii="Calibri" w:hAnsi="Calibri"/>
          <w:b/>
          <w:color w:val="7C3AED"/>
          <w:sz w:val="23"/>
        </w:rPr>
        <w:t>Appendix D — OKR Summary Reference</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40" w:after="40" w:line="276" w:lineRule="auto"/>
            </w:pPr>
            <w:r>
              <w:rPr>
                <w:rFonts w:ascii="Calibri" w:hAnsi="Calibri"/>
                <w:b/>
                <w:color w:val="FFFFFF"/>
                <w:sz w:val="18"/>
              </w:rPr>
              <w:t>Track</w:t>
            </w:r>
          </w:p>
        </w:tc>
        <w:tc>
          <w:tcPr>
            <w:tcW w:type="dxa" w:w="2257"/>
            <w:shd w:val="clear" w:color="auto" w:fill="1E162B"/>
          </w:tcPr>
          <w:p>
            <w:pPr>
              <w:spacing w:before="40" w:after="40" w:line="276" w:lineRule="auto"/>
            </w:pPr>
            <w:r>
              <w:rPr>
                <w:rFonts w:ascii="Calibri" w:hAnsi="Calibri"/>
                <w:b/>
                <w:color w:val="FFFFFF"/>
                <w:sz w:val="18"/>
              </w:rPr>
              <w:t>OKR Metric</w:t>
            </w:r>
          </w:p>
        </w:tc>
        <w:tc>
          <w:tcPr>
            <w:tcW w:type="dxa" w:w="2257"/>
            <w:shd w:val="clear" w:color="auto" w:fill="1E162B"/>
          </w:tcPr>
          <w:p>
            <w:pPr>
              <w:spacing w:before="40" w:after="40" w:line="276" w:lineRule="auto"/>
            </w:pPr>
            <w:r>
              <w:rPr>
                <w:rFonts w:ascii="Calibri" w:hAnsi="Calibri"/>
                <w:b/>
                <w:color w:val="FFFFFF"/>
                <w:sz w:val="18"/>
              </w:rPr>
              <w:t>Target</w:t>
            </w:r>
          </w:p>
        </w:tc>
        <w:tc>
          <w:tcPr>
            <w:tcW w:type="dxa" w:w="2257"/>
            <w:shd w:val="clear" w:color="auto" w:fill="1E162B"/>
          </w:tcPr>
          <w:p>
            <w:pPr>
              <w:spacing w:before="40" w:after="40" w:line="276" w:lineRule="auto"/>
            </w:pPr>
            <w:r>
              <w:rPr>
                <w:rFonts w:ascii="Calibri" w:hAnsi="Calibri"/>
                <w:b/>
                <w:color w:val="FFFFFF"/>
                <w:sz w:val="18"/>
              </w:rPr>
              <w:t>Measurement Method</w:t>
            </w:r>
          </w:p>
        </w:tc>
      </w:tr>
      <w:tr>
        <w:tc>
          <w:tcPr>
            <w:tcW w:type="dxa" w:w="2257"/>
            <w:shd w:val="clear" w:color="auto" w:fill="F9F5FF"/>
          </w:tcPr>
          <w:p>
            <w:pPr>
              <w:spacing w:before="30" w:after="30" w:line="276" w:lineRule="auto"/>
            </w:pPr>
            <w:r>
              <w:rPr>
                <w:rFonts w:ascii="Calibri" w:hAnsi="Calibri"/>
                <w:color w:val="1E162B"/>
                <w:sz w:val="18"/>
              </w:rPr>
              <w:t>Track 1</w:t>
            </w:r>
          </w:p>
        </w:tc>
        <w:tc>
          <w:tcPr>
            <w:tcW w:type="dxa" w:w="2257"/>
            <w:shd w:val="clear" w:color="auto" w:fill="F9F5FF"/>
          </w:tcPr>
          <w:p>
            <w:pPr>
              <w:spacing w:before="30" w:after="30" w:line="276" w:lineRule="auto"/>
            </w:pPr>
            <w:r>
              <w:rPr>
                <w:rFonts w:ascii="Calibri" w:hAnsi="Calibri"/>
                <w:color w:val="1E162B"/>
                <w:sz w:val="18"/>
              </w:rPr>
              <w:t>Counterfactual Route Acceptance</w:t>
            </w:r>
          </w:p>
        </w:tc>
        <w:tc>
          <w:tcPr>
            <w:tcW w:type="dxa" w:w="2257"/>
            <w:shd w:val="clear" w:color="auto" w:fill="F9F5FF"/>
          </w:tcPr>
          <w:p>
            <w:pPr>
              <w:spacing w:before="30" w:after="30" w:line="276" w:lineRule="auto"/>
            </w:pPr>
            <w:r>
              <w:rPr>
                <w:rFonts w:ascii="Calibri" w:hAnsi="Calibri"/>
                <w:color w:val="1E162B"/>
                <w:sz w:val="18"/>
              </w:rPr>
              <w:t>≥ 75%</w:t>
            </w:r>
          </w:p>
        </w:tc>
        <w:tc>
          <w:tcPr>
            <w:tcW w:type="dxa" w:w="2257"/>
            <w:shd w:val="clear" w:color="auto" w:fill="F9F5FF"/>
          </w:tcPr>
          <w:p>
            <w:pPr>
              <w:spacing w:before="30" w:after="30" w:line="276" w:lineRule="auto"/>
            </w:pPr>
            <w:r>
              <w:rPr>
                <w:rFonts w:ascii="Calibri" w:hAnsi="Calibri"/>
                <w:color w:val="1E162B"/>
                <w:sz w:val="18"/>
              </w:rPr>
              <w:t>User study: n ≥ 50 journeys; user choice vs. baseline route</w:t>
            </w:r>
          </w:p>
        </w:tc>
      </w:tr>
      <w:tr>
        <w:tc>
          <w:tcPr>
            <w:tcW w:type="dxa" w:w="2257"/>
            <w:shd w:val="clear" w:color="auto" w:fill="FFFFFF"/>
          </w:tcPr>
          <w:p>
            <w:pPr>
              <w:spacing w:before="30" w:after="30" w:line="276" w:lineRule="auto"/>
            </w:pPr>
            <w:r>
              <w:rPr>
                <w:rFonts w:ascii="Calibri" w:hAnsi="Calibri"/>
                <w:color w:val="1E162B"/>
                <w:sz w:val="18"/>
              </w:rPr>
              <w:t>Track 2</w:t>
            </w:r>
          </w:p>
        </w:tc>
        <w:tc>
          <w:tcPr>
            <w:tcW w:type="dxa" w:w="2257"/>
            <w:shd w:val="clear" w:color="auto" w:fill="FFFFFF"/>
          </w:tcPr>
          <w:p>
            <w:pPr>
              <w:spacing w:before="30" w:after="30" w:line="276" w:lineRule="auto"/>
            </w:pPr>
            <w:r>
              <w:rPr>
                <w:rFonts w:ascii="Calibri" w:hAnsi="Calibri"/>
                <w:color w:val="1E162B"/>
                <w:sz w:val="18"/>
              </w:rPr>
              <w:t>Deviation Detection Precision / Recall</w:t>
            </w:r>
          </w:p>
        </w:tc>
        <w:tc>
          <w:tcPr>
            <w:tcW w:type="dxa" w:w="2257"/>
            <w:shd w:val="clear" w:color="auto" w:fill="FFFFFF"/>
          </w:tcPr>
          <w:p>
            <w:pPr>
              <w:spacing w:before="30" w:after="30" w:line="276" w:lineRule="auto"/>
            </w:pPr>
            <w:r>
              <w:rPr>
                <w:rFonts w:ascii="Calibri" w:hAnsi="Calibri"/>
                <w:color w:val="1E162B"/>
                <w:sz w:val="18"/>
              </w:rPr>
              <w:t>P ≥ 85%, R ≥ 90%</w:t>
            </w:r>
          </w:p>
        </w:tc>
        <w:tc>
          <w:tcPr>
            <w:tcW w:type="dxa" w:w="2257"/>
            <w:shd w:val="clear" w:color="auto" w:fill="FFFFFF"/>
          </w:tcPr>
          <w:p>
            <w:pPr>
              <w:spacing w:before="30" w:after="30" w:line="276" w:lineRule="auto"/>
            </w:pPr>
            <w:r>
              <w:rPr>
                <w:rFonts w:ascii="Calibri" w:hAnsi="Calibri"/>
                <w:color w:val="1E162B"/>
                <w:sz w:val="18"/>
              </w:rPr>
              <w:t>Synthetic GPS trajectory dataset; 500m deviation threshold</w:t>
            </w:r>
          </w:p>
        </w:tc>
      </w:tr>
      <w:tr>
        <w:tc>
          <w:tcPr>
            <w:tcW w:type="dxa" w:w="2257"/>
            <w:shd w:val="clear" w:color="auto" w:fill="F9F5FF"/>
          </w:tcPr>
          <w:p>
            <w:pPr>
              <w:spacing w:before="30" w:after="30" w:line="276" w:lineRule="auto"/>
            </w:pPr>
            <w:r>
              <w:rPr>
                <w:rFonts w:ascii="Calibri" w:hAnsi="Calibri"/>
                <w:color w:val="1E162B"/>
                <w:sz w:val="18"/>
              </w:rPr>
              <w:t>Track 3</w:t>
            </w:r>
          </w:p>
        </w:tc>
        <w:tc>
          <w:tcPr>
            <w:tcW w:type="dxa" w:w="2257"/>
            <w:shd w:val="clear" w:color="auto" w:fill="F9F5FF"/>
          </w:tcPr>
          <w:p>
            <w:pPr>
              <w:spacing w:before="30" w:after="30" w:line="276" w:lineRule="auto"/>
            </w:pPr>
            <w:r>
              <w:rPr>
                <w:rFonts w:ascii="Calibri" w:hAnsi="Calibri"/>
                <w:color w:val="1E162B"/>
                <w:sz w:val="18"/>
              </w:rPr>
              <w:t>Fear Probability F1-Score</w:t>
            </w:r>
          </w:p>
        </w:tc>
        <w:tc>
          <w:tcPr>
            <w:tcW w:type="dxa" w:w="2257"/>
            <w:shd w:val="clear" w:color="auto" w:fill="F9F5FF"/>
          </w:tcPr>
          <w:p>
            <w:pPr>
              <w:spacing w:before="30" w:after="30" w:line="276" w:lineRule="auto"/>
            </w:pPr>
            <w:r>
              <w:rPr>
                <w:rFonts w:ascii="Calibri" w:hAnsi="Calibri"/>
                <w:color w:val="1E162B"/>
                <w:sz w:val="18"/>
              </w:rPr>
              <w:t>≥ 0.80</w:t>
            </w:r>
          </w:p>
        </w:tc>
        <w:tc>
          <w:tcPr>
            <w:tcW w:type="dxa" w:w="2257"/>
            <w:shd w:val="clear" w:color="auto" w:fill="F9F5FF"/>
          </w:tcPr>
          <w:p>
            <w:pPr>
              <w:spacing w:before="30" w:after="30" w:line="276" w:lineRule="auto"/>
            </w:pPr>
            <w:r>
              <w:rPr>
                <w:rFonts w:ascii="Calibri" w:hAnsi="Calibri"/>
                <w:color w:val="1E162B"/>
                <w:sz w:val="18"/>
              </w:rPr>
              <w:t>Simulated biometric stream validation on calibrated scenario ranges</w:t>
            </w:r>
          </w:p>
        </w:tc>
      </w:tr>
      <w:tr>
        <w:tc>
          <w:tcPr>
            <w:tcW w:type="dxa" w:w="2257"/>
            <w:shd w:val="clear" w:color="auto" w:fill="FFFFFF"/>
          </w:tcPr>
          <w:p>
            <w:pPr>
              <w:spacing w:before="30" w:after="30" w:line="276" w:lineRule="auto"/>
            </w:pPr>
            <w:r>
              <w:rPr>
                <w:rFonts w:ascii="Calibri" w:hAnsi="Calibri"/>
                <w:color w:val="1E162B"/>
                <w:sz w:val="18"/>
              </w:rPr>
              <w:t>Track 4</w:t>
            </w:r>
          </w:p>
        </w:tc>
        <w:tc>
          <w:tcPr>
            <w:tcW w:type="dxa" w:w="2257"/>
            <w:shd w:val="clear" w:color="auto" w:fill="FFFFFF"/>
          </w:tcPr>
          <w:p>
            <w:pPr>
              <w:spacing w:before="30" w:after="30" w:line="276" w:lineRule="auto"/>
            </w:pPr>
            <w:r>
              <w:rPr>
                <w:rFonts w:ascii="Calibri" w:hAnsi="Calibri"/>
                <w:color w:val="1E162B"/>
                <w:sz w:val="18"/>
              </w:rPr>
              <w:t>Trust Score Correlation</w:t>
            </w:r>
          </w:p>
        </w:tc>
        <w:tc>
          <w:tcPr>
            <w:tcW w:type="dxa" w:w="2257"/>
            <w:shd w:val="clear" w:color="auto" w:fill="FFFFFF"/>
          </w:tcPr>
          <w:p>
            <w:pPr>
              <w:spacing w:before="30" w:after="30" w:line="276" w:lineRule="auto"/>
            </w:pPr>
            <w:r>
              <w:rPr>
                <w:rFonts w:ascii="Calibri" w:hAnsi="Calibri"/>
                <w:color w:val="1E162B"/>
                <w:sz w:val="18"/>
              </w:rPr>
              <w:t>Spearman ρ ≥ 0.75</w:t>
            </w:r>
          </w:p>
        </w:tc>
        <w:tc>
          <w:tcPr>
            <w:tcW w:type="dxa" w:w="2257"/>
            <w:shd w:val="clear" w:color="auto" w:fill="FFFFFF"/>
          </w:tcPr>
          <w:p>
            <w:pPr>
              <w:spacing w:before="30" w:after="30" w:line="276" w:lineRule="auto"/>
            </w:pPr>
            <w:r>
              <w:rPr>
                <w:rFonts w:ascii="Calibri" w:hAnsi="Calibri"/>
                <w:color w:val="1E162B"/>
                <w:sz w:val="18"/>
              </w:rPr>
              <w:t>Hold-out report validation set; RF output vs. ground-truth labels</w:t>
            </w:r>
          </w:p>
        </w:tc>
      </w:tr>
      <w:tr>
        <w:tc>
          <w:tcPr>
            <w:tcW w:type="dxa" w:w="2257"/>
            <w:shd w:val="clear" w:color="auto" w:fill="F9F5FF"/>
          </w:tcPr>
          <w:p>
            <w:pPr>
              <w:spacing w:before="30" w:after="30" w:line="276" w:lineRule="auto"/>
            </w:pPr>
            <w:r>
              <w:rPr>
                <w:rFonts w:ascii="Calibri" w:hAnsi="Calibri"/>
                <w:color w:val="1E162B"/>
                <w:sz w:val="18"/>
              </w:rPr>
              <w:t>Track 5</w:t>
            </w:r>
          </w:p>
        </w:tc>
        <w:tc>
          <w:tcPr>
            <w:tcW w:type="dxa" w:w="2257"/>
            <w:shd w:val="clear" w:color="auto" w:fill="F9F5FF"/>
          </w:tcPr>
          <w:p>
            <w:pPr>
              <w:spacing w:before="30" w:after="30" w:line="276" w:lineRule="auto"/>
            </w:pPr>
            <w:r>
              <w:rPr>
                <w:rFonts w:ascii="Calibri" w:hAnsi="Calibri"/>
                <w:color w:val="1E162B"/>
                <w:sz w:val="18"/>
              </w:rPr>
              <w:t>Companion Quality Rating</w:t>
            </w:r>
          </w:p>
        </w:tc>
        <w:tc>
          <w:tcPr>
            <w:tcW w:type="dxa" w:w="2257"/>
            <w:shd w:val="clear" w:color="auto" w:fill="F9F5FF"/>
          </w:tcPr>
          <w:p>
            <w:pPr>
              <w:spacing w:before="30" w:after="30" w:line="276" w:lineRule="auto"/>
            </w:pPr>
            <w:r>
              <w:rPr>
                <w:rFonts w:ascii="Calibri" w:hAnsi="Calibri"/>
                <w:color w:val="1E162B"/>
                <w:sz w:val="18"/>
              </w:rPr>
              <w:t>≥ 4.2 / 5.0</w:t>
            </w:r>
          </w:p>
        </w:tc>
        <w:tc>
          <w:tcPr>
            <w:tcW w:type="dxa" w:w="2257"/>
            <w:shd w:val="clear" w:color="auto" w:fill="F9F5FF"/>
          </w:tcPr>
          <w:p>
            <w:pPr>
              <w:spacing w:before="30" w:after="30" w:line="276" w:lineRule="auto"/>
            </w:pPr>
            <w:r>
              <w:rPr>
                <w:rFonts w:ascii="Calibri" w:hAnsi="Calibri"/>
                <w:color w:val="1E162B"/>
                <w:sz w:val="18"/>
              </w:rPr>
              <w:t>Human expert panel; 100 test scenarios; 20 evaluators</w:t>
            </w:r>
          </w:p>
        </w:tc>
      </w:tr>
    </w:tbl>
    <w:p/>
    <w:p/>
    <w:p>
      <w:pPr>
        <w:spacing w:before="40" w:after="40" w:line="276" w:lineRule="auto"/>
      </w:pPr>
      <w:r>
        <w:rPr>
          <w:color w:val="E83D84"/>
          <w:sz w:val="16"/>
        </w:rPr>
        <w:t>──────────────────────────────────────────────────────────────────────────────────────────</w:t>
      </w:r>
    </w:p>
    <w:p>
      <w:pPr>
        <w:jc w:val="center"/>
        <w:spacing w:before="40" w:after="0" w:line="276" w:lineRule="auto"/>
      </w:pPr>
      <w:r>
        <w:rPr>
          <w:rFonts w:ascii="Calibri" w:hAnsi="Calibri"/>
          <w:color w:val="635875"/>
          <w:sz w:val="16"/>
        </w:rPr>
        <w:t>SafeHerAI  ·  E Gaithika  ·  VIT-AP University  ·  MSME Idea Hackathon 6.0  ·  28 August 2026  ·  Ref: 26INC06AP044404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