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17"/>
      </w:tblGrid>
      <w:tr>
        <w:tc>
          <w:tcPr>
            <w:tcW w:type="dxa" w:w="9317"/>
            <w:shd w:val="clear" w:color="auto" w:fill="1E162B"/>
          </w:tcPr>
          <w:p>
            <w:pPr>
              <w:jc w:val="center"/>
              <w:spacing w:before="90" w:after="10" w:line="276" w:lineRule="auto"/>
            </w:pPr>
            <w:r>
              <w:rPr>
                <w:rFonts w:ascii="Calibri" w:hAnsi="Calibri"/>
                <w:b/>
                <w:color w:val="E11D74"/>
                <w:sz w:val="64"/>
              </w:rPr>
              <w:t>SafeHerAI</w:t>
            </w:r>
          </w:p>
          <w:p>
            <w:pPr>
              <w:jc w:val="center"/>
              <w:spacing w:before="0" w:after="10" w:line="276" w:lineRule="auto"/>
            </w:pPr>
            <w:r>
              <w:rPr>
                <w:rFonts w:ascii="Calibri" w:hAnsi="Calibri"/>
                <w:b/>
                <w:color w:val="FFFFFF"/>
                <w:sz w:val="29"/>
              </w:rPr>
              <w:t>Unified AI Journey Risk Intelligence Platform</w:t>
            </w:r>
          </w:p>
          <w:p>
            <w:pPr>
              <w:jc w:val="center"/>
              <w:spacing w:before="0" w:after="10" w:line="276" w:lineRule="auto"/>
            </w:pPr>
            <w:r>
              <w:rPr>
                <w:rFonts w:ascii="Calibri" w:hAnsi="Calibri"/>
                <w:color w:val="D5BEFF"/>
                <w:sz w:val="19"/>
              </w:rPr>
              <w:t>Continuous 3-Zone Multi-Stream Fusion · Rust Edge Gateway · B2B/B2G Architecture</w:t>
            </w:r>
          </w:p>
          <w:p>
            <w:pPr>
              <w:jc w:val="center"/>
              <w:spacing w:before="15" w:after="75" w:line="276" w:lineRule="auto"/>
            </w:pPr>
            <w:r>
              <w:rPr>
                <w:rFonts w:ascii="Calibri" w:hAnsi="Calibri"/>
                <w:color w:val="A08EC0"/>
                <w:sz w:val="17"/>
              </w:rPr>
              <w:t>Project Design Document · MSME Idea Hackathon 6.0</w:t>
            </w:r>
          </w:p>
        </w:tc>
      </w:tr>
    </w:tbl>
    <w:p/>
    <w:tbl>
      <w:tblPr>
        <w:tblStyle w:val="TableGrid"/>
        <w:tblW w:type="auto" w:w="0"/>
        <w:jc w:val="left"/>
        <w:tblLook w:firstColumn="1" w:firstRow="1" w:lastColumn="0" w:lastRow="0" w:noHBand="0" w:noVBand="1" w:val="04A0"/>
      </w:tblPr>
      <w:tblGrid>
        <w:gridCol w:w="4658"/>
        <w:gridCol w:w="4658"/>
      </w:tblGrid>
      <w:tr>
        <w:tc>
          <w:tcPr>
            <w:tcW w:type="dxa" w:w="4658"/>
            <w:shd w:val="clear" w:color="auto" w:fill="F3EEFF"/>
          </w:tcPr>
          <w:p>
            <w:pPr>
              <w:spacing w:before="24" w:after="24" w:line="276" w:lineRule="auto"/>
            </w:pPr>
            <w:r>
              <w:rPr>
                <w:rFonts w:ascii="Calibri" w:hAnsi="Calibri"/>
                <w:b/>
                <w:color w:val="7C3AED"/>
                <w:sz w:val="18"/>
              </w:rPr>
              <w:t>Innovator Name</w:t>
            </w:r>
          </w:p>
        </w:tc>
        <w:tc>
          <w:tcPr>
            <w:tcW w:type="dxa" w:w="4658"/>
            <w:shd w:val="clear" w:color="auto" w:fill="FFFFFF"/>
          </w:tcPr>
          <w:p>
            <w:pPr>
              <w:spacing w:before="24" w:after="24" w:line="276" w:lineRule="auto"/>
            </w:pPr>
            <w:r>
              <w:rPr>
                <w:rFonts w:ascii="Calibri" w:hAnsi="Calibri"/>
                <w:color w:val="1E162B"/>
                <w:sz w:val="18"/>
              </w:rPr>
              <w:t>E Gaithika</w:t>
            </w:r>
          </w:p>
        </w:tc>
      </w:tr>
      <w:tr>
        <w:tc>
          <w:tcPr>
            <w:tcW w:type="dxa" w:w="4658"/>
            <w:shd w:val="clear" w:color="auto" w:fill="FAF8FF"/>
          </w:tcPr>
          <w:p>
            <w:pPr>
              <w:spacing w:before="24" w:after="24" w:line="276" w:lineRule="auto"/>
            </w:pPr>
            <w:r>
              <w:rPr>
                <w:rFonts w:ascii="Calibri" w:hAnsi="Calibri"/>
                <w:b/>
                <w:color w:val="7C3AED"/>
                <w:sz w:val="18"/>
              </w:rPr>
              <w:t>Institution</w:t>
            </w:r>
          </w:p>
        </w:tc>
        <w:tc>
          <w:tcPr>
            <w:tcW w:type="dxa" w:w="4658"/>
            <w:shd w:val="clear" w:color="auto" w:fill="FAFAFA"/>
          </w:tcPr>
          <w:p>
            <w:pPr>
              <w:spacing w:before="24" w:after="24" w:line="276" w:lineRule="auto"/>
            </w:pPr>
            <w:r>
              <w:rPr>
                <w:rFonts w:ascii="Calibri" w:hAnsi="Calibri"/>
                <w:color w:val="1E162B"/>
                <w:sz w:val="18"/>
              </w:rPr>
              <w:t>VIT-AP University</w:t>
            </w:r>
          </w:p>
        </w:tc>
      </w:tr>
      <w:tr>
        <w:tc>
          <w:tcPr>
            <w:tcW w:type="dxa" w:w="4658"/>
            <w:shd w:val="clear" w:color="auto" w:fill="F3EEFF"/>
          </w:tcPr>
          <w:p>
            <w:pPr>
              <w:spacing w:before="24" w:after="24" w:line="276" w:lineRule="auto"/>
            </w:pPr>
            <w:r>
              <w:rPr>
                <w:rFonts w:ascii="Calibri" w:hAnsi="Calibri"/>
                <w:b/>
                <w:color w:val="7C3AED"/>
                <w:sz w:val="18"/>
              </w:rPr>
              <w:t>Date of Submission</w:t>
            </w:r>
          </w:p>
        </w:tc>
        <w:tc>
          <w:tcPr>
            <w:tcW w:type="dxa" w:w="4658"/>
            <w:shd w:val="clear" w:color="auto" w:fill="FFFFFF"/>
          </w:tcPr>
          <w:p>
            <w:pPr>
              <w:spacing w:before="24" w:after="24" w:line="276" w:lineRule="auto"/>
            </w:pPr>
            <w:r>
              <w:rPr>
                <w:rFonts w:ascii="Calibri" w:hAnsi="Calibri"/>
                <w:color w:val="1E162B"/>
                <w:sz w:val="18"/>
              </w:rPr>
              <w:t>28 August 2026</w:t>
            </w:r>
          </w:p>
        </w:tc>
      </w:tr>
      <w:tr>
        <w:tc>
          <w:tcPr>
            <w:tcW w:type="dxa" w:w="4658"/>
            <w:shd w:val="clear" w:color="auto" w:fill="FAF8FF"/>
          </w:tcPr>
          <w:p>
            <w:pPr>
              <w:spacing w:before="24" w:after="24" w:line="276" w:lineRule="auto"/>
            </w:pPr>
            <w:r>
              <w:rPr>
                <w:rFonts w:ascii="Calibri" w:hAnsi="Calibri"/>
                <w:b/>
                <w:color w:val="7C3AED"/>
                <w:sz w:val="18"/>
              </w:rPr>
              <w:t>Hackathon Programme</w:t>
            </w:r>
          </w:p>
        </w:tc>
        <w:tc>
          <w:tcPr>
            <w:tcW w:type="dxa" w:w="4658"/>
            <w:shd w:val="clear" w:color="auto" w:fill="FAFAFA"/>
          </w:tcPr>
          <w:p>
            <w:pPr>
              <w:spacing w:before="24" w:after="24" w:line="276" w:lineRule="auto"/>
            </w:pPr>
            <w:r>
              <w:rPr>
                <w:rFonts w:ascii="Calibri" w:hAnsi="Calibri"/>
                <w:color w:val="1E162B"/>
                <w:sz w:val="18"/>
              </w:rPr>
              <w:t>MSME Idea Hackathon 6.0 (Ministry of MSME, Govt. of India)</w:t>
            </w:r>
          </w:p>
        </w:tc>
      </w:tr>
      <w:tr>
        <w:tc>
          <w:tcPr>
            <w:tcW w:type="dxa" w:w="4658"/>
            <w:shd w:val="clear" w:color="auto" w:fill="F3EEFF"/>
          </w:tcPr>
          <w:p>
            <w:pPr>
              <w:spacing w:before="24" w:after="24" w:line="276" w:lineRule="auto"/>
            </w:pPr>
            <w:r>
              <w:rPr>
                <w:rFonts w:ascii="Calibri" w:hAnsi="Calibri"/>
                <w:b/>
                <w:color w:val="7C3AED"/>
                <w:sz w:val="18"/>
              </w:rPr>
              <w:t>Thematic Area</w:t>
            </w:r>
          </w:p>
        </w:tc>
        <w:tc>
          <w:tcPr>
            <w:tcW w:type="dxa" w:w="4658"/>
            <w:shd w:val="clear" w:color="auto" w:fill="FFFFFF"/>
          </w:tcPr>
          <w:p>
            <w:pPr>
              <w:spacing w:before="24" w:after="24" w:line="276" w:lineRule="auto"/>
            </w:pPr>
            <w:r>
              <w:rPr>
                <w:rFonts w:ascii="Calibri" w:hAnsi="Calibri"/>
                <w:color w:val="1E162B"/>
                <w:sz w:val="18"/>
              </w:rPr>
              <w:t>Other Frontier Technologies</w:t>
            </w:r>
          </w:p>
        </w:tc>
      </w:tr>
      <w:tr>
        <w:tc>
          <w:tcPr>
            <w:tcW w:type="dxa" w:w="4658"/>
            <w:shd w:val="clear" w:color="auto" w:fill="FAF8FF"/>
          </w:tcPr>
          <w:p>
            <w:pPr>
              <w:spacing w:before="24" w:after="24" w:line="276" w:lineRule="auto"/>
            </w:pPr>
            <w:r>
              <w:rPr>
                <w:rFonts w:ascii="Calibri" w:hAnsi="Calibri"/>
                <w:b/>
                <w:color w:val="7C3AED"/>
                <w:sz w:val="18"/>
              </w:rPr>
              <w:t>Applicant Category</w:t>
            </w:r>
          </w:p>
        </w:tc>
        <w:tc>
          <w:tcPr>
            <w:tcW w:type="dxa" w:w="4658"/>
            <w:shd w:val="clear" w:color="auto" w:fill="FAFAFA"/>
          </w:tcPr>
          <w:p>
            <w:pPr>
              <w:spacing w:before="24" w:after="24" w:line="276" w:lineRule="auto"/>
            </w:pPr>
            <w:r>
              <w:rPr>
                <w:rFonts w:ascii="Calibri" w:hAnsi="Calibri"/>
                <w:color w:val="1E162B"/>
                <w:sz w:val="18"/>
              </w:rPr>
              <w:t>Student Innovation (Independent Student Project)</w:t>
            </w:r>
          </w:p>
        </w:tc>
      </w:tr>
      <w:tr>
        <w:tc>
          <w:tcPr>
            <w:tcW w:type="dxa" w:w="4658"/>
            <w:shd w:val="clear" w:color="auto" w:fill="F3EEFF"/>
          </w:tcPr>
          <w:p>
            <w:pPr>
              <w:spacing w:before="24" w:after="24" w:line="276" w:lineRule="auto"/>
            </w:pPr>
            <w:r>
              <w:rPr>
                <w:rFonts w:ascii="Calibri" w:hAnsi="Calibri"/>
                <w:b/>
                <w:color w:val="7C3AED"/>
                <w:sz w:val="18"/>
              </w:rPr>
              <w:t>Application Reference ID</w:t>
            </w:r>
          </w:p>
        </w:tc>
        <w:tc>
          <w:tcPr>
            <w:tcW w:type="dxa" w:w="4658"/>
            <w:shd w:val="clear" w:color="auto" w:fill="FFFFFF"/>
          </w:tcPr>
          <w:p>
            <w:pPr>
              <w:spacing w:before="24" w:after="24" w:line="276" w:lineRule="auto"/>
            </w:pPr>
            <w:r>
              <w:rPr>
                <w:rFonts w:ascii="Calibri" w:hAnsi="Calibri"/>
                <w:color w:val="1E162B"/>
                <w:sz w:val="18"/>
              </w:rPr>
              <w:t>26INC06AP044404</w:t>
            </w:r>
          </w:p>
        </w:tc>
      </w:tr>
      <w:tr>
        <w:tc>
          <w:tcPr>
            <w:tcW w:type="dxa" w:w="4658"/>
            <w:shd w:val="clear" w:color="auto" w:fill="FAF8FF"/>
          </w:tcPr>
          <w:p>
            <w:pPr>
              <w:spacing w:before="24" w:after="24" w:line="276" w:lineRule="auto"/>
            </w:pPr>
            <w:r>
              <w:rPr>
                <w:rFonts w:ascii="Calibri" w:hAnsi="Calibri"/>
                <w:b/>
                <w:color w:val="7C3AED"/>
                <w:sz w:val="18"/>
              </w:rPr>
              <w:t>Current POC Status</w:t>
            </w:r>
          </w:p>
        </w:tc>
        <w:tc>
          <w:tcPr>
            <w:tcW w:type="dxa" w:w="4658"/>
            <w:shd w:val="clear" w:color="auto" w:fill="FAFAFA"/>
          </w:tcPr>
          <w:p>
            <w:pPr>
              <w:spacing w:before="24" w:after="24" w:line="276" w:lineRule="auto"/>
            </w:pPr>
            <w:r>
              <w:rPr>
                <w:rFonts w:ascii="Calibri" w:hAnsi="Calibri"/>
                <w:color w:val="1E162B"/>
                <w:sz w:val="18"/>
              </w:rPr>
              <w:t>Functional Working Codebase (FastAPI + Streamlit + Flutter + Gemini 2.0)</w:t>
            </w:r>
          </w:p>
        </w:tc>
      </w:tr>
    </w:tbl>
    <w:p>
      <w:r>
        <w:br w:type="page"/>
      </w:r>
    </w:p>
    <w:p>
      <w:pPr>
        <w:spacing w:before="180" w:after="70" w:line="276" w:lineRule="auto"/>
        <w:pBdr>
          <w:left w:val="single" w:sz="24" w:space="4" w:color="E11D74"/>
        </w:pBdr>
      </w:pPr>
      <w:r>
        <w:rPr>
          <w:rFonts w:ascii="Calibri" w:hAnsi="Calibri"/>
          <w:b/>
          <w:color w:val="E11D74"/>
          <w:sz w:val="27"/>
        </w:rPr>
        <w:t>Executive Summary &amp; Innovation Hierarchy</w:t>
      </w:r>
    </w:p>
    <w:p>
      <w:pPr>
        <w:spacing w:before="0" w:after="45" w:line="276" w:lineRule="auto"/>
      </w:pPr>
      <w:r>
        <w:rPr>
          <w:rFonts w:ascii="Calibri" w:hAnsi="Calibri"/>
          <w:color w:val="1E162B"/>
          <w:sz w:val="19"/>
        </w:rPr>
        <w:t>SafeHerAI is an industrial-grade, AI-driven women's journey safety intelligence platform. Rather than attempting to build five disparate applications simultaneously, SafeHerAI concentrates entirely on a single core technological breakthrough: the Unified Journey Risk State (UJRS). The UJRS is a continuously maintained, mathematical safety state computed in real time that dynamically fuses geospatial risk, real-time trajectory anomalies, community-verified hazard consensus, and physiological stress telemetry.</w:t>
      </w:r>
    </w:p>
    <w:p>
      <w:pPr>
        <w:spacing w:before="0" w:after="45" w:line="276" w:lineRule="auto"/>
      </w:pPr>
      <w:r>
        <w:rPr>
          <w:rFonts w:ascii="Calibri" w:hAnsi="Calibri"/>
          <w:color w:val="1E162B"/>
          <w:sz w:val="19"/>
        </w:rPr>
        <w:t>To ensure uncompromising real-time execution, low memory footprint, and low battery consumption on entry-level Android devices, SafeHerAI introduces a 3-Zone Hybrid Architecture: lightweight edge mathematical feature extraction in Rust via FFI on a ~15MB Flutter client (Zone 1), a high-concurrency Rust Axum WebSocket Edge Gateway handling sub-5ms anomaly scoring (Zone 2), and an asynchronous Cloud Intelligence layer in Python for heavy geospatial spatial indexing, community clustering, and Gemini 2.5 LLM reasoning (Zone 3).</w:t>
      </w:r>
    </w:p>
    <w:tbl>
      <w:tblPr>
        <w:tblStyle w:val="TableGrid"/>
        <w:tblW w:type="auto" w:w="0"/>
        <w:jc w:val="left"/>
        <w:tblLook w:firstColumn="1" w:firstRow="1" w:lastColumn="0" w:lastRow="0" w:noHBand="0" w:noVBand="1" w:val="04A0"/>
      </w:tblPr>
      <w:tblGrid>
        <w:gridCol w:w="9317"/>
      </w:tblGrid>
      <w:tr>
        <w:tc>
          <w:tcPr>
            <w:tcW w:type="dxa" w:w="9317"/>
            <w:shd w:val="clear" w:color="auto" w:fill="F3EEFF"/>
          </w:tcPr>
          <w:p>
            <w:pPr>
              <w:spacing w:before="35" w:after="35" w:line="276" w:lineRule="auto"/>
            </w:pPr>
            <w:r>
              <w:rPr>
                <w:rFonts w:ascii="Calibri" w:hAnsi="Calibri"/>
                <w:b/>
                <w:color w:val="7C3AED"/>
                <w:sz w:val="18"/>
              </w:rPr>
              <w:t xml:space="preserve">  ▶  Core Technical Thesis  </w:t>
            </w:r>
            <w:r>
              <w:rPr>
                <w:rFonts w:ascii="Calibri" w:hAnsi="Calibri"/>
                <w:color w:val="1E162B"/>
                <w:sz w:val="18"/>
              </w:rPr>
              <w:t>SafeHerAI does not merely trigger reactive emergency alarms. It continuously models and adapts to the risk envelope of an active journey, enabling proactive intervention before an emergency occurs.</w:t>
            </w:r>
          </w:p>
        </w:tc>
      </w:tr>
    </w:tbl>
    <w:p/>
    <w:p>
      <w:pPr>
        <w:spacing w:before="110" w:after="40" w:line="276" w:lineRule="auto"/>
      </w:pPr>
      <w:r>
        <w:rPr>
          <w:rFonts w:ascii="Calibri" w:hAnsi="Calibri"/>
          <w:b/>
          <w:color w:val="7C3AED"/>
          <w:sz w:val="22"/>
        </w:rPr>
        <w:t>Architectural Hierarchy — Clear Product Scoping</w:t>
      </w:r>
    </w:p>
    <w:p>
      <w:pPr>
        <w:spacing w:before="0" w:after="45" w:line="276" w:lineRule="auto"/>
      </w:pPr>
      <w:r>
        <w:rPr>
          <w:rFonts w:ascii="Calibri" w:hAnsi="Calibri"/>
          <w:color w:val="1E162B"/>
          <w:sz w:val="19"/>
        </w:rPr>
        <w:t>To provide absolute clarity to evaluators, SafeHerAI's capabilities are strictly tiered into four functional levels, defining exactly what constitutes the core innovation, what is demonstrated at prototype stage, and what represents the commercial roadmap:</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color="auto" w:fill="1E162B"/>
          </w:tcPr>
          <w:p>
            <w:pPr>
              <w:spacing w:before="30" w:after="30" w:line="276" w:lineRule="auto"/>
            </w:pPr>
            <w:r>
              <w:rPr>
                <w:rFonts w:ascii="Calibri" w:hAnsi="Calibri"/>
                <w:b/>
                <w:color w:val="FFFFFF"/>
                <w:sz w:val="17"/>
              </w:rPr>
              <w:t>Tier</w:t>
            </w:r>
          </w:p>
        </w:tc>
        <w:tc>
          <w:tcPr>
            <w:tcW w:type="dxa" w:w="2329"/>
            <w:shd w:val="clear" w:color="auto" w:fill="1E162B"/>
          </w:tcPr>
          <w:p>
            <w:pPr>
              <w:spacing w:before="30" w:after="30" w:line="276" w:lineRule="auto"/>
            </w:pPr>
            <w:r>
              <w:rPr>
                <w:rFonts w:ascii="Calibri" w:hAnsi="Calibri"/>
                <w:b/>
                <w:color w:val="FFFFFF"/>
                <w:sz w:val="17"/>
              </w:rPr>
              <w:t>Component &amp; Modules</w:t>
            </w:r>
          </w:p>
        </w:tc>
        <w:tc>
          <w:tcPr>
            <w:tcW w:type="dxa" w:w="2329"/>
            <w:shd w:val="clear" w:color="auto" w:fill="1E162B"/>
          </w:tcPr>
          <w:p>
            <w:pPr>
              <w:spacing w:before="30" w:after="30" w:line="276" w:lineRule="auto"/>
            </w:pPr>
            <w:r>
              <w:rPr>
                <w:rFonts w:ascii="Calibri" w:hAnsi="Calibri"/>
                <w:b/>
                <w:color w:val="FFFFFF"/>
                <w:sz w:val="17"/>
              </w:rPr>
              <w:t>Implementation Status</w:t>
            </w:r>
          </w:p>
        </w:tc>
        <w:tc>
          <w:tcPr>
            <w:tcW w:type="dxa" w:w="2329"/>
            <w:shd w:val="clear" w:color="auto" w:fill="1E162B"/>
          </w:tcPr>
          <w:p>
            <w:pPr>
              <w:spacing w:before="30" w:after="30" w:line="276" w:lineRule="auto"/>
            </w:pPr>
            <w:r>
              <w:rPr>
                <w:rFonts w:ascii="Calibri" w:hAnsi="Calibri"/>
                <w:b/>
                <w:color w:val="FFFFFF"/>
                <w:sz w:val="17"/>
              </w:rPr>
              <w:t>Role in Prototype &amp; Hackathon Demo</w:t>
            </w:r>
          </w:p>
        </w:tc>
      </w:tr>
      <w:tr>
        <w:tc>
          <w:tcPr>
            <w:tcW w:type="dxa" w:w="2329"/>
            <w:shd w:val="clear" w:color="auto" w:fill="F9F5FF"/>
          </w:tcPr>
          <w:p>
            <w:pPr>
              <w:spacing w:before="25" w:after="25" w:line="276" w:lineRule="auto"/>
            </w:pPr>
            <w:r>
              <w:rPr>
                <w:rFonts w:ascii="Calibri" w:hAnsi="Calibri"/>
                <w:color w:val="1E162B"/>
                <w:sz w:val="17"/>
              </w:rPr>
              <w:t>Tier 1</w:t>
              <w:br/>
              <w:t>(Core Invention)</w:t>
            </w:r>
          </w:p>
        </w:tc>
        <w:tc>
          <w:tcPr>
            <w:tcW w:type="dxa" w:w="2329"/>
            <w:shd w:val="clear" w:color="auto" w:fill="F9F5FF"/>
          </w:tcPr>
          <w:p>
            <w:pPr>
              <w:spacing w:before="25" w:after="25" w:line="276" w:lineRule="auto"/>
            </w:pPr>
            <w:r>
              <w:rPr>
                <w:rFonts w:ascii="Calibri" w:hAnsi="Calibri"/>
                <w:color w:val="1E162B"/>
                <w:sz w:val="17"/>
              </w:rPr>
              <w:t>Unified Journey Risk State (UJRS)</w:t>
              <w:br/>
              <w:t>· 6-Service Event-Driven Orchestration</w:t>
              <w:br/>
              <w:t>· Real-time Risk Fusion Engine</w:t>
            </w:r>
          </w:p>
        </w:tc>
        <w:tc>
          <w:tcPr>
            <w:tcW w:type="dxa" w:w="2329"/>
            <w:shd w:val="clear" w:color="auto" w:fill="F9F5FF"/>
          </w:tcPr>
          <w:p>
            <w:pPr>
              <w:spacing w:before="25" w:after="25" w:line="276" w:lineRule="auto"/>
            </w:pPr>
            <w:r>
              <w:rPr>
                <w:rFonts w:ascii="Calibri" w:hAnsi="Calibri"/>
                <w:color w:val="1E162B"/>
                <w:sz w:val="17"/>
              </w:rPr>
              <w:t>Working simulation in existing POC codebase; Redis-backed state machine.</w:t>
            </w:r>
          </w:p>
        </w:tc>
        <w:tc>
          <w:tcPr>
            <w:tcW w:type="dxa" w:w="2329"/>
            <w:shd w:val="clear" w:color="auto" w:fill="F9F5FF"/>
          </w:tcPr>
          <w:p>
            <w:pPr>
              <w:spacing w:before="25" w:after="25" w:line="276" w:lineRule="auto"/>
            </w:pPr>
            <w:r>
              <w:rPr>
                <w:rFonts w:ascii="Calibri" w:hAnsi="Calibri"/>
                <w:color w:val="1E162B"/>
                <w:sz w:val="17"/>
              </w:rPr>
              <w:t>The fundamental invention. Maintains a coherent, evolving risk state across all data streams.</w:t>
            </w:r>
          </w:p>
        </w:tc>
      </w:tr>
      <w:tr>
        <w:tc>
          <w:tcPr>
            <w:tcW w:type="dxa" w:w="2329"/>
            <w:shd w:val="clear" w:color="auto" w:fill="FFFFFF"/>
          </w:tcPr>
          <w:p>
            <w:pPr>
              <w:spacing w:before="25" w:after="25" w:line="276" w:lineRule="auto"/>
            </w:pPr>
            <w:r>
              <w:rPr>
                <w:rFonts w:ascii="Calibri" w:hAnsi="Calibri"/>
                <w:color w:val="1E162B"/>
                <w:sz w:val="17"/>
              </w:rPr>
              <w:t>Tier 2</w:t>
              <w:br/>
              <w:t>(Primary Prototype)</w:t>
            </w:r>
          </w:p>
        </w:tc>
        <w:tc>
          <w:tcPr>
            <w:tcW w:type="dxa" w:w="2329"/>
            <w:shd w:val="clear" w:color="auto" w:fill="FFFFFF"/>
          </w:tcPr>
          <w:p>
            <w:pPr>
              <w:spacing w:before="25" w:after="25" w:line="276" w:lineRule="auto"/>
            </w:pPr>
            <w:r>
              <w:rPr>
                <w:rFonts w:ascii="Calibri" w:hAnsi="Calibri"/>
                <w:color w:val="1E162B"/>
                <w:sz w:val="17"/>
              </w:rPr>
              <w:t>Track 1: AI Safety Map &amp; Counterfactual Routing</w:t>
              <w:br/>
              <w:t>Track 2: Journey Digital Twin &amp; Anomaly Detection</w:t>
            </w:r>
          </w:p>
        </w:tc>
        <w:tc>
          <w:tcPr>
            <w:tcW w:type="dxa" w:w="2329"/>
            <w:shd w:val="clear" w:color="auto" w:fill="FFFFFF"/>
          </w:tcPr>
          <w:p>
            <w:pPr>
              <w:spacing w:before="25" w:after="25" w:line="276" w:lineRule="auto"/>
            </w:pPr>
            <w:r>
              <w:rPr>
                <w:rFonts w:ascii="Calibri" w:hAnsi="Calibri"/>
                <w:color w:val="1E162B"/>
                <w:sz w:val="17"/>
              </w:rPr>
              <w:t>Track 1: Working Plotly heatmap &amp; XGBoost design.</w:t>
              <w:br/>
              <w:t>Track 2: Working journey simulation &amp; Isolation Forest design.</w:t>
            </w:r>
          </w:p>
        </w:tc>
        <w:tc>
          <w:tcPr>
            <w:tcW w:type="dxa" w:w="2329"/>
            <w:shd w:val="clear" w:color="auto" w:fill="FFFFFF"/>
          </w:tcPr>
          <w:p>
            <w:pPr>
              <w:spacing w:before="25" w:after="25" w:line="276" w:lineRule="auto"/>
            </w:pPr>
            <w:r>
              <w:rPr>
                <w:rFonts w:ascii="Calibri" w:hAnsi="Calibri"/>
                <w:color w:val="1E162B"/>
                <w:sz w:val="17"/>
              </w:rPr>
              <w:t>The primary demonstrable deliverables. Validates spatial exposure routing and real-time trajectory deviation detection.</w:t>
            </w:r>
          </w:p>
        </w:tc>
      </w:tr>
      <w:tr>
        <w:tc>
          <w:tcPr>
            <w:tcW w:type="dxa" w:w="2329"/>
            <w:shd w:val="clear" w:color="auto" w:fill="F9F5FF"/>
          </w:tcPr>
          <w:p>
            <w:pPr>
              <w:spacing w:before="25" w:after="25" w:line="276" w:lineRule="auto"/>
            </w:pPr>
            <w:r>
              <w:rPr>
                <w:rFonts w:ascii="Calibri" w:hAnsi="Calibri"/>
                <w:color w:val="1E162B"/>
                <w:sz w:val="17"/>
              </w:rPr>
              <w:t>Tier 3</w:t>
              <w:br/>
              <w:t>(Supporting Intelligence)</w:t>
            </w:r>
          </w:p>
        </w:tc>
        <w:tc>
          <w:tcPr>
            <w:tcW w:type="dxa" w:w="2329"/>
            <w:shd w:val="clear" w:color="auto" w:fill="F9F5FF"/>
          </w:tcPr>
          <w:p>
            <w:pPr>
              <w:spacing w:before="25" w:after="25" w:line="276" w:lineRule="auto"/>
            </w:pPr>
            <w:r>
              <w:rPr>
                <w:rFonts w:ascii="Calibri" w:hAnsi="Calibri"/>
                <w:color w:val="1E162B"/>
                <w:sz w:val="17"/>
              </w:rPr>
              <w:t>Track 4: Community Safety Sentinel</w:t>
              <w:br/>
              <w:t>Track 5: AI Safety Companion &amp; Grievance Engine</w:t>
            </w:r>
          </w:p>
        </w:tc>
        <w:tc>
          <w:tcPr>
            <w:tcW w:type="dxa" w:w="2329"/>
            <w:shd w:val="clear" w:color="auto" w:fill="F9F5FF"/>
          </w:tcPr>
          <w:p>
            <w:pPr>
              <w:spacing w:before="25" w:after="25" w:line="276" w:lineRule="auto"/>
            </w:pPr>
            <w:r>
              <w:rPr>
                <w:rFonts w:ascii="Calibri" w:hAnsi="Calibri"/>
                <w:color w:val="1E162B"/>
                <w:sz w:val="17"/>
              </w:rPr>
              <w:t>Track 4: Working report submission &amp; trust scoring design.</w:t>
              <w:br/>
              <w:t>Track 5: Live Gemini 2.0 Flash companion with API key.</w:t>
            </w:r>
          </w:p>
        </w:tc>
        <w:tc>
          <w:tcPr>
            <w:tcW w:type="dxa" w:w="2329"/>
            <w:shd w:val="clear" w:color="auto" w:fill="F9F5FF"/>
          </w:tcPr>
          <w:p>
            <w:pPr>
              <w:spacing w:before="25" w:after="25" w:line="276" w:lineRule="auto"/>
            </w:pPr>
            <w:r>
              <w:rPr>
                <w:rFonts w:ascii="Calibri" w:hAnsi="Calibri"/>
                <w:color w:val="1E162B"/>
                <w:sz w:val="17"/>
              </w:rPr>
              <w:t>Demonstrates multi-stream fusion and legal assistance (auto-generating BNS-compliant FIR drafts).</w:t>
            </w:r>
          </w:p>
        </w:tc>
      </w:tr>
      <w:tr>
        <w:tc>
          <w:tcPr>
            <w:tcW w:type="dxa" w:w="2329"/>
            <w:shd w:val="clear" w:color="auto" w:fill="FFFFFF"/>
          </w:tcPr>
          <w:p>
            <w:pPr>
              <w:spacing w:before="25" w:after="25" w:line="276" w:lineRule="auto"/>
            </w:pPr>
            <w:r>
              <w:rPr>
                <w:rFonts w:ascii="Calibri" w:hAnsi="Calibri"/>
                <w:color w:val="1E162B"/>
                <w:sz w:val="17"/>
              </w:rPr>
              <w:t>Tier 4</w:t>
              <w:br/>
              <w:t>(Future Hardware Track)</w:t>
            </w:r>
          </w:p>
        </w:tc>
        <w:tc>
          <w:tcPr>
            <w:tcW w:type="dxa" w:w="2329"/>
            <w:shd w:val="clear" w:color="auto" w:fill="FFFFFF"/>
          </w:tcPr>
          <w:p>
            <w:pPr>
              <w:spacing w:before="25" w:after="25" w:line="276" w:lineRule="auto"/>
            </w:pPr>
            <w:r>
              <w:rPr>
                <w:rFonts w:ascii="Calibri" w:hAnsi="Calibri"/>
                <w:color w:val="1E162B"/>
                <w:sz w:val="17"/>
              </w:rPr>
              <w:t>Track 3: Wearable Safety Intelligence</w:t>
              <w:br/>
              <w:t>· Physiological Distress Classifier</w:t>
            </w:r>
          </w:p>
        </w:tc>
        <w:tc>
          <w:tcPr>
            <w:tcW w:type="dxa" w:w="2329"/>
            <w:shd w:val="clear" w:color="auto" w:fill="FFFFFF"/>
          </w:tcPr>
          <w:p>
            <w:pPr>
              <w:spacing w:before="25" w:after="25" w:line="276" w:lineRule="auto"/>
            </w:pPr>
            <w:r>
              <w:rPr>
                <w:rFonts w:ascii="Calibri" w:hAnsi="Calibri"/>
                <w:color w:val="1E162B"/>
                <w:sz w:val="17"/>
              </w:rPr>
              <w:t>Simulated biometric streaming &amp; fear probability estimator in existing codebase.</w:t>
            </w:r>
          </w:p>
        </w:tc>
        <w:tc>
          <w:tcPr>
            <w:tcW w:type="dxa" w:w="2329"/>
            <w:shd w:val="clear" w:color="auto" w:fill="FFFFFF"/>
          </w:tcPr>
          <w:p>
            <w:pPr>
              <w:spacing w:before="25" w:after="25" w:line="276" w:lineRule="auto"/>
            </w:pPr>
            <w:r>
              <w:rPr>
                <w:rFonts w:ascii="Calibri" w:hAnsi="Calibri"/>
                <w:color w:val="1E162B"/>
                <w:sz w:val="17"/>
              </w:rPr>
              <w:t>Demonstrated via calibrated sensor simulation. Physical hardware BLE pairing is scheduled for post-pilot Phase 2.</w:t>
            </w:r>
          </w:p>
        </w:tc>
      </w:tr>
    </w:tbl>
    <w:p/>
    <w:tbl>
      <w:tblPr>
        <w:tblStyle w:val="TableGrid"/>
        <w:tblW w:type="auto" w:w="0"/>
        <w:jc w:val="left"/>
        <w:tblLook w:firstColumn="1" w:firstRow="1" w:lastColumn="0" w:lastRow="0" w:noHBand="0" w:noVBand="1" w:val="04A0"/>
      </w:tblPr>
      <w:tblGrid>
        <w:gridCol w:w="9317"/>
      </w:tblGrid>
      <w:tr>
        <w:tc>
          <w:tcPr>
            <w:tcW w:type="dxa" w:w="9317"/>
            <w:shd w:val="clear" w:color="auto" w:fill="FFFBEB"/>
          </w:tcPr>
          <w:p>
            <w:pPr>
              <w:spacing w:before="35" w:after="35" w:line="276" w:lineRule="auto"/>
            </w:pPr>
            <w:r>
              <w:rPr>
                <w:rFonts w:ascii="Calibri" w:hAnsi="Calibri"/>
                <w:b/>
                <w:color w:val="D97706"/>
                <w:sz w:val="18"/>
              </w:rPr>
              <w:t xml:space="preserve">  ⚠  Transparent Performance Categorisation  </w:t>
            </w:r>
            <w:r>
              <w:rPr>
                <w:rFonts w:ascii="Calibri" w:hAnsi="Calibri"/>
                <w:color w:val="1E162B"/>
                <w:sz w:val="18"/>
              </w:rPr>
              <w:t>Throughout this document, metrics are strictly classified into: (1) Currently Validated in pre-existing working code, (2) 90-Day Pilot Target to be benchmarked during the post-hackathon sprint, and (3) Projected Production at commercial scale. Pilot targets represent success criteria, not pre-mature claims.</w:t>
            </w:r>
          </w:p>
        </w:tc>
      </w:tr>
    </w:tbl>
    <w:p/>
    <w:p>
      <w:r>
        <w:br w:type="page"/>
      </w:r>
    </w:p>
    <w:p>
      <w:pPr>
        <w:spacing w:before="180" w:after="70" w:line="276" w:lineRule="auto"/>
        <w:pBdr>
          <w:left w:val="single" w:sz="24" w:space="4" w:color="E11D74"/>
        </w:pBdr>
      </w:pPr>
      <w:r>
        <w:rPr>
          <w:rFonts w:ascii="Calibri" w:hAnsi="Calibri"/>
          <w:b/>
          <w:color w:val="E11D74"/>
          <w:sz w:val="27"/>
        </w:rPr>
        <w:t>1.  Project Definition, Prior Art &amp; Differentiators</w:t>
      </w:r>
    </w:p>
    <w:p>
      <w:pPr>
        <w:spacing w:before="110" w:after="40" w:line="276" w:lineRule="auto"/>
      </w:pPr>
      <w:r>
        <w:rPr>
          <w:rFonts w:ascii="Calibri" w:hAnsi="Calibri"/>
          <w:b/>
          <w:color w:val="7C3AED"/>
          <w:sz w:val="22"/>
        </w:rPr>
        <w:t>1.1  The Societal &amp; Industry Challenge</w:t>
      </w:r>
    </w:p>
    <w:p>
      <w:pPr>
        <w:spacing w:before="0" w:after="45" w:line="276" w:lineRule="auto"/>
      </w:pPr>
      <w:r>
        <w:rPr>
          <w:rFonts w:ascii="Calibri" w:hAnsi="Calibri"/>
          <w:color w:val="1E162B"/>
          <w:sz w:val="19"/>
        </w:rPr>
        <w:t>According to the National Crime Records Bureau (NCRB) 'Crime in India 2024' report, 4,41,534 cases of crimes against women were registered in 2024, averaging over 1,210 reported incidents daily. In urban metropolitan areas like Hyderabad, crimes against women remain a pervasive concern, with Telangana reporting 128.6 cases per lakh population. However, official statistics capture only a fraction of reality: empirical studies by BITS Pilani Hyderabad indicate that over 50% of women commuters experience harassment on public transit, yet independent surveys (EThames, 2025) reveal that only 11% of incidents are formally reported to law enforcement.</w:t>
      </w:r>
    </w:p>
    <w:p>
      <w:pPr>
        <w:spacing w:before="0" w:after="45" w:line="276" w:lineRule="auto"/>
      </w:pPr>
      <w:r>
        <w:rPr>
          <w:rFonts w:ascii="Calibri" w:hAnsi="Calibri"/>
          <w:color w:val="1E162B"/>
          <w:sz w:val="19"/>
        </w:rPr>
        <w:t>Existing market solutions suffer from three fatal systemic flaws:</w:t>
      </w:r>
    </w:p>
    <w:p>
      <w:pPr>
        <w:pStyle w:val="ListBullet"/>
        <w:spacing w:before="0" w:after="25" w:line="276" w:lineRule="auto"/>
        <w:ind w:left="360"/>
      </w:pPr>
      <w:r>
        <w:rPr>
          <w:rFonts w:ascii="Calibri" w:hAnsi="Calibri"/>
          <w:color w:val="1E162B"/>
          <w:sz w:val="19"/>
        </w:rPr>
        <w:t>1. Purely Reactive Panic Triggers: Conventional SOS apps (e.g., Himmat+, bSafe) require the victim to physically unlock their smartphone, navigate an app, or press a panic button during an active assault — an unrealistic assumption in sudden or coercive attacks.</w:t>
      </w:r>
    </w:p>
    <w:p>
      <w:pPr>
        <w:pStyle w:val="ListBullet"/>
        <w:spacing w:before="0" w:after="25" w:line="276" w:lineRule="auto"/>
        <w:ind w:left="360"/>
      </w:pPr>
      <w:r>
        <w:rPr>
          <w:rFonts w:ascii="Calibri" w:hAnsi="Calibri"/>
          <w:color w:val="1E162B"/>
          <w:sz w:val="19"/>
        </w:rPr>
        <w:t>2. Isolated Data Silos: Navigation apps (Google Maps, Apple Maps) optimize strictly for shortest travel time or minimal traffic, routing users through poorly lit or crime-dense alleys. Conversely, crime audit tools (Safetipin) offer static historical heatmaps disconnected from active transit tracking.</w:t>
      </w:r>
    </w:p>
    <w:p>
      <w:pPr>
        <w:pStyle w:val="ListBullet"/>
        <w:spacing w:before="0" w:after="25" w:line="276" w:lineRule="auto"/>
        <w:ind w:left="360"/>
      </w:pPr>
      <w:r>
        <w:rPr>
          <w:rFonts w:ascii="Calibri" w:hAnsi="Calibri"/>
          <w:color w:val="1E162B"/>
          <w:sz w:val="19"/>
        </w:rPr>
        <w:t>3. Cognitive &amp; Emotional Reporting Friction: Survivors face severe procedural barriers, victim-blaming, and lack of legal literacy when filing First Information Reports (FIRs), causing widespread underreporting.</w:t>
      </w:r>
    </w:p>
    <w:p>
      <w:pPr>
        <w:spacing w:before="110" w:after="40" w:line="276" w:lineRule="auto"/>
      </w:pPr>
      <w:r>
        <w:rPr>
          <w:rFonts w:ascii="Calibri" w:hAnsi="Calibri"/>
          <w:b/>
          <w:color w:val="7C3AED"/>
          <w:sz w:val="22"/>
        </w:rPr>
        <w:t>1.2  Prior Art Analysis &amp; Defensible Novelty Claim</w:t>
      </w:r>
    </w:p>
    <w:p>
      <w:pPr>
        <w:spacing w:before="0" w:after="45" w:line="276" w:lineRule="auto"/>
      </w:pPr>
      <w:r>
        <w:rPr>
          <w:rFonts w:ascii="Calibri" w:hAnsi="Calibri"/>
          <w:color w:val="1E162B"/>
          <w:sz w:val="19"/>
        </w:rPr>
        <w:t>An exhaustive review of 42 Indian and international patent applications and commercial platforms confirms that while individual components (safe routing, tracking, SOS triggers) exist in prior art, no existing system orchestrates heterogeneous personal safety signals into a unified, continuously evolving journey risk state.</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color="auto" w:fill="1E162B"/>
          </w:tcPr>
          <w:p>
            <w:pPr>
              <w:spacing w:before="30" w:after="30" w:line="276" w:lineRule="auto"/>
            </w:pPr>
            <w:r>
              <w:rPr>
                <w:rFonts w:ascii="Calibri" w:hAnsi="Calibri"/>
                <w:b/>
                <w:color w:val="FFFFFF"/>
                <w:sz w:val="17"/>
              </w:rPr>
              <w:t>Prior Art Reference</w:t>
            </w:r>
          </w:p>
        </w:tc>
        <w:tc>
          <w:tcPr>
            <w:tcW w:type="dxa" w:w="3106"/>
            <w:shd w:val="clear" w:color="auto" w:fill="1E162B"/>
          </w:tcPr>
          <w:p>
            <w:pPr>
              <w:spacing w:before="30" w:after="30" w:line="276" w:lineRule="auto"/>
            </w:pPr>
            <w:r>
              <w:rPr>
                <w:rFonts w:ascii="Calibri" w:hAnsi="Calibri"/>
                <w:b/>
                <w:color w:val="FFFFFF"/>
                <w:sz w:val="17"/>
              </w:rPr>
              <w:t>Disclosed Scope &amp; Overlap</w:t>
            </w:r>
          </w:p>
        </w:tc>
        <w:tc>
          <w:tcPr>
            <w:tcW w:type="dxa" w:w="3106"/>
            <w:shd w:val="clear" w:color="auto" w:fill="1E162B"/>
          </w:tcPr>
          <w:p>
            <w:pPr>
              <w:spacing w:before="30" w:after="30" w:line="276" w:lineRule="auto"/>
            </w:pPr>
            <w:r>
              <w:rPr>
                <w:rFonts w:ascii="Calibri" w:hAnsi="Calibri"/>
                <w:b/>
                <w:color w:val="FFFFFF"/>
                <w:sz w:val="17"/>
              </w:rPr>
              <w:t>Defensible Technical Distinction of SafeHerAI</w:t>
            </w:r>
          </w:p>
        </w:tc>
      </w:tr>
      <w:tr>
        <w:tc>
          <w:tcPr>
            <w:tcW w:type="dxa" w:w="3106"/>
            <w:shd w:val="clear" w:color="auto" w:fill="F9F5FF"/>
          </w:tcPr>
          <w:p>
            <w:pPr>
              <w:spacing w:before="25" w:after="25" w:line="276" w:lineRule="auto"/>
            </w:pPr>
            <w:r>
              <w:rPr>
                <w:rFonts w:ascii="Calibri" w:hAnsi="Calibri"/>
                <w:color w:val="1E162B"/>
                <w:sz w:val="17"/>
              </w:rPr>
              <w:t>IN202521013842 (2025)</w:t>
              <w:br/>
              <w:t>AI-Powered Travel Safety &amp; Route Prediction</w:t>
            </w:r>
          </w:p>
        </w:tc>
        <w:tc>
          <w:tcPr>
            <w:tcW w:type="dxa" w:w="3106"/>
            <w:shd w:val="clear" w:color="auto" w:fill="F9F5FF"/>
          </w:tcPr>
          <w:p>
            <w:pPr>
              <w:spacing w:before="25" w:after="25" w:line="276" w:lineRule="auto"/>
            </w:pPr>
            <w:r>
              <w:rPr>
                <w:rFonts w:ascii="Calibri" w:hAnsi="Calibri"/>
                <w:color w:val="1E162B"/>
                <w:sz w:val="17"/>
              </w:rPr>
              <w:t>Geospatial risk analysis and optimal route prediction using historical crime data.</w:t>
            </w:r>
          </w:p>
        </w:tc>
        <w:tc>
          <w:tcPr>
            <w:tcW w:type="dxa" w:w="3106"/>
            <w:shd w:val="clear" w:color="auto" w:fill="F9F5FF"/>
          </w:tcPr>
          <w:p>
            <w:pPr>
              <w:spacing w:before="25" w:after="25" w:line="276" w:lineRule="auto"/>
            </w:pPr>
            <w:r>
              <w:rPr>
                <w:rFonts w:ascii="Calibri" w:hAnsi="Calibri"/>
                <w:color w:val="1E162B"/>
                <w:sz w:val="17"/>
              </w:rPr>
              <w:t>Prior art calculates a static route score at departure. SafeHerAI maintains an active Journey Digital Twin that continuously re-evaluates risk dynamically every 3 seconds based on live deviation, community alerts, and biometrics.</w:t>
            </w:r>
          </w:p>
        </w:tc>
      </w:tr>
      <w:tr>
        <w:tc>
          <w:tcPr>
            <w:tcW w:type="dxa" w:w="3106"/>
            <w:shd w:val="clear" w:color="auto" w:fill="FFFFFF"/>
          </w:tcPr>
          <w:p>
            <w:pPr>
              <w:spacing w:before="25" w:after="25" w:line="276" w:lineRule="auto"/>
            </w:pPr>
            <w:r>
              <w:rPr>
                <w:rFonts w:ascii="Calibri" w:hAnsi="Calibri"/>
                <w:color w:val="1E162B"/>
                <w:sz w:val="17"/>
              </w:rPr>
              <w:t>IN202641075596 (2026)</w:t>
              <w:br/>
              <w:t>SafeHer: Real-Time Emergency Alert &amp; Secure Route</w:t>
            </w:r>
          </w:p>
        </w:tc>
        <w:tc>
          <w:tcPr>
            <w:tcW w:type="dxa" w:w="3106"/>
            <w:shd w:val="clear" w:color="auto" w:fill="FFFFFF"/>
          </w:tcPr>
          <w:p>
            <w:pPr>
              <w:spacing w:before="25" w:after="25" w:line="276" w:lineRule="auto"/>
            </w:pPr>
            <w:r>
              <w:rPr>
                <w:rFonts w:ascii="Calibri" w:hAnsi="Calibri"/>
                <w:color w:val="1E162B"/>
                <w:sz w:val="17"/>
              </w:rPr>
              <w:t>Emergency alerting and navigation application for women's travel.</w:t>
            </w:r>
          </w:p>
        </w:tc>
        <w:tc>
          <w:tcPr>
            <w:tcW w:type="dxa" w:w="3106"/>
            <w:shd w:val="clear" w:color="auto" w:fill="FFFFFF"/>
          </w:tcPr>
          <w:p>
            <w:pPr>
              <w:spacing w:before="25" w:after="25" w:line="276" w:lineRule="auto"/>
            </w:pPr>
            <w:r>
              <w:rPr>
                <w:rFonts w:ascii="Calibri" w:hAnsi="Calibri"/>
                <w:color w:val="1E162B"/>
                <w:sz w:val="17"/>
              </w:rPr>
              <w:t>Prior art provides navigation overlays with manual SOS. SafeHerAI implements an unsupervised Isolation Forest + DTW anomaly engine that autonomously detects deviation without user input.</w:t>
            </w:r>
          </w:p>
        </w:tc>
      </w:tr>
      <w:tr>
        <w:tc>
          <w:tcPr>
            <w:tcW w:type="dxa" w:w="3106"/>
            <w:shd w:val="clear" w:color="auto" w:fill="F9F5FF"/>
          </w:tcPr>
          <w:p>
            <w:pPr>
              <w:spacing w:before="25" w:after="25" w:line="276" w:lineRule="auto"/>
            </w:pPr>
            <w:r>
              <w:rPr>
                <w:rFonts w:ascii="Calibri" w:hAnsi="Calibri"/>
                <w:color w:val="1E162B"/>
                <w:sz w:val="17"/>
              </w:rPr>
              <w:t>IN202641085373 (2026)</w:t>
              <w:br/>
              <w:t>Digital Twin-Enabled Smart Safety Band</w:t>
            </w:r>
          </w:p>
        </w:tc>
        <w:tc>
          <w:tcPr>
            <w:tcW w:type="dxa" w:w="3106"/>
            <w:shd w:val="clear" w:color="auto" w:fill="F9F5FF"/>
          </w:tcPr>
          <w:p>
            <w:pPr>
              <w:spacing w:before="25" w:after="25" w:line="276" w:lineRule="auto"/>
            </w:pPr>
            <w:r>
              <w:rPr>
                <w:rFonts w:ascii="Calibri" w:hAnsi="Calibri"/>
                <w:color w:val="1E162B"/>
                <w:sz w:val="17"/>
              </w:rPr>
              <w:t>Wearable smart band with predictive threat detection.</w:t>
            </w:r>
          </w:p>
        </w:tc>
        <w:tc>
          <w:tcPr>
            <w:tcW w:type="dxa" w:w="3106"/>
            <w:shd w:val="clear" w:color="auto" w:fill="F9F5FF"/>
          </w:tcPr>
          <w:p>
            <w:pPr>
              <w:spacing w:before="25" w:after="25" w:line="276" w:lineRule="auto"/>
            </w:pPr>
            <w:r>
              <w:rPr>
                <w:rFonts w:ascii="Calibri" w:hAnsi="Calibri"/>
                <w:color w:val="1E162B"/>
                <w:sz w:val="17"/>
              </w:rPr>
              <w:t>Prior art is wearable-hardware centric. SafeHerAI is a cross-platform software architecture fusing wearable signals with spatial and community streams into a unified backend risk model.</w:t>
            </w:r>
          </w:p>
        </w:tc>
      </w:tr>
      <w:tr>
        <w:tc>
          <w:tcPr>
            <w:tcW w:type="dxa" w:w="3106"/>
            <w:shd w:val="clear" w:color="auto" w:fill="FFFFFF"/>
          </w:tcPr>
          <w:p>
            <w:pPr>
              <w:spacing w:before="25" w:after="25" w:line="276" w:lineRule="auto"/>
            </w:pPr>
            <w:r>
              <w:rPr>
                <w:rFonts w:ascii="Calibri" w:hAnsi="Calibri"/>
                <w:color w:val="1E162B"/>
                <w:sz w:val="17"/>
              </w:rPr>
              <w:t>IN202421032333 (2024)</w:t>
              <w:br/>
              <w:t>SafeStride: AI-Powered Women Safety Application</w:t>
            </w:r>
          </w:p>
        </w:tc>
        <w:tc>
          <w:tcPr>
            <w:tcW w:type="dxa" w:w="3106"/>
            <w:shd w:val="clear" w:color="auto" w:fill="FFFFFF"/>
          </w:tcPr>
          <w:p>
            <w:pPr>
              <w:spacing w:before="25" w:after="25" w:line="276" w:lineRule="auto"/>
            </w:pPr>
            <w:r>
              <w:rPr>
                <w:rFonts w:ascii="Calibri" w:hAnsi="Calibri"/>
                <w:color w:val="1E162B"/>
                <w:sz w:val="17"/>
              </w:rPr>
              <w:t>Alternative safe-route recommendation and multi-trigger SOS.</w:t>
            </w:r>
          </w:p>
        </w:tc>
        <w:tc>
          <w:tcPr>
            <w:tcW w:type="dxa" w:w="3106"/>
            <w:shd w:val="clear" w:color="auto" w:fill="FFFFFF"/>
          </w:tcPr>
          <w:p>
            <w:pPr>
              <w:spacing w:before="25" w:after="25" w:line="276" w:lineRule="auto"/>
            </w:pPr>
            <w:r>
              <w:rPr>
                <w:rFonts w:ascii="Calibri" w:hAnsi="Calibri"/>
                <w:color w:val="1E162B"/>
                <w:sz w:val="17"/>
              </w:rPr>
              <w:t>SafeHerAI incorporates SHAP-explained counterfactual routing (explaining *why* a route is safer) and an LLM-driven legal grievance engine mapping incidents directly to Bharatiya Nyaya Sanhita (BNS) sections.</w:t>
            </w:r>
          </w:p>
        </w:tc>
      </w:tr>
      <w:tr>
        <w:tc>
          <w:tcPr>
            <w:tcW w:type="dxa" w:w="3106"/>
            <w:shd w:val="clear" w:color="auto" w:fill="F9F5FF"/>
          </w:tcPr>
          <w:p>
            <w:pPr>
              <w:spacing w:before="25" w:after="25" w:line="276" w:lineRule="auto"/>
            </w:pPr>
            <w:r>
              <w:rPr>
                <w:rFonts w:ascii="Calibri" w:hAnsi="Calibri"/>
                <w:color w:val="1E162B"/>
                <w:sz w:val="17"/>
              </w:rPr>
              <w:t>Safetipin / SafeCity (Commercial Tools)</w:t>
            </w:r>
          </w:p>
        </w:tc>
        <w:tc>
          <w:tcPr>
            <w:tcW w:type="dxa" w:w="3106"/>
            <w:shd w:val="clear" w:color="auto" w:fill="F9F5FF"/>
          </w:tcPr>
          <w:p>
            <w:pPr>
              <w:spacing w:before="25" w:after="25" w:line="276" w:lineRule="auto"/>
            </w:pPr>
            <w:r>
              <w:rPr>
                <w:rFonts w:ascii="Calibri" w:hAnsi="Calibri"/>
                <w:color w:val="1E162B"/>
                <w:sz w:val="17"/>
              </w:rPr>
              <w:t>Static urban safety audits and crowdsourced harassment pin mapping.</w:t>
            </w:r>
          </w:p>
        </w:tc>
        <w:tc>
          <w:tcPr>
            <w:tcW w:type="dxa" w:w="3106"/>
            <w:shd w:val="clear" w:color="auto" w:fill="F9F5FF"/>
          </w:tcPr>
          <w:p>
            <w:pPr>
              <w:spacing w:before="25" w:after="25" w:line="276" w:lineRule="auto"/>
            </w:pPr>
            <w:r>
              <w:rPr>
                <w:rFonts w:ascii="Calibri" w:hAnsi="Calibri"/>
                <w:color w:val="1E162B"/>
                <w:sz w:val="17"/>
              </w:rPr>
              <w:t>SafeCity/Safetipin operate as passive informational crowdmaps. SafeHerAI actively integrates community reports into real-time routing algorithms via PostGIS DBSCAN spatial clustering and Random Forest trust scoring.</w:t>
            </w:r>
          </w:p>
        </w:tc>
      </w:tr>
    </w:tbl>
    <w:p/>
    <w:tbl>
      <w:tblPr>
        <w:tblStyle w:val="TableGrid"/>
        <w:tblW w:type="auto" w:w="0"/>
        <w:jc w:val="left"/>
        <w:tblLook w:firstColumn="1" w:firstRow="1" w:lastColumn="0" w:lastRow="0" w:noHBand="0" w:noVBand="1" w:val="04A0"/>
      </w:tblPr>
      <w:tblGrid>
        <w:gridCol w:w="9317"/>
      </w:tblGrid>
      <w:tr>
        <w:tc>
          <w:tcPr>
            <w:tcW w:type="dxa" w:w="9317"/>
            <w:shd w:val="clear" w:color="auto" w:fill="F3EEFF"/>
          </w:tcPr>
          <w:p>
            <w:pPr>
              <w:spacing w:before="35" w:after="35" w:line="276" w:lineRule="auto"/>
            </w:pPr>
            <w:r>
              <w:rPr>
                <w:rFonts w:ascii="Calibri" w:hAnsi="Calibri"/>
                <w:b/>
                <w:color w:val="7C3AED"/>
                <w:sz w:val="18"/>
              </w:rPr>
              <w:t xml:space="preserve">  ▶  Defensible Novelty Statement  </w:t>
            </w:r>
            <w:r>
              <w:rPr>
                <w:rFonts w:ascii="Calibri" w:hAnsi="Calibri"/>
                <w:color w:val="1E162B"/>
                <w:sz w:val="18"/>
              </w:rPr>
              <w:t>SafeHerAI does not claim to invent safe routing or GPS tracking in isolation. Its defensible patentable novelty lies in the real-time, multi-stream orchestration of spatial, trajectory, community, and physiological signals into a single evolving Unified Journey Risk State (UJRS), governed by an auditable, deterministic edge-cloud architecture.</w:t>
            </w:r>
          </w:p>
        </w:tc>
      </w:tr>
    </w:tbl>
    <w:p/>
    <w:p>
      <w:pPr>
        <w:spacing w:before="110" w:after="40" w:line="276" w:lineRule="auto"/>
      </w:pPr>
      <w:r>
        <w:rPr>
          <w:rFonts w:ascii="Calibri" w:hAnsi="Calibri"/>
          <w:b/>
          <w:color w:val="7C3AED"/>
          <w:sz w:val="22"/>
        </w:rPr>
        <w:t>1.3  Alignment with 'Other Frontier Technologies' Theme</w:t>
      </w:r>
    </w:p>
    <w:p>
      <w:pPr>
        <w:spacing w:before="0" w:after="45" w:line="276" w:lineRule="auto"/>
      </w:pPr>
      <w:r>
        <w:rPr>
          <w:rFonts w:ascii="Calibri" w:hAnsi="Calibri"/>
          <w:color w:val="1E162B"/>
          <w:sz w:val="19"/>
        </w:rPr>
        <w:t>SafeHerAI aligns squarely with the MSME Idea Hackathon 6.0 theme 'Other Frontier Technologies' by synthesizing four advanced computational paradigms into public safety:</w:t>
      </w:r>
    </w:p>
    <w:p>
      <w:pPr>
        <w:pStyle w:val="ListBullet"/>
        <w:spacing w:before="0" w:after="25" w:line="276" w:lineRule="auto"/>
        <w:ind w:left="360"/>
      </w:pPr>
      <w:r>
        <w:rPr>
          <w:rFonts w:ascii="Calibri" w:hAnsi="Calibri"/>
          <w:color w:val="1E162B"/>
          <w:sz w:val="19"/>
        </w:rPr>
        <w:t>1. Edge Computing in Rust: Compiling high-throughput spatial algorithms and anomaly detection into native machine code for sub-millisecond execution with minimal memory footprint.</w:t>
      </w:r>
    </w:p>
    <w:p>
      <w:pPr>
        <w:pStyle w:val="ListBullet"/>
        <w:spacing w:before="0" w:after="25" w:line="276" w:lineRule="auto"/>
        <w:ind w:left="360"/>
      </w:pPr>
      <w:r>
        <w:rPr>
          <w:rFonts w:ascii="Calibri" w:hAnsi="Calibri"/>
          <w:color w:val="1E162B"/>
          <w:sz w:val="19"/>
        </w:rPr>
        <w:t>2. Unsupervised Spatial ML: Combining Isolation Forest with Dynamic Time Warping (DTW) on streaming trajectory vectors, eliminating the need for impossible-to-obtain labeled assault datasets.</w:t>
      </w:r>
    </w:p>
    <w:p>
      <w:pPr>
        <w:pStyle w:val="ListBullet"/>
        <w:spacing w:before="0" w:after="25" w:line="276" w:lineRule="auto"/>
        <w:ind w:left="360"/>
      </w:pPr>
      <w:r>
        <w:rPr>
          <w:rFonts w:ascii="Calibri" w:hAnsi="Calibri"/>
          <w:color w:val="1E162B"/>
          <w:sz w:val="19"/>
        </w:rPr>
        <w:t>3. Explainable AI (XAI): Employing SHAP (SHapley Additive exPlanations) on tree ensembles to provide human-interpretable counterfactual route reasoning.</w:t>
      </w:r>
    </w:p>
    <w:p>
      <w:pPr>
        <w:pStyle w:val="ListBullet"/>
        <w:spacing w:before="0" w:after="25" w:line="276" w:lineRule="auto"/>
        <w:ind w:left="360"/>
      </w:pPr>
      <w:r>
        <w:rPr>
          <w:rFonts w:ascii="Calibri" w:hAnsi="Calibri"/>
          <w:color w:val="1E162B"/>
          <w:sz w:val="19"/>
        </w:rPr>
        <w:t>4. Grounded Multimodal LLM Reasoning: Utilizing Gemini 2.5 Flash with live contextual payload injection and Gemini 2.5 Pro with structured schema output for automated, legally sound FIR drafting under BNS 2024.</w:t>
      </w:r>
    </w:p>
    <w:p>
      <w:r>
        <w:br w:type="page"/>
      </w:r>
    </w:p>
    <w:p>
      <w:pPr>
        <w:spacing w:before="180" w:after="70" w:line="276" w:lineRule="auto"/>
        <w:pBdr>
          <w:left w:val="single" w:sz="24" w:space="4" w:color="E11D74"/>
        </w:pBdr>
      </w:pPr>
      <w:r>
        <w:rPr>
          <w:rFonts w:ascii="Calibri" w:hAnsi="Calibri"/>
          <w:b/>
          <w:color w:val="E11D74"/>
          <w:sz w:val="27"/>
        </w:rPr>
        <w:t>2.  System Architecture &amp; Performance Engineering</w:t>
      </w:r>
    </w:p>
    <w:p>
      <w:pPr>
        <w:spacing w:before="110" w:after="40" w:line="276" w:lineRule="auto"/>
      </w:pPr>
      <w:r>
        <w:rPr>
          <w:rFonts w:ascii="Calibri" w:hAnsi="Calibri"/>
          <w:b/>
          <w:color w:val="7C3AED"/>
          <w:sz w:val="22"/>
        </w:rPr>
        <w:t>2.1  The 3-Zone Architecture (Solving Cloud Latency &amp; App Bloat)</w:t>
      </w:r>
    </w:p>
    <w:p>
      <w:pPr>
        <w:spacing w:before="0" w:after="45" w:line="276" w:lineRule="auto"/>
      </w:pPr>
      <w:r>
        <w:rPr>
          <w:rFonts w:ascii="Calibri" w:hAnsi="Calibri"/>
          <w:color w:val="1E162B"/>
          <w:sz w:val="19"/>
        </w:rPr>
        <w:t>A common failure mode of AI safety proposals is attempting to run massive LLMs locally (bloating app binaries to gigabytes and draining battery) or executing all real-time loops on high-latency cloud servers. SafeHerAI resolves this fundamental trade-off through a strictly partitioned 3-Zone Hybrid Architecture:</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color="auto" w:fill="1E162B"/>
          </w:tcPr>
          <w:p>
            <w:pPr>
              <w:spacing w:before="30" w:after="30" w:line="276" w:lineRule="auto"/>
            </w:pPr>
            <w:r>
              <w:rPr>
                <w:rFonts w:ascii="Calibri" w:hAnsi="Calibri"/>
                <w:b/>
                <w:color w:val="FFFFFF"/>
                <w:sz w:val="17"/>
              </w:rPr>
              <w:t>Deployment Zone</w:t>
            </w:r>
          </w:p>
        </w:tc>
        <w:tc>
          <w:tcPr>
            <w:tcW w:type="dxa" w:w="2329"/>
            <w:shd w:val="clear" w:color="auto" w:fill="1E162B"/>
          </w:tcPr>
          <w:p>
            <w:pPr>
              <w:spacing w:before="30" w:after="30" w:line="276" w:lineRule="auto"/>
            </w:pPr>
            <w:r>
              <w:rPr>
                <w:rFonts w:ascii="Calibri" w:hAnsi="Calibri"/>
                <w:b/>
                <w:color w:val="FFFFFF"/>
                <w:sz w:val="17"/>
              </w:rPr>
              <w:t>Execution Runtime &amp; Tech</w:t>
            </w:r>
          </w:p>
        </w:tc>
        <w:tc>
          <w:tcPr>
            <w:tcW w:type="dxa" w:w="2329"/>
            <w:shd w:val="clear" w:color="auto" w:fill="1E162B"/>
          </w:tcPr>
          <w:p>
            <w:pPr>
              <w:spacing w:before="30" w:after="30" w:line="276" w:lineRule="auto"/>
            </w:pPr>
            <w:r>
              <w:rPr>
                <w:rFonts w:ascii="Calibri" w:hAnsi="Calibri"/>
                <w:b/>
                <w:color w:val="FFFFFF"/>
                <w:sz w:val="17"/>
              </w:rPr>
              <w:t>Core Responsibilities</w:t>
            </w:r>
          </w:p>
        </w:tc>
        <w:tc>
          <w:tcPr>
            <w:tcW w:type="dxa" w:w="2329"/>
            <w:shd w:val="clear" w:color="auto" w:fill="1E162B"/>
          </w:tcPr>
          <w:p>
            <w:pPr>
              <w:spacing w:before="30" w:after="30" w:line="276" w:lineRule="auto"/>
            </w:pPr>
            <w:r>
              <w:rPr>
                <w:rFonts w:ascii="Calibri" w:hAnsi="Calibri"/>
                <w:b/>
                <w:color w:val="FFFFFF"/>
                <w:sz w:val="17"/>
              </w:rPr>
              <w:t>Latency &amp; Resource Profile</w:t>
            </w:r>
          </w:p>
        </w:tc>
      </w:tr>
      <w:tr>
        <w:tc>
          <w:tcPr>
            <w:tcW w:type="dxa" w:w="2329"/>
            <w:shd w:val="clear" w:color="auto" w:fill="F9F5FF"/>
          </w:tcPr>
          <w:p>
            <w:pPr>
              <w:spacing w:before="25" w:after="25" w:line="276" w:lineRule="auto"/>
            </w:pPr>
            <w:r>
              <w:rPr>
                <w:rFonts w:ascii="Calibri" w:hAnsi="Calibri"/>
                <w:color w:val="1E162B"/>
                <w:sz w:val="17"/>
              </w:rPr>
              <w:t>Zone 1:</w:t>
              <w:br/>
              <w:t>On-Device Thin Client</w:t>
            </w:r>
          </w:p>
        </w:tc>
        <w:tc>
          <w:tcPr>
            <w:tcW w:type="dxa" w:w="2329"/>
            <w:shd w:val="clear" w:color="auto" w:fill="F9F5FF"/>
          </w:tcPr>
          <w:p>
            <w:pPr>
              <w:spacing w:before="25" w:after="25" w:line="276" w:lineRule="auto"/>
            </w:pPr>
            <w:r>
              <w:rPr>
                <w:rFonts w:ascii="Calibri" w:hAnsi="Calibri"/>
                <w:color w:val="1E162B"/>
                <w:sz w:val="17"/>
              </w:rPr>
              <w:t>Flutter 3.22 (Dart)</w:t>
              <w:br/>
              <w:t>+ Rust Native Core via `flutter_rust_bridge`</w:t>
            </w:r>
          </w:p>
        </w:tc>
        <w:tc>
          <w:tcPr>
            <w:tcW w:type="dxa" w:w="2329"/>
            <w:shd w:val="clear" w:color="auto" w:fill="F9F5FF"/>
          </w:tcPr>
          <w:p>
            <w:pPr>
              <w:spacing w:before="25" w:after="25" w:line="276" w:lineRule="auto"/>
            </w:pPr>
            <w:r>
              <w:rPr>
                <w:rFonts w:ascii="Calibri" w:hAnsi="Calibri"/>
                <w:color w:val="1E162B"/>
                <w:sz w:val="17"/>
              </w:rPr>
              <w:t>· Live GPS capture &amp; timestamping</w:t>
              <w:br/>
              <w:t>· Local mathematical feature extraction (Haversine distance, heading delta in Rust)</w:t>
              <w:br/>
              <w:t>· Offline fallback SOS via native SMS telephony</w:t>
              <w:br/>
              <w:t>· Lightweight UI rendering (~15MB app bundle)</w:t>
            </w:r>
          </w:p>
        </w:tc>
        <w:tc>
          <w:tcPr>
            <w:tcW w:type="dxa" w:w="2329"/>
            <w:shd w:val="clear" w:color="auto" w:fill="F9F5FF"/>
          </w:tcPr>
          <w:p>
            <w:pPr>
              <w:spacing w:before="25" w:after="25" w:line="276" w:lineRule="auto"/>
            </w:pPr>
            <w:r>
              <w:rPr>
                <w:rFonts w:ascii="Calibri" w:hAnsi="Calibri"/>
                <w:color w:val="1E162B"/>
                <w:sz w:val="17"/>
              </w:rPr>
              <w:t>· Feature Math: &lt; 0.05 ms</w:t>
              <w:br/>
              <w:t>· RAM: &lt; 45 MB RSS</w:t>
              <w:br/>
              <w:t>· Battery: &lt; 2.5% per hour active tracking</w:t>
              <w:br/>
              <w:t>· Zero ML models in APK</w:t>
            </w:r>
          </w:p>
        </w:tc>
      </w:tr>
      <w:tr>
        <w:tc>
          <w:tcPr>
            <w:tcW w:type="dxa" w:w="2329"/>
            <w:shd w:val="clear" w:color="auto" w:fill="FFFFFF"/>
          </w:tcPr>
          <w:p>
            <w:pPr>
              <w:spacing w:before="25" w:after="25" w:line="276" w:lineRule="auto"/>
            </w:pPr>
            <w:r>
              <w:rPr>
                <w:rFonts w:ascii="Calibri" w:hAnsi="Calibri"/>
                <w:color w:val="1E162B"/>
                <w:sz w:val="17"/>
              </w:rPr>
              <w:t>Zone 2:</w:t>
              <w:br/>
              <w:t>Rust Edge Gateway</w:t>
            </w:r>
          </w:p>
        </w:tc>
        <w:tc>
          <w:tcPr>
            <w:tcW w:type="dxa" w:w="2329"/>
            <w:shd w:val="clear" w:color="auto" w:fill="FFFFFF"/>
          </w:tcPr>
          <w:p>
            <w:pPr>
              <w:spacing w:before="25" w:after="25" w:line="276" w:lineRule="auto"/>
            </w:pPr>
            <w:r>
              <w:rPr>
                <w:rFonts w:ascii="Calibri" w:hAnsi="Calibri"/>
                <w:color w:val="1E162B"/>
                <w:sz w:val="17"/>
              </w:rPr>
              <w:t>Rust 1.80 (Axum Async)</w:t>
              <w:br/>
              <w:t>+ `linfa` ML Framework</w:t>
              <w:br/>
              <w:t>+ Redis 7.4 In-Memory Store</w:t>
            </w:r>
          </w:p>
        </w:tc>
        <w:tc>
          <w:tcPr>
            <w:tcW w:type="dxa" w:w="2329"/>
            <w:shd w:val="clear" w:color="auto" w:fill="FFFFFF"/>
          </w:tcPr>
          <w:p>
            <w:pPr>
              <w:spacing w:before="25" w:after="25" w:line="276" w:lineRule="auto"/>
            </w:pPr>
            <w:r>
              <w:rPr>
                <w:rFonts w:ascii="Calibri" w:hAnsi="Calibri"/>
                <w:color w:val="1E162B"/>
                <w:sz w:val="17"/>
              </w:rPr>
              <w:t>· High-concurrency WebSocket termination (100K+ concurrent connections per node)</w:t>
              <w:br/>
              <w:t>· Journey Digital Twin real-time state tracking</w:t>
              <w:br/>
              <w:t>· Isolation Forest trajectory anomaly inference</w:t>
              <w:br/>
              <w:t>· Sub-millisecond H3 hex cache lookups</w:t>
              <w:br/>
              <w:t>· Asynchronous FCM alert dispatch</w:t>
            </w:r>
          </w:p>
        </w:tc>
        <w:tc>
          <w:tcPr>
            <w:tcW w:type="dxa" w:w="2329"/>
            <w:shd w:val="clear" w:color="auto" w:fill="FFFFFF"/>
          </w:tcPr>
          <w:p>
            <w:pPr>
              <w:spacing w:before="25" w:after="25" w:line="276" w:lineRule="auto"/>
            </w:pPr>
            <w:r>
              <w:rPr>
                <w:rFonts w:ascii="Calibri" w:hAnsi="Calibri"/>
                <w:color w:val="1E162B"/>
                <w:sz w:val="17"/>
              </w:rPr>
              <w:t>· Anomaly Inference: &lt; 2.0 ms</w:t>
              <w:br/>
              <w:t>· End-to-End Edge Latency: &lt; 15 ms</w:t>
              <w:br/>
              <w:t>· Memory footprint: ~12 MB baseline</w:t>
              <w:br/>
              <w:t>· Zero Python GIL bottlenecks</w:t>
            </w:r>
          </w:p>
        </w:tc>
      </w:tr>
      <w:tr>
        <w:tc>
          <w:tcPr>
            <w:tcW w:type="dxa" w:w="2329"/>
            <w:shd w:val="clear" w:color="auto" w:fill="F9F5FF"/>
          </w:tcPr>
          <w:p>
            <w:pPr>
              <w:spacing w:before="25" w:after="25" w:line="276" w:lineRule="auto"/>
            </w:pPr>
            <w:r>
              <w:rPr>
                <w:rFonts w:ascii="Calibri" w:hAnsi="Calibri"/>
                <w:color w:val="1E162B"/>
                <w:sz w:val="17"/>
              </w:rPr>
              <w:t>Zone 3:</w:t>
              <w:br/>
              <w:t>Cloud Intelligence Core</w:t>
            </w:r>
          </w:p>
        </w:tc>
        <w:tc>
          <w:tcPr>
            <w:tcW w:type="dxa" w:w="2329"/>
            <w:shd w:val="clear" w:color="auto" w:fill="F9F5FF"/>
          </w:tcPr>
          <w:p>
            <w:pPr>
              <w:spacing w:before="25" w:after="25" w:line="276" w:lineRule="auto"/>
            </w:pPr>
            <w:r>
              <w:rPr>
                <w:rFonts w:ascii="Calibri" w:hAnsi="Calibri"/>
                <w:color w:val="1E162B"/>
                <w:sz w:val="17"/>
              </w:rPr>
              <w:t>FastAPI (ASGI Python 3.11)</w:t>
              <w:br/>
              <w:t>+ PostgreSQL 16 / PostGIS 3.4</w:t>
              <w:br/>
              <w:t>+ Celery Distributed Workers</w:t>
              <w:br/>
              <w:t>+ Google Gemini 2.5 Flash / Pro</w:t>
            </w:r>
          </w:p>
        </w:tc>
        <w:tc>
          <w:tcPr>
            <w:tcW w:type="dxa" w:w="2329"/>
            <w:shd w:val="clear" w:color="auto" w:fill="F9F5FF"/>
          </w:tcPr>
          <w:p>
            <w:pPr>
              <w:spacing w:before="25" w:after="25" w:line="276" w:lineRule="auto"/>
            </w:pPr>
            <w:r>
              <w:rPr>
                <w:rFonts w:ascii="Calibri" w:hAnsi="Calibri"/>
                <w:color w:val="1E162B"/>
                <w:sz w:val="17"/>
              </w:rPr>
              <w:t>· Tabular XGBoost environmental risk modeling</w:t>
              <w:br/>
              <w:t>· PostGIS DBSCAN community spatial clustering</w:t>
              <w:br/>
              <w:t>· Random Forest report credibility scoring</w:t>
              <w:br/>
              <w:t>· SSE streaming conversational companion</w:t>
              <w:br/>
              <w:t>· Structured BNS-compliant FIR generation</w:t>
            </w:r>
          </w:p>
        </w:tc>
        <w:tc>
          <w:tcPr>
            <w:tcW w:type="dxa" w:w="2329"/>
            <w:shd w:val="clear" w:color="auto" w:fill="F9F5FF"/>
          </w:tcPr>
          <w:p>
            <w:pPr>
              <w:spacing w:before="25" w:after="25" w:line="276" w:lineRule="auto"/>
            </w:pPr>
            <w:r>
              <w:rPr>
                <w:rFonts w:ascii="Calibri" w:hAnsi="Calibri"/>
                <w:color w:val="1E162B"/>
                <w:sz w:val="17"/>
              </w:rPr>
              <w:t>· Route Generation: &lt; 180 ms</w:t>
              <w:br/>
              <w:t>· Companion First-Token: &lt; 600 ms</w:t>
              <w:br/>
              <w:t>· Async Cluster Refresh: 5-min cycle</w:t>
              <w:br/>
              <w:t>· Horizontal auto-scaling (Cloud Run)</w:t>
            </w:r>
          </w:p>
        </w:tc>
      </w:tr>
    </w:tbl>
    <w:p/>
    <w:p>
      <w:pPr>
        <w:spacing w:before="110" w:after="40" w:line="276" w:lineRule="auto"/>
      </w:pPr>
      <w:r>
        <w:rPr>
          <w:rFonts w:ascii="Calibri" w:hAnsi="Calibri"/>
          <w:b/>
          <w:color w:val="7C3AED"/>
          <w:sz w:val="22"/>
        </w:rPr>
        <w:t>2.2  Consolidated 6-Service Event-Driven Architecture</w:t>
      </w:r>
    </w:p>
    <w:p>
      <w:pPr>
        <w:spacing w:before="0" w:after="45" w:line="276" w:lineRule="auto"/>
      </w:pPr>
      <w:r>
        <w:rPr>
          <w:rFonts w:ascii="Calibri" w:hAnsi="Calibri"/>
          <w:color w:val="1E162B"/>
          <w:sz w:val="19"/>
        </w:rPr>
        <w:t>Rather than deploying an unwieldy swarm of uncoordinated agent nodes, SafeHerAI structures its intelligence into six purpose-built backend micro-services operating over a high-speed Redis Pub/Sub event bus:</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color="auto" w:fill="1E162B"/>
          </w:tcPr>
          <w:p>
            <w:pPr>
              <w:spacing w:before="30" w:after="30" w:line="276" w:lineRule="auto"/>
            </w:pPr>
            <w:r>
              <w:rPr>
                <w:rFonts w:ascii="Calibri" w:hAnsi="Calibri"/>
                <w:b/>
                <w:color w:val="FFFFFF"/>
                <w:sz w:val="17"/>
              </w:rPr>
              <w:t>Service Identifier</w:t>
            </w:r>
          </w:p>
        </w:tc>
        <w:tc>
          <w:tcPr>
            <w:tcW w:type="dxa" w:w="2329"/>
            <w:shd w:val="clear" w:color="auto" w:fill="1E162B"/>
          </w:tcPr>
          <w:p>
            <w:pPr>
              <w:spacing w:before="30" w:after="30" w:line="276" w:lineRule="auto"/>
            </w:pPr>
            <w:r>
              <w:rPr>
                <w:rFonts w:ascii="Calibri" w:hAnsi="Calibri"/>
                <w:b/>
                <w:color w:val="FFFFFF"/>
                <w:sz w:val="17"/>
              </w:rPr>
              <w:t>Underlying Technology</w:t>
            </w:r>
          </w:p>
        </w:tc>
        <w:tc>
          <w:tcPr>
            <w:tcW w:type="dxa" w:w="2329"/>
            <w:shd w:val="clear" w:color="auto" w:fill="1E162B"/>
          </w:tcPr>
          <w:p>
            <w:pPr>
              <w:spacing w:before="30" w:after="30" w:line="276" w:lineRule="auto"/>
            </w:pPr>
            <w:r>
              <w:rPr>
                <w:rFonts w:ascii="Calibri" w:hAnsi="Calibri"/>
                <w:b/>
                <w:color w:val="FFFFFF"/>
                <w:sz w:val="17"/>
              </w:rPr>
              <w:t>Input Trigger</w:t>
            </w:r>
          </w:p>
        </w:tc>
        <w:tc>
          <w:tcPr>
            <w:tcW w:type="dxa" w:w="2329"/>
            <w:shd w:val="clear" w:color="auto" w:fill="1E162B"/>
          </w:tcPr>
          <w:p>
            <w:pPr>
              <w:spacing w:before="30" w:after="30" w:line="276" w:lineRule="auto"/>
            </w:pPr>
            <w:r>
              <w:rPr>
                <w:rFonts w:ascii="Calibri" w:hAnsi="Calibri"/>
                <w:b/>
                <w:color w:val="FFFFFF"/>
                <w:sz w:val="17"/>
              </w:rPr>
              <w:t>Primary Functional Responsibility</w:t>
            </w:r>
          </w:p>
        </w:tc>
      </w:tr>
      <w:tr>
        <w:tc>
          <w:tcPr>
            <w:tcW w:type="dxa" w:w="2329"/>
            <w:shd w:val="clear" w:color="auto" w:fill="F9F5FF"/>
          </w:tcPr>
          <w:p>
            <w:pPr>
              <w:spacing w:before="25" w:after="25" w:line="276" w:lineRule="auto"/>
            </w:pPr>
            <w:r>
              <w:rPr>
                <w:rFonts w:ascii="Calibri" w:hAnsi="Calibri"/>
                <w:color w:val="1E162B"/>
                <w:sz w:val="17"/>
              </w:rPr>
              <w:t>1. Journey Guardian</w:t>
            </w:r>
          </w:p>
        </w:tc>
        <w:tc>
          <w:tcPr>
            <w:tcW w:type="dxa" w:w="2329"/>
            <w:shd w:val="clear" w:color="auto" w:fill="F9F5FF"/>
          </w:tcPr>
          <w:p>
            <w:pPr>
              <w:spacing w:before="25" w:after="25" w:line="276" w:lineRule="auto"/>
            </w:pPr>
            <w:r>
              <w:rPr>
                <w:rFonts w:ascii="Calibri" w:hAnsi="Calibri"/>
                <w:color w:val="1E162B"/>
                <w:sz w:val="17"/>
              </w:rPr>
              <w:t>Rust (Axum + `linfa`)</w:t>
            </w:r>
          </w:p>
        </w:tc>
        <w:tc>
          <w:tcPr>
            <w:tcW w:type="dxa" w:w="2329"/>
            <w:shd w:val="clear" w:color="auto" w:fill="F9F5FF"/>
          </w:tcPr>
          <w:p>
            <w:pPr>
              <w:spacing w:before="25" w:after="25" w:line="276" w:lineRule="auto"/>
            </w:pPr>
            <w:r>
              <w:rPr>
                <w:rFonts w:ascii="Calibri" w:hAnsi="Calibri"/>
                <w:color w:val="1E162B"/>
                <w:sz w:val="17"/>
              </w:rPr>
              <w:t>3-second GPS telemetry stream via WebSocket</w:t>
            </w:r>
          </w:p>
        </w:tc>
        <w:tc>
          <w:tcPr>
            <w:tcW w:type="dxa" w:w="2329"/>
            <w:shd w:val="clear" w:color="auto" w:fill="F9F5FF"/>
          </w:tcPr>
          <w:p>
            <w:pPr>
              <w:spacing w:before="25" w:after="25" w:line="276" w:lineRule="auto"/>
            </w:pPr>
            <w:r>
              <w:rPr>
                <w:rFonts w:ascii="Calibri" w:hAnsi="Calibri"/>
                <w:color w:val="1E162B"/>
                <w:sz w:val="17"/>
              </w:rPr>
              <w:t>Maintains Journey Digital Twin; computes trajectory anomaly score using Isolation Forest + DTW; publishes anomaly events.</w:t>
            </w:r>
          </w:p>
        </w:tc>
      </w:tr>
      <w:tr>
        <w:tc>
          <w:tcPr>
            <w:tcW w:type="dxa" w:w="2329"/>
            <w:shd w:val="clear" w:color="auto" w:fill="FFFFFF"/>
          </w:tcPr>
          <w:p>
            <w:pPr>
              <w:spacing w:before="25" w:after="25" w:line="276" w:lineRule="auto"/>
            </w:pPr>
            <w:r>
              <w:rPr>
                <w:rFonts w:ascii="Calibri" w:hAnsi="Calibri"/>
                <w:color w:val="1E162B"/>
                <w:sz w:val="17"/>
              </w:rPr>
              <w:t>2. Safety Brain</w:t>
            </w:r>
          </w:p>
        </w:tc>
        <w:tc>
          <w:tcPr>
            <w:tcW w:type="dxa" w:w="2329"/>
            <w:shd w:val="clear" w:color="auto" w:fill="FFFFFF"/>
          </w:tcPr>
          <w:p>
            <w:pPr>
              <w:spacing w:before="25" w:after="25" w:line="276" w:lineRule="auto"/>
            </w:pPr>
            <w:r>
              <w:rPr>
                <w:rFonts w:ascii="Calibri" w:hAnsi="Calibri"/>
                <w:color w:val="1E162B"/>
                <w:sz w:val="17"/>
              </w:rPr>
              <w:t>Python (FastAPI + LangGraph state machine)</w:t>
            </w:r>
          </w:p>
        </w:tc>
        <w:tc>
          <w:tcPr>
            <w:tcW w:type="dxa" w:w="2329"/>
            <w:shd w:val="clear" w:color="auto" w:fill="FFFFFF"/>
          </w:tcPr>
          <w:p>
            <w:pPr>
              <w:spacing w:before="25" w:after="25" w:line="276" w:lineRule="auto"/>
            </w:pPr>
            <w:r>
              <w:rPr>
                <w:rFonts w:ascii="Calibri" w:hAnsi="Calibri"/>
                <w:color w:val="1E162B"/>
                <w:sz w:val="17"/>
              </w:rPr>
              <w:t>Anomaly event or periodic 30s timer</w:t>
            </w:r>
          </w:p>
        </w:tc>
        <w:tc>
          <w:tcPr>
            <w:tcW w:type="dxa" w:w="2329"/>
            <w:shd w:val="clear" w:color="auto" w:fill="FFFFFF"/>
          </w:tcPr>
          <w:p>
            <w:pPr>
              <w:spacing w:before="25" w:after="25" w:line="276" w:lineRule="auto"/>
            </w:pPr>
            <w:r>
              <w:rPr>
                <w:rFonts w:ascii="Calibri" w:hAnsi="Calibri"/>
                <w:color w:val="1E162B"/>
                <w:sz w:val="17"/>
              </w:rPr>
              <w:t>Orchestrates the Unified Journey Risk State (UJRS); aggregates spatial, trajectory, community, and biometric scores into a unified 0–1 index.</w:t>
            </w:r>
          </w:p>
        </w:tc>
      </w:tr>
      <w:tr>
        <w:tc>
          <w:tcPr>
            <w:tcW w:type="dxa" w:w="2329"/>
            <w:shd w:val="clear" w:color="auto" w:fill="F9F5FF"/>
          </w:tcPr>
          <w:p>
            <w:pPr>
              <w:spacing w:before="25" w:after="25" w:line="276" w:lineRule="auto"/>
            </w:pPr>
            <w:r>
              <w:rPr>
                <w:rFonts w:ascii="Calibri" w:hAnsi="Calibri"/>
                <w:color w:val="1E162B"/>
                <w:sz w:val="17"/>
              </w:rPr>
              <w:t>3. Escalation Router</w:t>
            </w:r>
          </w:p>
        </w:tc>
        <w:tc>
          <w:tcPr>
            <w:tcW w:type="dxa" w:w="2329"/>
            <w:shd w:val="clear" w:color="auto" w:fill="F9F5FF"/>
          </w:tcPr>
          <w:p>
            <w:pPr>
              <w:spacing w:before="25" w:after="25" w:line="276" w:lineRule="auto"/>
            </w:pPr>
            <w:r>
              <w:rPr>
                <w:rFonts w:ascii="Calibri" w:hAnsi="Calibri"/>
                <w:color w:val="1E162B"/>
                <w:sz w:val="17"/>
              </w:rPr>
              <w:t>Async Python + Firebase Admin SDK</w:t>
            </w:r>
          </w:p>
        </w:tc>
        <w:tc>
          <w:tcPr>
            <w:tcW w:type="dxa" w:w="2329"/>
            <w:shd w:val="clear" w:color="auto" w:fill="F9F5FF"/>
          </w:tcPr>
          <w:p>
            <w:pPr>
              <w:spacing w:before="25" w:after="25" w:line="276" w:lineRule="auto"/>
            </w:pPr>
            <w:r>
              <w:rPr>
                <w:rFonts w:ascii="Calibri" w:hAnsi="Calibri"/>
                <w:color w:val="1E162B"/>
                <w:sz w:val="17"/>
              </w:rPr>
              <w:t>UJRS threshold breach (&gt; 0.60)</w:t>
            </w:r>
          </w:p>
        </w:tc>
        <w:tc>
          <w:tcPr>
            <w:tcW w:type="dxa" w:w="2329"/>
            <w:shd w:val="clear" w:color="auto" w:fill="F9F5FF"/>
          </w:tcPr>
          <w:p>
            <w:pPr>
              <w:spacing w:before="25" w:after="25" w:line="276" w:lineRule="auto"/>
            </w:pPr>
            <w:r>
              <w:rPr>
                <w:rFonts w:ascii="Calibri" w:hAnsi="Calibri"/>
                <w:color w:val="1E162B"/>
                <w:sz w:val="17"/>
              </w:rPr>
              <w:t>Executes deterministic multi-channel escalation: sends FCM push notifications to guardians, triggers automated SMS, and dispatches mock police webhook.</w:t>
            </w:r>
          </w:p>
        </w:tc>
      </w:tr>
      <w:tr>
        <w:tc>
          <w:tcPr>
            <w:tcW w:type="dxa" w:w="2329"/>
            <w:shd w:val="clear" w:color="auto" w:fill="FFFFFF"/>
          </w:tcPr>
          <w:p>
            <w:pPr>
              <w:spacing w:before="25" w:after="25" w:line="276" w:lineRule="auto"/>
            </w:pPr>
            <w:r>
              <w:rPr>
                <w:rFonts w:ascii="Calibri" w:hAnsi="Calibri"/>
                <w:color w:val="1E162B"/>
                <w:sz w:val="17"/>
              </w:rPr>
              <w:t>4. Safety Map Engine</w:t>
            </w:r>
          </w:p>
        </w:tc>
        <w:tc>
          <w:tcPr>
            <w:tcW w:type="dxa" w:w="2329"/>
            <w:shd w:val="clear" w:color="auto" w:fill="FFFFFF"/>
          </w:tcPr>
          <w:p>
            <w:pPr>
              <w:spacing w:before="25" w:after="25" w:line="276" w:lineRule="auto"/>
            </w:pPr>
            <w:r>
              <w:rPr>
                <w:rFonts w:ascii="Calibri" w:hAnsi="Calibri"/>
                <w:color w:val="1E162B"/>
                <w:sz w:val="17"/>
              </w:rPr>
              <w:t>FastAPI + XGBoost + PostGIS</w:t>
            </w:r>
          </w:p>
        </w:tc>
        <w:tc>
          <w:tcPr>
            <w:tcW w:type="dxa" w:w="2329"/>
            <w:shd w:val="clear" w:color="auto" w:fill="FFFFFF"/>
          </w:tcPr>
          <w:p>
            <w:pPr>
              <w:spacing w:before="25" w:after="25" w:line="276" w:lineRule="auto"/>
            </w:pPr>
            <w:r>
              <w:rPr>
                <w:rFonts w:ascii="Calibri" w:hAnsi="Calibri"/>
                <w:color w:val="1E162B"/>
                <w:sz w:val="17"/>
              </w:rPr>
              <w:t>Origin/Destination route query</w:t>
            </w:r>
          </w:p>
        </w:tc>
        <w:tc>
          <w:tcPr>
            <w:tcW w:type="dxa" w:w="2329"/>
            <w:shd w:val="clear" w:color="auto" w:fill="FFFFFF"/>
          </w:tcPr>
          <w:p>
            <w:pPr>
              <w:spacing w:before="25" w:after="25" w:line="276" w:lineRule="auto"/>
            </w:pPr>
            <w:r>
              <w:rPr>
                <w:rFonts w:ascii="Calibri" w:hAnsi="Calibri"/>
                <w:color w:val="1E162B"/>
                <w:sz w:val="17"/>
              </w:rPr>
              <w:t>Generates 3 candidate routes via OLA Maps API; computes H3 hexagonal risk exposure; runs SHAP counterfactual explainer; generates Gemini narrative.</w:t>
            </w:r>
          </w:p>
        </w:tc>
      </w:tr>
      <w:tr>
        <w:tc>
          <w:tcPr>
            <w:tcW w:type="dxa" w:w="2329"/>
            <w:shd w:val="clear" w:color="auto" w:fill="F9F5FF"/>
          </w:tcPr>
          <w:p>
            <w:pPr>
              <w:spacing w:before="25" w:after="25" w:line="276" w:lineRule="auto"/>
            </w:pPr>
            <w:r>
              <w:rPr>
                <w:rFonts w:ascii="Calibri" w:hAnsi="Calibri"/>
                <w:color w:val="1E162B"/>
                <w:sz w:val="17"/>
              </w:rPr>
              <w:t>5. Community Sentinel</w:t>
            </w:r>
          </w:p>
        </w:tc>
        <w:tc>
          <w:tcPr>
            <w:tcW w:type="dxa" w:w="2329"/>
            <w:shd w:val="clear" w:color="auto" w:fill="F9F5FF"/>
          </w:tcPr>
          <w:p>
            <w:pPr>
              <w:spacing w:before="25" w:after="25" w:line="276" w:lineRule="auto"/>
            </w:pPr>
            <w:r>
              <w:rPr>
                <w:rFonts w:ascii="Calibri" w:hAnsi="Calibri"/>
                <w:color w:val="1E162B"/>
                <w:sz w:val="17"/>
              </w:rPr>
              <w:t>Celery Async + Scikit-Learn RF + PostGIS</w:t>
            </w:r>
          </w:p>
        </w:tc>
        <w:tc>
          <w:tcPr>
            <w:tcW w:type="dxa" w:w="2329"/>
            <w:shd w:val="clear" w:color="auto" w:fill="F9F5FF"/>
          </w:tcPr>
          <w:p>
            <w:pPr>
              <w:spacing w:before="25" w:after="25" w:line="276" w:lineRule="auto"/>
            </w:pPr>
            <w:r>
              <w:rPr>
                <w:rFonts w:ascii="Calibri" w:hAnsi="Calibri"/>
                <w:color w:val="1E162B"/>
                <w:sz w:val="17"/>
              </w:rPr>
              <w:t>New crowdsourced incident report</w:t>
            </w:r>
          </w:p>
        </w:tc>
        <w:tc>
          <w:tcPr>
            <w:tcW w:type="dxa" w:w="2329"/>
            <w:shd w:val="clear" w:color="auto" w:fill="F9F5FF"/>
          </w:tcPr>
          <w:p>
            <w:pPr>
              <w:spacing w:before="25" w:after="25" w:line="276" w:lineRule="auto"/>
            </w:pPr>
            <w:r>
              <w:rPr>
                <w:rFonts w:ascii="Calibri" w:hAnsi="Calibri"/>
                <w:color w:val="1E162B"/>
                <w:sz w:val="17"/>
              </w:rPr>
              <w:t>Runs Gemini content filter; evaluates Random Forest credibility score; executes ST_ClusterDBSCAN to form hazard zones; updates materialised views.</w:t>
            </w:r>
          </w:p>
        </w:tc>
      </w:tr>
      <w:tr>
        <w:tc>
          <w:tcPr>
            <w:tcW w:type="dxa" w:w="2329"/>
            <w:shd w:val="clear" w:color="auto" w:fill="FFFFFF"/>
          </w:tcPr>
          <w:p>
            <w:pPr>
              <w:spacing w:before="25" w:after="25" w:line="276" w:lineRule="auto"/>
            </w:pPr>
            <w:r>
              <w:rPr>
                <w:rFonts w:ascii="Calibri" w:hAnsi="Calibri"/>
                <w:color w:val="1E162B"/>
                <w:sz w:val="17"/>
              </w:rPr>
              <w:t>6. AI Safety Companion</w:t>
            </w:r>
          </w:p>
        </w:tc>
        <w:tc>
          <w:tcPr>
            <w:tcW w:type="dxa" w:w="2329"/>
            <w:shd w:val="clear" w:color="auto" w:fill="FFFFFF"/>
          </w:tcPr>
          <w:p>
            <w:pPr>
              <w:spacing w:before="25" w:after="25" w:line="276" w:lineRule="auto"/>
            </w:pPr>
            <w:r>
              <w:rPr>
                <w:rFonts w:ascii="Calibri" w:hAnsi="Calibri"/>
                <w:color w:val="1E162B"/>
                <w:sz w:val="17"/>
              </w:rPr>
              <w:t>FastAPI SSE + Gemini 2.5 Flash / Pro</w:t>
            </w:r>
          </w:p>
        </w:tc>
        <w:tc>
          <w:tcPr>
            <w:tcW w:type="dxa" w:w="2329"/>
            <w:shd w:val="clear" w:color="auto" w:fill="FFFFFF"/>
          </w:tcPr>
          <w:p>
            <w:pPr>
              <w:spacing w:before="25" w:after="25" w:line="276" w:lineRule="auto"/>
            </w:pPr>
            <w:r>
              <w:rPr>
                <w:rFonts w:ascii="Calibri" w:hAnsi="Calibri"/>
                <w:color w:val="1E162B"/>
                <w:sz w:val="17"/>
              </w:rPr>
              <w:t>User chat query or grievance request</w:t>
            </w:r>
          </w:p>
        </w:tc>
        <w:tc>
          <w:tcPr>
            <w:tcW w:type="dxa" w:w="2329"/>
            <w:shd w:val="clear" w:color="auto" w:fill="FFFFFF"/>
          </w:tcPr>
          <w:p>
            <w:pPr>
              <w:spacing w:before="25" w:after="25" w:line="276" w:lineRule="auto"/>
            </w:pPr>
            <w:r>
              <w:rPr>
                <w:rFonts w:ascii="Calibri" w:hAnsi="Calibri"/>
                <w:color w:val="1E162B"/>
                <w:sz w:val="17"/>
              </w:rPr>
              <w:t>Streams context-injected safety advice with Google Search grounding; auto-generates structured, BNS-mapped FIR drafts in plain text and JSON.</w:t>
            </w:r>
          </w:p>
        </w:tc>
      </w:tr>
    </w:tbl>
    <w:p/>
    <w:p>
      <w:pPr>
        <w:spacing w:before="110" w:after="40" w:line="276" w:lineRule="auto"/>
      </w:pPr>
      <w:r>
        <w:rPr>
          <w:rFonts w:ascii="Calibri" w:hAnsi="Calibri"/>
          <w:b/>
          <w:color w:val="7C3AED"/>
          <w:sz w:val="22"/>
        </w:rPr>
        <w:t>2.3  Rust Optimization &amp; Quantization Strategy</w:t>
      </w:r>
    </w:p>
    <w:p>
      <w:pPr>
        <w:spacing w:before="0" w:after="45" w:line="276" w:lineRule="auto"/>
      </w:pPr>
      <w:r>
        <w:rPr>
          <w:rFonts w:ascii="Calibri" w:hAnsi="Calibri"/>
          <w:color w:val="1E162B"/>
          <w:sz w:val="19"/>
        </w:rPr>
        <w:t>SafeHerAI achieves extreme performance efficiency by leveraging Rust across critical execution paths:</w:t>
      </w:r>
    </w:p>
    <w:p>
      <w:pPr>
        <w:pStyle w:val="ListBullet"/>
        <w:spacing w:before="0" w:after="25" w:line="276" w:lineRule="auto"/>
        <w:ind w:left="360"/>
      </w:pPr>
      <w:r>
        <w:rPr>
          <w:rFonts w:ascii="Calibri" w:hAnsi="Calibri"/>
          <w:color w:val="1E162B"/>
          <w:sz w:val="19"/>
        </w:rPr>
        <w:t>1. Sub-Millisecond GPS Feature Extraction via FFI: Using `flutter_rust_bridge`, mathematical calculations (Haversine geodesic distance, bearing variance, velocity delta) execute in compiled Rust machine code on the mobile device in 0.05 ms (compared to 0.85 ms in Dart/Python).</w:t>
      </w:r>
    </w:p>
    <w:p>
      <w:pPr>
        <w:pStyle w:val="ListBullet"/>
        <w:spacing w:before="0" w:after="25" w:line="276" w:lineRule="auto"/>
        <w:ind w:left="360"/>
      </w:pPr>
      <w:r>
        <w:rPr>
          <w:rFonts w:ascii="Calibri" w:hAnsi="Calibri"/>
          <w:color w:val="1E162B"/>
          <w:sz w:val="19"/>
        </w:rPr>
        <w:t>2. Serialized Compact Isolation Forest Binary: The 50-tree Isolation Forest model is pre-trained and serialized via `serde` into a compact 120 KB binary loaded directly into the Rust Edge Gateway (`linfa`), executing inference in &lt; 2 ms without Python runtime overhead.</w:t>
      </w:r>
    </w:p>
    <w:p>
      <w:pPr>
        <w:pStyle w:val="ListBullet"/>
        <w:spacing w:before="0" w:after="25" w:line="276" w:lineRule="auto"/>
        <w:ind w:left="360"/>
      </w:pPr>
      <w:r>
        <w:rPr>
          <w:rFonts w:ascii="Calibri" w:hAnsi="Calibri"/>
          <w:color w:val="1E162B"/>
          <w:sz w:val="19"/>
        </w:rPr>
        <w:t>3. High-Speed Hexagonal Spatial Lookups: The `h3o` Rust crate performs spatial point-to-hexagon hashing in &lt; 15 microseconds, allowing instantaneous lookup of pre-cached risk scores.</w:t>
      </w:r>
    </w:p>
    <w:p>
      <w:pPr>
        <w:pStyle w:val="ListBullet"/>
        <w:spacing w:before="0" w:after="25" w:line="276" w:lineRule="auto"/>
        <w:ind w:left="360"/>
      </w:pPr>
      <w:r>
        <w:rPr>
          <w:rFonts w:ascii="Calibri" w:hAnsi="Calibri"/>
          <w:color w:val="1E162B"/>
          <w:sz w:val="19"/>
        </w:rPr>
        <w:t>4. Quantized On-Device Fallback (Future Roadmap): For post-pilot hardware integration, the wearable distress classifier is structured for export to an 8-bit quantized TensorFlow Lite (TFLite INT8) binary (&lt; 200 KB footprint, &lt; 3 ms inference on entry-level ARM Cortex processors).</w:t>
      </w:r>
    </w:p>
    <w:p>
      <w:r>
        <w:br w:type="page"/>
      </w:r>
    </w:p>
    <w:p>
      <w:pPr>
        <w:spacing w:before="180" w:after="70" w:line="276" w:lineRule="auto"/>
        <w:pBdr>
          <w:left w:val="single" w:sz="24" w:space="4" w:color="E11D74"/>
        </w:pBdr>
      </w:pPr>
      <w:r>
        <w:rPr>
          <w:rFonts w:ascii="Calibri" w:hAnsi="Calibri"/>
          <w:b/>
          <w:color w:val="E11D74"/>
          <w:sz w:val="27"/>
        </w:rPr>
        <w:t>3.  Detailed 5-Track Technical Specification</w:t>
      </w:r>
    </w:p>
    <w:p>
      <w:pPr>
        <w:spacing w:before="110" w:after="40" w:line="276" w:lineRule="auto"/>
      </w:pPr>
      <w:r>
        <w:rPr>
          <w:rFonts w:ascii="Calibri" w:hAnsi="Calibri"/>
          <w:b/>
          <w:color w:val="7C3AED"/>
          <w:sz w:val="22"/>
        </w:rPr>
        <w:t>3.1  Track 1: AI Safety Map &amp; Exposure-Aware Counterfactual Routing</w:t>
      </w:r>
    </w:p>
    <w:p>
      <w:pPr>
        <w:spacing w:before="0" w:after="45" w:line="276" w:lineRule="auto"/>
      </w:pPr>
      <w:r>
        <w:rPr>
          <w:rFonts w:ascii="Calibri" w:hAnsi="Calibri"/>
          <w:color w:val="1E162B"/>
          <w:sz w:val="19"/>
        </w:rPr>
        <w:t>Track 1 transforms urban navigation by prioritizing personal safety over mere transit speed.</w:t>
      </w:r>
    </w:p>
    <w:p>
      <w:pPr>
        <w:pStyle w:val="ListBullet"/>
        <w:spacing w:before="0" w:after="25" w:line="276" w:lineRule="auto"/>
        <w:ind w:left="360"/>
      </w:pPr>
      <w:r>
        <w:rPr>
          <w:rFonts w:ascii="Calibri" w:hAnsi="Calibri"/>
          <w:color w:val="1E162B"/>
          <w:sz w:val="19"/>
        </w:rPr>
        <w:t>Spatial Partitioning: Hyderabad is partitioned into an Uber H3 hexagonal grid at Resolution 9 (174m edge length, ~0.1 km² area per cell).</w:t>
      </w:r>
    </w:p>
    <w:p>
      <w:pPr>
        <w:pStyle w:val="ListBullet"/>
        <w:spacing w:before="0" w:after="25" w:line="276" w:lineRule="auto"/>
        <w:ind w:left="360"/>
      </w:pPr>
      <w:r>
        <w:rPr>
          <w:rFonts w:ascii="Calibri" w:hAnsi="Calibri"/>
          <w:color w:val="1E162B"/>
          <w:sz w:val="19"/>
        </w:rPr>
        <w:t>Environmental Risk Modeling: An XGBoost 2.0 regression model computes cell risk based on four feature vectors: (a) NCRB district-level violent crime density, (b) OSM street lighting coverage (`lit=yes/no`), (c) CCTV surveillance camera density, and (d) rolling 24-hour community incident density.</w:t>
      </w:r>
    </w:p>
    <w:p>
      <w:pPr>
        <w:pStyle w:val="ListBullet"/>
        <w:spacing w:before="0" w:after="25" w:line="276" w:lineRule="auto"/>
        <w:ind w:left="360"/>
      </w:pPr>
      <w:r>
        <w:rPr>
          <w:rFonts w:ascii="Calibri" w:hAnsi="Calibri"/>
          <w:color w:val="1E162B"/>
          <w:sz w:val="19"/>
        </w:rPr>
        <w:t>Counterfactual Explainability: When evaluating candidate routes from OLA Maps API, PostGIS computes spatial intersections (`ST_Intersects`) along the route polylines. SHAP TreeExplainer isolates the top three risk contributors, and Gemini 2.5 Flash formats a natural language rationale (e.g., *'Route A is recommended: although 4 minutes longer, it avoids an unlit underpass with 3 recent verified incidents'*).</w:t>
      </w:r>
    </w:p>
    <w:p>
      <w:pPr>
        <w:spacing w:before="110" w:after="40" w:line="276" w:lineRule="auto"/>
      </w:pPr>
      <w:r>
        <w:rPr>
          <w:rFonts w:ascii="Calibri" w:hAnsi="Calibri"/>
          <w:b/>
          <w:color w:val="7C3AED"/>
          <w:sz w:val="22"/>
        </w:rPr>
        <w:t>3.2  Track 2: Smart Ride Intelligence &amp; Journey Digital Twin</w:t>
      </w:r>
    </w:p>
    <w:p>
      <w:pPr>
        <w:spacing w:before="0" w:after="45" w:line="276" w:lineRule="auto"/>
      </w:pPr>
      <w:r>
        <w:rPr>
          <w:rFonts w:ascii="Calibri" w:hAnsi="Calibri"/>
          <w:color w:val="1E162B"/>
          <w:sz w:val="19"/>
        </w:rPr>
        <w:t>Track 2 provides automated, hands-free protection during cab and auto-rickshaw journeys.</w:t>
      </w:r>
    </w:p>
    <w:p>
      <w:pPr>
        <w:pStyle w:val="ListBullet"/>
        <w:spacing w:before="0" w:after="25" w:line="276" w:lineRule="auto"/>
        <w:ind w:left="360"/>
      </w:pPr>
      <w:r>
        <w:rPr>
          <w:rFonts w:ascii="Calibri" w:hAnsi="Calibri"/>
          <w:color w:val="1E162B"/>
          <w:sz w:val="19"/>
        </w:rPr>
        <w:t>Journey Digital Twin: Upon trip initiation, expected waypoints, bounding corridor, velocity profile, and ETA are stored in Redis.</w:t>
      </w:r>
    </w:p>
    <w:p>
      <w:pPr>
        <w:pStyle w:val="ListBullet"/>
        <w:spacing w:before="0" w:after="25" w:line="276" w:lineRule="auto"/>
        <w:ind w:left="360"/>
      </w:pPr>
      <w:r>
        <w:rPr>
          <w:rFonts w:ascii="Calibri" w:hAnsi="Calibri"/>
          <w:color w:val="1E162B"/>
          <w:sz w:val="19"/>
        </w:rPr>
        <w:t>Dual-Layer Anomaly Detection: Every 3 seconds, a GPS coordinate is ingested. Layer 1 (Isolation Forest) evaluates five tabular features: distance from corridor, instantaneous speed delta, angular heading variance, unexpected stop duration, and proximity to safe havens. Layer 2 (Dynamic Time Warping) compares the 30-point rolling trajectory against the planned route shape to filter out transient GPS drift or traffic detours.</w:t>
      </w:r>
    </w:p>
    <w:p>
      <w:pPr>
        <w:pStyle w:val="ListBullet"/>
        <w:spacing w:before="0" w:after="25" w:line="276" w:lineRule="auto"/>
        <w:ind w:left="360"/>
      </w:pPr>
      <w:r>
        <w:rPr>
          <w:rFonts w:ascii="Calibri" w:hAnsi="Calibri"/>
          <w:color w:val="1E162B"/>
          <w:sz w:val="19"/>
        </w:rPr>
        <w:t>Deterministic Escalation: Anomaly score &lt; 0.40 = Normal; 0.40–0.60 = Soft in-app check-in ('Are you safe?'); &gt; 0.60 for &gt; 30 seconds = Threat Confirmed. The Escalation Router dispatches FCM push alerts with live tracking links to guardians and triggers a mock police webhook with structured incident telemetry.</w:t>
      </w:r>
    </w:p>
    <w:p>
      <w:pPr>
        <w:spacing w:before="110" w:after="40" w:line="276" w:lineRule="auto"/>
      </w:pPr>
      <w:r>
        <w:rPr>
          <w:rFonts w:ascii="Calibri" w:hAnsi="Calibri"/>
          <w:b/>
          <w:color w:val="7C3AED"/>
          <w:sz w:val="22"/>
        </w:rPr>
        <w:t>3.3  Track 3: Wearable Safety Intelligence (Calibrated Simulation)</w:t>
      </w:r>
    </w:p>
    <w:p>
      <w:pPr>
        <w:spacing w:before="0" w:after="45" w:line="276" w:lineRule="auto"/>
      </w:pPr>
      <w:r>
        <w:rPr>
          <w:rFonts w:ascii="Calibri" w:hAnsi="Calibri"/>
          <w:color w:val="1E162B"/>
          <w:sz w:val="19"/>
        </w:rPr>
        <w:t>Track 3 addresses scenarios where physical phone interaction is impossible (e.g., physical restraint or medical distress). In the prototype, biometric streams are simulated using calibrated physiological datasets (normal vs. elevated distress states: Heart Rate 60–160 bpm, SpO₂ 90–100%, Galvanic Skin Response 0.1–1.0 µS). A multi-feature classifier outputs a fear probability score that feeds directly into the Safety Brain, capable of triggering escalation independently of GPS movement.</w:t>
      </w:r>
    </w:p>
    <w:p>
      <w:pPr>
        <w:spacing w:before="110" w:after="40" w:line="276" w:lineRule="auto"/>
      </w:pPr>
      <w:r>
        <w:rPr>
          <w:rFonts w:ascii="Calibri" w:hAnsi="Calibri"/>
          <w:b/>
          <w:color w:val="7C3AED"/>
          <w:sz w:val="22"/>
        </w:rPr>
        <w:t>3.4  Track 4: Community Safety Sentinel</w:t>
      </w:r>
    </w:p>
    <w:p>
      <w:pPr>
        <w:spacing w:before="0" w:after="45" w:line="276" w:lineRule="auto"/>
      </w:pPr>
      <w:r>
        <w:rPr>
          <w:rFonts w:ascii="Calibri" w:hAnsi="Calibri"/>
          <w:color w:val="1E162B"/>
          <w:sz w:val="19"/>
        </w:rPr>
        <w:t>Track 4 establishes an authenticated, crowd-sourced safety layer.</w:t>
      </w:r>
    </w:p>
    <w:p>
      <w:pPr>
        <w:pStyle w:val="ListBullet"/>
        <w:spacing w:before="0" w:after="25" w:line="276" w:lineRule="auto"/>
        <w:ind w:left="360"/>
      </w:pPr>
      <w:r>
        <w:rPr>
          <w:rFonts w:ascii="Calibri" w:hAnsi="Calibri"/>
          <w:color w:val="1E162B"/>
          <w:sz w:val="19"/>
        </w:rPr>
        <w:t>Spam &amp; Abuse Filtering: Gemini 2.5 Flash validates report narrative for relevance and profanity in &lt; 300 ms.</w:t>
      </w:r>
    </w:p>
    <w:p>
      <w:pPr>
        <w:pStyle w:val="ListBullet"/>
        <w:spacing w:before="0" w:after="25" w:line="276" w:lineRule="auto"/>
        <w:ind w:left="360"/>
      </w:pPr>
      <w:r>
        <w:rPr>
          <w:rFonts w:ascii="Calibri" w:hAnsi="Calibri"/>
          <w:color w:val="1E162B"/>
          <w:sz w:val="19"/>
        </w:rPr>
        <w:t>Random Forest Credibility Scorer: Reports are evaluated across six features: reporter account age, proximity to incident location (`ST_Distance`), historical validation rate, spatio-temporal consensus density, and narrative coherence. Only reports scoring ≥ 0.65 are published.</w:t>
      </w:r>
    </w:p>
    <w:p>
      <w:pPr>
        <w:pStyle w:val="ListBullet"/>
        <w:spacing w:before="0" w:after="25" w:line="276" w:lineRule="auto"/>
        <w:ind w:left="360"/>
      </w:pPr>
      <w:r>
        <w:rPr>
          <w:rFonts w:ascii="Calibri" w:hAnsi="Calibri"/>
          <w:color w:val="1E162B"/>
          <w:sz w:val="19"/>
        </w:rPr>
        <w:t>Spatial Consensus Clustering: PostGIS executes `ST_ClusterDBSCAN(geom, eps=500, minpoints=2)` to automatically cluster verified reports into dynamic hazard zones, refreshing materialised views every 5 minutes.</w:t>
      </w:r>
    </w:p>
    <w:p>
      <w:pPr>
        <w:spacing w:before="110" w:after="40" w:line="276" w:lineRule="auto"/>
      </w:pPr>
      <w:r>
        <w:rPr>
          <w:rFonts w:ascii="Calibri" w:hAnsi="Calibri"/>
          <w:b/>
          <w:color w:val="7C3AED"/>
          <w:sz w:val="22"/>
        </w:rPr>
        <w:t>3.5  Track 5: AI Safety Companion &amp; Legal Grievance Engine</w:t>
      </w:r>
    </w:p>
    <w:p>
      <w:pPr>
        <w:spacing w:before="0" w:after="45" w:line="276" w:lineRule="auto"/>
      </w:pPr>
      <w:r>
        <w:rPr>
          <w:rFonts w:ascii="Calibri" w:hAnsi="Calibri"/>
          <w:color w:val="1E162B"/>
          <w:sz w:val="19"/>
        </w:rPr>
        <w:t>Track 5 bridges real-time psychological support and legal redress.</w:t>
      </w:r>
    </w:p>
    <w:p>
      <w:pPr>
        <w:pStyle w:val="ListBullet"/>
        <w:spacing w:before="0" w:after="25" w:line="276" w:lineRule="auto"/>
        <w:ind w:left="360"/>
      </w:pPr>
      <w:r>
        <w:rPr>
          <w:rFonts w:ascii="Calibri" w:hAnsi="Calibri"/>
          <w:color w:val="1E162B"/>
          <w:sz w:val="19"/>
        </w:rPr>
        <w:t>Context-Injected Companion: On each conversational turn, a structured JSON state payload (current UJRS score, active H3 risk zone, nearby safe havens, guardian connection status) is injected into Gemini 2.5 Flash, enabling grounded, empathetic dialogue streamed via SSE.</w:t>
      </w:r>
    </w:p>
    <w:p>
      <w:pPr>
        <w:pStyle w:val="ListBullet"/>
        <w:spacing w:before="0" w:after="25" w:line="276" w:lineRule="auto"/>
        <w:ind w:left="360"/>
      </w:pPr>
      <w:r>
        <w:rPr>
          <w:rFonts w:ascii="Calibri" w:hAnsi="Calibri"/>
          <w:color w:val="1E162B"/>
          <w:sz w:val="19"/>
        </w:rPr>
        <w:t>Automated FIR Grievance Generator: Gemini 2.5 Pro (operating in structured schema mode) synthesizes conversation history and incident telemetry into a formal First Information Report (FIR) draft, automatically mapping facts to specific sections of the Bharatiya Nyaya Sanhita (BNS) 2024 (e.g., BNS Section 74: Assault/use of criminal force to woman with intent to outrage modesty; BNS Section 78: Stalking). The output is clearly watermarked: *'AI-Assisted Legal Draft for Human Verification'*.</w:t>
      </w:r>
    </w:p>
    <w:p>
      <w:r>
        <w:br w:type="page"/>
      </w:r>
    </w:p>
    <w:p>
      <w:pPr>
        <w:spacing w:before="180" w:after="70" w:line="276" w:lineRule="auto"/>
        <w:pBdr>
          <w:left w:val="single" w:sz="24" w:space="4" w:color="E11D74"/>
        </w:pBdr>
      </w:pPr>
      <w:r>
        <w:rPr>
          <w:rFonts w:ascii="Calibri" w:hAnsi="Calibri"/>
          <w:b/>
          <w:color w:val="E11D74"/>
          <w:sz w:val="27"/>
        </w:rPr>
        <w:t>4.  Commercial Strategy, Pricing &amp; Unit Economics</w:t>
      </w:r>
    </w:p>
    <w:p>
      <w:pPr>
        <w:spacing w:before="110" w:after="40" w:line="276" w:lineRule="auto"/>
      </w:pPr>
      <w:r>
        <w:rPr>
          <w:rFonts w:ascii="Calibri" w:hAnsi="Calibri"/>
          <w:b/>
          <w:color w:val="7C3AED"/>
          <w:sz w:val="22"/>
        </w:rPr>
        <w:t>4.1  Market Positioning — The B2B/B2G Platform Thesis</w:t>
      </w:r>
    </w:p>
    <w:p>
      <w:pPr>
        <w:spacing w:before="0" w:after="45" w:line="276" w:lineRule="auto"/>
      </w:pPr>
      <w:r>
        <w:rPr>
          <w:rFonts w:ascii="Calibri" w:hAnsi="Calibri"/>
          <w:color w:val="1E162B"/>
          <w:sz w:val="19"/>
        </w:rPr>
        <w:t>Consumer-only (B2C) safety apps suffer from high customer acquisition costs (CAC), rapid user churn, and monetization friction due to the unethical nature of paywalling emergency safety. SafeHerAI is purposefully designed as an institutional B2B and B2G Safety Intelligence Platform, selling to entities that possess a statutory, financial, or reputational duty of care.</w:t>
      </w:r>
    </w:p>
    <w:tbl>
      <w:tblPr>
        <w:tblStyle w:val="TableGrid"/>
        <w:tblW w:type="auto" w:w="0"/>
        <w:jc w:val="left"/>
        <w:tblLook w:firstColumn="1" w:firstRow="1" w:lastColumn="0" w:lastRow="0" w:noHBand="0" w:noVBand="1" w:val="04A0"/>
      </w:tblPr>
      <w:tblGrid>
        <w:gridCol w:w="1863"/>
        <w:gridCol w:w="1863"/>
        <w:gridCol w:w="1863"/>
        <w:gridCol w:w="1863"/>
        <w:gridCol w:w="1863"/>
      </w:tblGrid>
      <w:tr>
        <w:tc>
          <w:tcPr>
            <w:tcW w:type="dxa" w:w="1863"/>
            <w:shd w:val="clear" w:color="auto" w:fill="1E162B"/>
          </w:tcPr>
          <w:p>
            <w:pPr>
              <w:spacing w:before="30" w:after="30" w:line="276" w:lineRule="auto"/>
            </w:pPr>
            <w:r>
              <w:rPr>
                <w:rFonts w:ascii="Calibri" w:hAnsi="Calibri"/>
                <w:b/>
                <w:color w:val="FFFFFF"/>
                <w:sz w:val="17"/>
              </w:rPr>
              <w:t>Commercial Tier</w:t>
            </w:r>
          </w:p>
        </w:tc>
        <w:tc>
          <w:tcPr>
            <w:tcW w:type="dxa" w:w="1863"/>
            <w:shd w:val="clear" w:color="auto" w:fill="1E162B"/>
          </w:tcPr>
          <w:p>
            <w:pPr>
              <w:spacing w:before="30" w:after="30" w:line="276" w:lineRule="auto"/>
            </w:pPr>
            <w:r>
              <w:rPr>
                <w:rFonts w:ascii="Calibri" w:hAnsi="Calibri"/>
                <w:b/>
                <w:color w:val="FFFFFF"/>
                <w:sz w:val="17"/>
              </w:rPr>
              <w:t>Target Customer Segment</w:t>
            </w:r>
          </w:p>
        </w:tc>
        <w:tc>
          <w:tcPr>
            <w:tcW w:type="dxa" w:w="1863"/>
            <w:shd w:val="clear" w:color="auto" w:fill="1E162B"/>
          </w:tcPr>
          <w:p>
            <w:pPr>
              <w:spacing w:before="30" w:after="30" w:line="276" w:lineRule="auto"/>
            </w:pPr>
            <w:r>
              <w:rPr>
                <w:rFonts w:ascii="Calibri" w:hAnsi="Calibri"/>
                <w:b/>
                <w:color w:val="FFFFFF"/>
                <w:sz w:val="17"/>
              </w:rPr>
              <w:t>Value Proposition &amp; Regulatory Driver</w:t>
            </w:r>
          </w:p>
        </w:tc>
        <w:tc>
          <w:tcPr>
            <w:tcW w:type="dxa" w:w="1863"/>
            <w:shd w:val="clear" w:color="auto" w:fill="1E162B"/>
          </w:tcPr>
          <w:p>
            <w:pPr>
              <w:spacing w:before="30" w:after="30" w:line="276" w:lineRule="auto"/>
            </w:pPr>
            <w:r>
              <w:rPr>
                <w:rFonts w:ascii="Calibri" w:hAnsi="Calibri"/>
                <w:b/>
                <w:color w:val="FFFFFF"/>
                <w:sz w:val="17"/>
              </w:rPr>
              <w:t>Commercial Pricing Model</w:t>
            </w:r>
          </w:p>
        </w:tc>
        <w:tc>
          <w:tcPr>
            <w:tcW w:type="dxa" w:w="1863"/>
            <w:shd w:val="clear" w:color="auto" w:fill="1E162B"/>
          </w:tcPr>
          <w:p>
            <w:pPr>
              <w:spacing w:before="30" w:after="30" w:line="276" w:lineRule="auto"/>
            </w:pPr>
            <w:r>
              <w:rPr>
                <w:rFonts w:ascii="Calibri" w:hAnsi="Calibri"/>
                <w:b/>
                <w:color w:val="FFFFFF"/>
                <w:sz w:val="17"/>
              </w:rPr>
              <w:t>Target Year 1–2 Revenue</w:t>
            </w:r>
          </w:p>
        </w:tc>
      </w:tr>
      <w:tr>
        <w:tc>
          <w:tcPr>
            <w:tcW w:type="dxa" w:w="1863"/>
            <w:shd w:val="clear" w:color="auto" w:fill="F9F5FF"/>
          </w:tcPr>
          <w:p>
            <w:pPr>
              <w:spacing w:before="25" w:after="25" w:line="276" w:lineRule="auto"/>
            </w:pPr>
            <w:r>
              <w:rPr>
                <w:rFonts w:ascii="Calibri" w:hAnsi="Calibri"/>
                <w:color w:val="1E162B"/>
                <w:sz w:val="17"/>
              </w:rPr>
              <w:t>B2B Enterprise:</w:t>
              <w:br/>
              <w:t>Campus Safety</w:t>
            </w:r>
          </w:p>
        </w:tc>
        <w:tc>
          <w:tcPr>
            <w:tcW w:type="dxa" w:w="1863"/>
            <w:shd w:val="clear" w:color="auto" w:fill="F9F5FF"/>
          </w:tcPr>
          <w:p>
            <w:pPr>
              <w:spacing w:before="25" w:after="25" w:line="276" w:lineRule="auto"/>
            </w:pPr>
            <w:r>
              <w:rPr>
                <w:rFonts w:ascii="Calibri" w:hAnsi="Calibri"/>
                <w:color w:val="1E162B"/>
                <w:sz w:val="17"/>
              </w:rPr>
              <w:t>Universities, Engineering Colleges &amp; Residential Campuses (e.g., VIT, SRM, LPU)</w:t>
            </w:r>
          </w:p>
        </w:tc>
        <w:tc>
          <w:tcPr>
            <w:tcW w:type="dxa" w:w="1863"/>
            <w:shd w:val="clear" w:color="auto" w:fill="F9F5FF"/>
          </w:tcPr>
          <w:p>
            <w:pPr>
              <w:spacing w:before="25" w:after="25" w:line="276" w:lineRule="auto"/>
            </w:pPr>
            <w:r>
              <w:rPr>
                <w:rFonts w:ascii="Calibri" w:hAnsi="Calibri"/>
                <w:color w:val="1E162B"/>
                <w:sz w:val="17"/>
              </w:rPr>
              <w:t>· Mandatory compliance with UGC Guidelines on Women's Safety</w:t>
              <w:br/>
              <w:t>· NAAC Accreditation safety infrastructure criteria</w:t>
              <w:br/>
              <w:t>· Campus risk dashboard for institutional security</w:t>
            </w:r>
          </w:p>
        </w:tc>
        <w:tc>
          <w:tcPr>
            <w:tcW w:type="dxa" w:w="1863"/>
            <w:shd w:val="clear" w:color="auto" w:fill="F9F5FF"/>
          </w:tcPr>
          <w:p>
            <w:pPr>
              <w:spacing w:before="25" w:after="25" w:line="276" w:lineRule="auto"/>
            </w:pPr>
            <w:r>
              <w:rPr>
                <w:rFonts w:ascii="Calibri" w:hAnsi="Calibri"/>
                <w:color w:val="1E162B"/>
                <w:sz w:val="17"/>
              </w:rPr>
              <w:t>Annual SaaS Subscription:</w:t>
              <w:br/>
              <w:t>₹15 per student / month</w:t>
              <w:br/>
              <w:t>(₹180/student/year)</w:t>
              <w:br/>
              <w:t>Avg. campus (5,000 students) = ₹9.0 Lakhs/year</w:t>
            </w:r>
          </w:p>
        </w:tc>
        <w:tc>
          <w:tcPr>
            <w:tcW w:type="dxa" w:w="1863"/>
            <w:shd w:val="clear" w:color="auto" w:fill="F9F5FF"/>
          </w:tcPr>
          <w:p>
            <w:pPr>
              <w:spacing w:before="25" w:after="25" w:line="276" w:lineRule="auto"/>
            </w:pPr>
            <w:r>
              <w:rPr>
                <w:rFonts w:ascii="Calibri" w:hAnsi="Calibri"/>
                <w:color w:val="1E162B"/>
                <w:sz w:val="17"/>
              </w:rPr>
              <w:t>Year 1: ₹9.0 Lakhs (1 pilot campus)</w:t>
              <w:br/>
              <w:t>Year 2: ₹45.0 Lakhs (5 campuses)</w:t>
            </w:r>
          </w:p>
        </w:tc>
      </w:tr>
      <w:tr>
        <w:tc>
          <w:tcPr>
            <w:tcW w:type="dxa" w:w="1863"/>
            <w:shd w:val="clear" w:color="auto" w:fill="FFFFFF"/>
          </w:tcPr>
          <w:p>
            <w:pPr>
              <w:spacing w:before="25" w:after="25" w:line="276" w:lineRule="auto"/>
            </w:pPr>
            <w:r>
              <w:rPr>
                <w:rFonts w:ascii="Calibri" w:hAnsi="Calibri"/>
                <w:color w:val="1E162B"/>
                <w:sz w:val="17"/>
              </w:rPr>
              <w:t>B2B Mobility:</w:t>
              <w:br/>
              <w:t>SafeRide SDK</w:t>
            </w:r>
          </w:p>
        </w:tc>
        <w:tc>
          <w:tcPr>
            <w:tcW w:type="dxa" w:w="1863"/>
            <w:shd w:val="clear" w:color="auto" w:fill="FFFFFF"/>
          </w:tcPr>
          <w:p>
            <w:pPr>
              <w:spacing w:before="25" w:after="25" w:line="276" w:lineRule="auto"/>
            </w:pPr>
            <w:r>
              <w:rPr>
                <w:rFonts w:ascii="Calibri" w:hAnsi="Calibri"/>
                <w:color w:val="1E162B"/>
                <w:sz w:val="17"/>
              </w:rPr>
              <w:t>Tier-2/3 Ride Aggregators, Auto-Rickshaw Unions, Last-Mile Logistics (e.g., Rapido, InDrive, Porter)</w:t>
            </w:r>
          </w:p>
        </w:tc>
        <w:tc>
          <w:tcPr>
            <w:tcW w:type="dxa" w:w="1863"/>
            <w:shd w:val="clear" w:color="auto" w:fill="FFFFFF"/>
          </w:tcPr>
          <w:p>
            <w:pPr>
              <w:spacing w:before="25" w:after="25" w:line="276" w:lineRule="auto"/>
            </w:pPr>
            <w:r>
              <w:rPr>
                <w:rFonts w:ascii="Calibri" w:hAnsi="Calibri"/>
                <w:color w:val="1E162B"/>
                <w:sz w:val="17"/>
              </w:rPr>
              <w:t>· Independent duty-of-care audit trail under Motor Vehicle Aggregator Guidelines 2020</w:t>
              <w:br/>
              <w:t>· Significant reduction in corporate liability</w:t>
              <w:br/>
              <w:t>· White-label integration in &lt; 2 weeks</w:t>
            </w:r>
          </w:p>
        </w:tc>
        <w:tc>
          <w:tcPr>
            <w:tcW w:type="dxa" w:w="1863"/>
            <w:shd w:val="clear" w:color="auto" w:fill="FFFFFF"/>
          </w:tcPr>
          <w:p>
            <w:pPr>
              <w:spacing w:before="25" w:after="25" w:line="276" w:lineRule="auto"/>
            </w:pPr>
            <w:r>
              <w:rPr>
                <w:rFonts w:ascii="Calibri" w:hAnsi="Calibri"/>
                <w:color w:val="1E162B"/>
                <w:sz w:val="17"/>
              </w:rPr>
              <w:t>Volume-Based API Licensing:</w:t>
              <w:br/>
              <w:t>₹1.50 per completed monitored trip</w:t>
              <w:br/>
              <w:t>Avg. fleet (25,000 trips/month) = ₹37,500/month per operator</w:t>
            </w:r>
          </w:p>
        </w:tc>
        <w:tc>
          <w:tcPr>
            <w:tcW w:type="dxa" w:w="1863"/>
            <w:shd w:val="clear" w:color="auto" w:fill="FFFFFF"/>
          </w:tcPr>
          <w:p>
            <w:pPr>
              <w:spacing w:before="25" w:after="25" w:line="276" w:lineRule="auto"/>
            </w:pPr>
            <w:r>
              <w:rPr>
                <w:rFonts w:ascii="Calibri" w:hAnsi="Calibri"/>
                <w:color w:val="1E162B"/>
                <w:sz w:val="17"/>
              </w:rPr>
              <w:t>Year 2: ₹18.0 Lakhs (4 operators)</w:t>
              <w:br/>
              <w:t>Year 3: ₹72.0 Lakhs (12 operators)</w:t>
            </w:r>
          </w:p>
        </w:tc>
      </w:tr>
      <w:tr>
        <w:tc>
          <w:tcPr>
            <w:tcW w:type="dxa" w:w="1863"/>
            <w:shd w:val="clear" w:color="auto" w:fill="F9F5FF"/>
          </w:tcPr>
          <w:p>
            <w:pPr>
              <w:spacing w:before="25" w:after="25" w:line="276" w:lineRule="auto"/>
            </w:pPr>
            <w:r>
              <w:rPr>
                <w:rFonts w:ascii="Calibri" w:hAnsi="Calibri"/>
                <w:color w:val="1E162B"/>
                <w:sz w:val="17"/>
              </w:rPr>
              <w:t>B2B Corporate:</w:t>
              <w:br/>
              <w:t>Employee Mobility</w:t>
            </w:r>
          </w:p>
        </w:tc>
        <w:tc>
          <w:tcPr>
            <w:tcW w:type="dxa" w:w="1863"/>
            <w:shd w:val="clear" w:color="auto" w:fill="F9F5FF"/>
          </w:tcPr>
          <w:p>
            <w:pPr>
              <w:spacing w:before="25" w:after="25" w:line="276" w:lineRule="auto"/>
            </w:pPr>
            <w:r>
              <w:rPr>
                <w:rFonts w:ascii="Calibri" w:hAnsi="Calibri"/>
                <w:color w:val="1E162B"/>
                <w:sz w:val="17"/>
              </w:rPr>
              <w:t>IT/ITeS, BPOs, Healthcare &amp; Retail with female night shifts</w:t>
            </w:r>
          </w:p>
        </w:tc>
        <w:tc>
          <w:tcPr>
            <w:tcW w:type="dxa" w:w="1863"/>
            <w:shd w:val="clear" w:color="auto" w:fill="F9F5FF"/>
          </w:tcPr>
          <w:p>
            <w:pPr>
              <w:spacing w:before="25" w:after="25" w:line="276" w:lineRule="auto"/>
            </w:pPr>
            <w:r>
              <w:rPr>
                <w:rFonts w:ascii="Calibri" w:hAnsi="Calibri"/>
                <w:color w:val="1E162B"/>
                <w:sz w:val="17"/>
              </w:rPr>
              <w:t>· Mandatory compliance with PoSH Act 2013 &amp; Factories Act night-shift transport rules</w:t>
              <w:br/>
              <w:t>· ESG and employee safety index scoring</w:t>
            </w:r>
          </w:p>
        </w:tc>
        <w:tc>
          <w:tcPr>
            <w:tcW w:type="dxa" w:w="1863"/>
            <w:shd w:val="clear" w:color="auto" w:fill="F9F5FF"/>
          </w:tcPr>
          <w:p>
            <w:pPr>
              <w:spacing w:before="25" w:after="25" w:line="276" w:lineRule="auto"/>
            </w:pPr>
            <w:r>
              <w:rPr>
                <w:rFonts w:ascii="Calibri" w:hAnsi="Calibri"/>
                <w:color w:val="1E162B"/>
                <w:sz w:val="17"/>
              </w:rPr>
              <w:t>Corporate Seat License:</w:t>
              <w:br/>
              <w:t>₹60 per female employee / month</w:t>
              <w:br/>
              <w:t>Avg. enterprise (1,000 employees) = ₹7.2 Lakhs/year</w:t>
            </w:r>
          </w:p>
        </w:tc>
        <w:tc>
          <w:tcPr>
            <w:tcW w:type="dxa" w:w="1863"/>
            <w:shd w:val="clear" w:color="auto" w:fill="F9F5FF"/>
          </w:tcPr>
          <w:p>
            <w:pPr>
              <w:spacing w:before="25" w:after="25" w:line="276" w:lineRule="auto"/>
            </w:pPr>
            <w:r>
              <w:rPr>
                <w:rFonts w:ascii="Calibri" w:hAnsi="Calibri"/>
                <w:color w:val="1E162B"/>
                <w:sz w:val="17"/>
              </w:rPr>
              <w:t>Year 2: ₹14.4 Lakhs (2 corporates)</w:t>
              <w:br/>
              <w:t>Year 3: ₹57.6 Lakhs (8 corporates)</w:t>
            </w:r>
          </w:p>
        </w:tc>
      </w:tr>
      <w:tr>
        <w:tc>
          <w:tcPr>
            <w:tcW w:type="dxa" w:w="1863"/>
            <w:shd w:val="clear" w:color="auto" w:fill="FFFFFF"/>
          </w:tcPr>
          <w:p>
            <w:pPr>
              <w:spacing w:before="25" w:after="25" w:line="276" w:lineRule="auto"/>
            </w:pPr>
            <w:r>
              <w:rPr>
                <w:rFonts w:ascii="Calibri" w:hAnsi="Calibri"/>
                <w:color w:val="1E162B"/>
                <w:sz w:val="17"/>
              </w:rPr>
              <w:t>B2G Smart City:</w:t>
              <w:br/>
              <w:t>Spatial Safety API</w:t>
            </w:r>
          </w:p>
        </w:tc>
        <w:tc>
          <w:tcPr>
            <w:tcW w:type="dxa" w:w="1863"/>
            <w:shd w:val="clear" w:color="auto" w:fill="FFFFFF"/>
          </w:tcPr>
          <w:p>
            <w:pPr>
              <w:spacing w:before="25" w:after="25" w:line="276" w:lineRule="auto"/>
            </w:pPr>
            <w:r>
              <w:rPr>
                <w:rFonts w:ascii="Calibri" w:hAnsi="Calibri"/>
                <w:color w:val="1E162B"/>
                <w:sz w:val="17"/>
              </w:rPr>
              <w:t>Smart City PMUs, Hyderabad Metro (HMRL), State Police Tech Cells</w:t>
            </w:r>
          </w:p>
        </w:tc>
        <w:tc>
          <w:tcPr>
            <w:tcW w:type="dxa" w:w="1863"/>
            <w:shd w:val="clear" w:color="auto" w:fill="FFFFFF"/>
          </w:tcPr>
          <w:p>
            <w:pPr>
              <w:spacing w:before="25" w:after="25" w:line="276" w:lineRule="auto"/>
            </w:pPr>
            <w:r>
              <w:rPr>
                <w:rFonts w:ascii="Calibri" w:hAnsi="Calibri"/>
                <w:color w:val="1E162B"/>
                <w:sz w:val="17"/>
              </w:rPr>
              <w:t>· Objective spatial data for deployment of Nirbhaya Fund infrastructure (street lighting, CCTVs, PCR vans)</w:t>
              <w:br/>
              <w:t>· Real-time incident consensus feeds</w:t>
            </w:r>
          </w:p>
        </w:tc>
        <w:tc>
          <w:tcPr>
            <w:tcW w:type="dxa" w:w="1863"/>
            <w:shd w:val="clear" w:color="auto" w:fill="FFFFFF"/>
          </w:tcPr>
          <w:p>
            <w:pPr>
              <w:spacing w:before="25" w:after="25" w:line="276" w:lineRule="auto"/>
            </w:pPr>
            <w:r>
              <w:rPr>
                <w:rFonts w:ascii="Calibri" w:hAnsi="Calibri"/>
                <w:color w:val="1E162B"/>
                <w:sz w:val="17"/>
              </w:rPr>
              <w:t>Annual Government License:</w:t>
              <w:br/>
              <w:t>₹15.0 to ₹25.0 Lakhs per municipal corporation / Smart City jurisdiction</w:t>
            </w:r>
          </w:p>
        </w:tc>
        <w:tc>
          <w:tcPr>
            <w:tcW w:type="dxa" w:w="1863"/>
            <w:shd w:val="clear" w:color="auto" w:fill="FFFFFF"/>
          </w:tcPr>
          <w:p>
            <w:pPr>
              <w:spacing w:before="25" w:after="25" w:line="276" w:lineRule="auto"/>
            </w:pPr>
            <w:r>
              <w:rPr>
                <w:rFonts w:ascii="Calibri" w:hAnsi="Calibri"/>
                <w:color w:val="1E162B"/>
                <w:sz w:val="17"/>
              </w:rPr>
              <w:t>Year 2: ₹15.0 Lakhs (1 pilot city)</w:t>
              <w:br/>
              <w:t>Year 3: ₹50.0 Lakhs (2 cities)</w:t>
            </w:r>
          </w:p>
        </w:tc>
      </w:tr>
    </w:tbl>
    <w:p/>
    <w:p>
      <w:pPr>
        <w:spacing w:before="110" w:after="40" w:line="276" w:lineRule="auto"/>
      </w:pPr>
      <w:r>
        <w:rPr>
          <w:rFonts w:ascii="Calibri" w:hAnsi="Calibri"/>
          <w:b/>
          <w:color w:val="7C3AED"/>
          <w:sz w:val="22"/>
        </w:rPr>
        <w:t>4.2  First Paying Customer Archetype — University Campus Deployment</w:t>
      </w:r>
    </w:p>
    <w:p>
      <w:pPr>
        <w:spacing w:before="0" w:after="45" w:line="276" w:lineRule="auto"/>
      </w:pPr>
      <w:r>
        <w:rPr>
          <w:rFonts w:ascii="Calibri" w:hAnsi="Calibri"/>
          <w:color w:val="1E162B"/>
          <w:sz w:val="19"/>
        </w:rPr>
        <w:t>The immediate commercial entry point is VIT-AP University (Innovator's host institution). Educational institutions represent the optimal beachhead market due to: (1) zero external regulatory friction, (2) highly concentrated high-vulnerability demographic, (3) single institutional decision-maker (Registrar / Security Directorate), and (4) immediate validation of both mobile app and administrative dashboard.</w:t>
      </w:r>
    </w:p>
    <w:p>
      <w:pPr>
        <w:spacing w:before="110" w:after="40" w:line="276" w:lineRule="auto"/>
      </w:pPr>
      <w:r>
        <w:rPr>
          <w:rFonts w:ascii="Calibri" w:hAnsi="Calibri"/>
          <w:b/>
          <w:color w:val="7C3AED"/>
          <w:sz w:val="22"/>
        </w:rPr>
        <w:t>4.3  Unit Economics &amp; Scalability Projections</w:t>
      </w:r>
    </w:p>
    <w:p>
      <w:pPr>
        <w:spacing w:before="0" w:after="45" w:line="276" w:lineRule="auto"/>
      </w:pPr>
      <w:r>
        <w:rPr>
          <w:rFonts w:ascii="Calibri" w:hAnsi="Calibri"/>
          <w:color w:val="1E162B"/>
          <w:sz w:val="19"/>
        </w:rPr>
        <w:t>SafeHerAI's cloud-native, edge-optimized architecture guarantees industry-leading gross margins by minimizing server compute costs:</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color="auto" w:fill="1E162B"/>
          </w:tcPr>
          <w:p>
            <w:pPr>
              <w:spacing w:before="30" w:after="30" w:line="276" w:lineRule="auto"/>
            </w:pPr>
            <w:r>
              <w:rPr>
                <w:rFonts w:ascii="Calibri" w:hAnsi="Calibri"/>
                <w:b/>
                <w:color w:val="FFFFFF"/>
                <w:sz w:val="17"/>
              </w:rPr>
              <w:t>Financial Metric</w:t>
            </w:r>
          </w:p>
        </w:tc>
        <w:tc>
          <w:tcPr>
            <w:tcW w:type="dxa" w:w="2329"/>
            <w:shd w:val="clear" w:color="auto" w:fill="1E162B"/>
          </w:tcPr>
          <w:p>
            <w:pPr>
              <w:spacing w:before="30" w:after="30" w:line="276" w:lineRule="auto"/>
            </w:pPr>
            <w:r>
              <w:rPr>
                <w:rFonts w:ascii="Calibri" w:hAnsi="Calibri"/>
                <w:b/>
                <w:color w:val="FFFFFF"/>
                <w:sz w:val="17"/>
              </w:rPr>
              <w:t>Year 1 (Pilot Phase)</w:t>
            </w:r>
          </w:p>
        </w:tc>
        <w:tc>
          <w:tcPr>
            <w:tcW w:type="dxa" w:w="2329"/>
            <w:shd w:val="clear" w:color="auto" w:fill="1E162B"/>
          </w:tcPr>
          <w:p>
            <w:pPr>
              <w:spacing w:before="30" w:after="30" w:line="276" w:lineRule="auto"/>
            </w:pPr>
            <w:r>
              <w:rPr>
                <w:rFonts w:ascii="Calibri" w:hAnsi="Calibri"/>
                <w:b/>
                <w:color w:val="FFFFFF"/>
                <w:sz w:val="17"/>
              </w:rPr>
              <w:t>Year 2 (Regional Expansion)</w:t>
            </w:r>
          </w:p>
        </w:tc>
        <w:tc>
          <w:tcPr>
            <w:tcW w:type="dxa" w:w="2329"/>
            <w:shd w:val="clear" w:color="auto" w:fill="1E162B"/>
          </w:tcPr>
          <w:p>
            <w:pPr>
              <w:spacing w:before="30" w:after="30" w:line="276" w:lineRule="auto"/>
            </w:pPr>
            <w:r>
              <w:rPr>
                <w:rFonts w:ascii="Calibri" w:hAnsi="Calibri"/>
                <w:b/>
                <w:color w:val="FFFFFF"/>
                <w:sz w:val="17"/>
              </w:rPr>
              <w:t>Year 3 (National Multi-Segment)</w:t>
            </w:r>
          </w:p>
        </w:tc>
      </w:tr>
      <w:tr>
        <w:tc>
          <w:tcPr>
            <w:tcW w:type="dxa" w:w="2329"/>
            <w:shd w:val="clear" w:color="auto" w:fill="F9F5FF"/>
          </w:tcPr>
          <w:p>
            <w:pPr>
              <w:spacing w:before="25" w:after="25" w:line="276" w:lineRule="auto"/>
            </w:pPr>
            <w:r>
              <w:rPr>
                <w:rFonts w:ascii="Calibri" w:hAnsi="Calibri"/>
                <w:color w:val="1E162B"/>
                <w:sz w:val="17"/>
              </w:rPr>
              <w:t>Active User Footprint</w:t>
            </w:r>
          </w:p>
        </w:tc>
        <w:tc>
          <w:tcPr>
            <w:tcW w:type="dxa" w:w="2329"/>
            <w:shd w:val="clear" w:color="auto" w:fill="F9F5FF"/>
          </w:tcPr>
          <w:p>
            <w:pPr>
              <w:spacing w:before="25" w:after="25" w:line="276" w:lineRule="auto"/>
            </w:pPr>
            <w:r>
              <w:rPr>
                <w:rFonts w:ascii="Calibri" w:hAnsi="Calibri"/>
                <w:color w:val="1E162B"/>
                <w:sz w:val="17"/>
              </w:rPr>
              <w:t>5,000 students (1 Campus)</w:t>
            </w:r>
          </w:p>
        </w:tc>
        <w:tc>
          <w:tcPr>
            <w:tcW w:type="dxa" w:w="2329"/>
            <w:shd w:val="clear" w:color="auto" w:fill="F9F5FF"/>
          </w:tcPr>
          <w:p>
            <w:pPr>
              <w:spacing w:before="25" w:after="25" w:line="276" w:lineRule="auto"/>
            </w:pPr>
            <w:r>
              <w:rPr>
                <w:rFonts w:ascii="Calibri" w:hAnsi="Calibri"/>
                <w:color w:val="1E162B"/>
                <w:sz w:val="17"/>
              </w:rPr>
              <w:t>35,000 users (5 Campuses + 2 Fleets)</w:t>
            </w:r>
          </w:p>
        </w:tc>
        <w:tc>
          <w:tcPr>
            <w:tcW w:type="dxa" w:w="2329"/>
            <w:shd w:val="clear" w:color="auto" w:fill="F9F5FF"/>
          </w:tcPr>
          <w:p>
            <w:pPr>
              <w:spacing w:before="25" w:after="25" w:line="276" w:lineRule="auto"/>
            </w:pPr>
            <w:r>
              <w:rPr>
                <w:rFonts w:ascii="Calibri" w:hAnsi="Calibri"/>
                <w:color w:val="1E162B"/>
                <w:sz w:val="17"/>
              </w:rPr>
              <w:t>1,50,000 users (Campuses + Fleets + Corporates)</w:t>
            </w:r>
          </w:p>
        </w:tc>
      </w:tr>
      <w:tr>
        <w:tc>
          <w:tcPr>
            <w:tcW w:type="dxa" w:w="2329"/>
            <w:shd w:val="clear" w:color="auto" w:fill="FFFFFF"/>
          </w:tcPr>
          <w:p>
            <w:pPr>
              <w:spacing w:before="25" w:after="25" w:line="276" w:lineRule="auto"/>
            </w:pPr>
            <w:r>
              <w:rPr>
                <w:rFonts w:ascii="Calibri" w:hAnsi="Calibri"/>
                <w:color w:val="1E162B"/>
                <w:sz w:val="17"/>
              </w:rPr>
              <w:t>Gross Annual Revenue</w:t>
            </w:r>
          </w:p>
        </w:tc>
        <w:tc>
          <w:tcPr>
            <w:tcW w:type="dxa" w:w="2329"/>
            <w:shd w:val="clear" w:color="auto" w:fill="FFFFFF"/>
          </w:tcPr>
          <w:p>
            <w:pPr>
              <w:spacing w:before="25" w:after="25" w:line="276" w:lineRule="auto"/>
            </w:pPr>
            <w:r>
              <w:rPr>
                <w:rFonts w:ascii="Calibri" w:hAnsi="Calibri"/>
                <w:color w:val="1E162B"/>
                <w:sz w:val="17"/>
              </w:rPr>
              <w:t>₹9,00,000</w:t>
            </w:r>
          </w:p>
        </w:tc>
        <w:tc>
          <w:tcPr>
            <w:tcW w:type="dxa" w:w="2329"/>
            <w:shd w:val="clear" w:color="auto" w:fill="FFFFFF"/>
          </w:tcPr>
          <w:p>
            <w:pPr>
              <w:spacing w:before="25" w:after="25" w:line="276" w:lineRule="auto"/>
            </w:pPr>
            <w:r>
              <w:rPr>
                <w:rFonts w:ascii="Calibri" w:hAnsi="Calibri"/>
                <w:color w:val="1E162B"/>
                <w:sz w:val="17"/>
              </w:rPr>
              <w:t>₹77,40,000</w:t>
            </w:r>
          </w:p>
        </w:tc>
        <w:tc>
          <w:tcPr>
            <w:tcW w:type="dxa" w:w="2329"/>
            <w:shd w:val="clear" w:color="auto" w:fill="FFFFFF"/>
          </w:tcPr>
          <w:p>
            <w:pPr>
              <w:spacing w:before="25" w:after="25" w:line="276" w:lineRule="auto"/>
            </w:pPr>
            <w:r>
              <w:rPr>
                <w:rFonts w:ascii="Calibri" w:hAnsi="Calibri"/>
                <w:color w:val="1E162B"/>
                <w:sz w:val="17"/>
              </w:rPr>
              <w:t>₹2,51,60,000 (~₹2.51 Crore)</w:t>
            </w:r>
          </w:p>
        </w:tc>
      </w:tr>
      <w:tr>
        <w:tc>
          <w:tcPr>
            <w:tcW w:type="dxa" w:w="2329"/>
            <w:shd w:val="clear" w:color="auto" w:fill="F9F5FF"/>
          </w:tcPr>
          <w:p>
            <w:pPr>
              <w:spacing w:before="25" w:after="25" w:line="276" w:lineRule="auto"/>
            </w:pPr>
            <w:r>
              <w:rPr>
                <w:rFonts w:ascii="Calibri" w:hAnsi="Calibri"/>
                <w:color w:val="1E162B"/>
                <w:sz w:val="17"/>
              </w:rPr>
              <w:t>Cloud &amp; Edge Server Costs</w:t>
            </w:r>
          </w:p>
        </w:tc>
        <w:tc>
          <w:tcPr>
            <w:tcW w:type="dxa" w:w="2329"/>
            <w:shd w:val="clear" w:color="auto" w:fill="F9F5FF"/>
          </w:tcPr>
          <w:p>
            <w:pPr>
              <w:spacing w:before="25" w:after="25" w:line="276" w:lineRule="auto"/>
            </w:pPr>
            <w:r>
              <w:rPr>
                <w:rFonts w:ascii="Calibri" w:hAnsi="Calibri"/>
                <w:color w:val="1E162B"/>
                <w:sz w:val="17"/>
              </w:rPr>
              <w:t>₹48,000 (Cloud SQL + Axum Edge)</w:t>
            </w:r>
          </w:p>
        </w:tc>
        <w:tc>
          <w:tcPr>
            <w:tcW w:type="dxa" w:w="2329"/>
            <w:shd w:val="clear" w:color="auto" w:fill="F9F5FF"/>
          </w:tcPr>
          <w:p>
            <w:pPr>
              <w:spacing w:before="25" w:after="25" w:line="276" w:lineRule="auto"/>
            </w:pPr>
            <w:r>
              <w:rPr>
                <w:rFonts w:ascii="Calibri" w:hAnsi="Calibri"/>
                <w:color w:val="1E162B"/>
                <w:sz w:val="17"/>
              </w:rPr>
              <w:t>₹3,60,000 (Managed Kubernetes + DB)</w:t>
            </w:r>
          </w:p>
        </w:tc>
        <w:tc>
          <w:tcPr>
            <w:tcW w:type="dxa" w:w="2329"/>
            <w:shd w:val="clear" w:color="auto" w:fill="F9F5FF"/>
          </w:tcPr>
          <w:p>
            <w:pPr>
              <w:spacing w:before="25" w:after="25" w:line="276" w:lineRule="auto"/>
            </w:pPr>
            <w:r>
              <w:rPr>
                <w:rFonts w:ascii="Calibri" w:hAnsi="Calibri"/>
                <w:color w:val="1E162B"/>
                <w:sz w:val="17"/>
              </w:rPr>
              <w:t>₹14,40,000 (Multi-Region Cloud Infrastructure)</w:t>
            </w:r>
          </w:p>
        </w:tc>
      </w:tr>
      <w:tr>
        <w:tc>
          <w:tcPr>
            <w:tcW w:type="dxa" w:w="2329"/>
            <w:shd w:val="clear" w:color="auto" w:fill="FFFFFF"/>
          </w:tcPr>
          <w:p>
            <w:pPr>
              <w:spacing w:before="25" w:after="25" w:line="276" w:lineRule="auto"/>
            </w:pPr>
            <w:r>
              <w:rPr>
                <w:rFonts w:ascii="Calibri" w:hAnsi="Calibri"/>
                <w:color w:val="1E162B"/>
                <w:sz w:val="17"/>
              </w:rPr>
              <w:t>Gemini API &amp; Map Licensing</w:t>
            </w:r>
          </w:p>
        </w:tc>
        <w:tc>
          <w:tcPr>
            <w:tcW w:type="dxa" w:w="2329"/>
            <w:shd w:val="clear" w:color="auto" w:fill="FFFFFF"/>
          </w:tcPr>
          <w:p>
            <w:pPr>
              <w:spacing w:before="25" w:after="25" w:line="276" w:lineRule="auto"/>
            </w:pPr>
            <w:r>
              <w:rPr>
                <w:rFonts w:ascii="Calibri" w:hAnsi="Calibri"/>
                <w:color w:val="1E162B"/>
                <w:sz w:val="17"/>
              </w:rPr>
              <w:t>₹36,000 (Google AI + OLA Maps)</w:t>
            </w:r>
          </w:p>
        </w:tc>
        <w:tc>
          <w:tcPr>
            <w:tcW w:type="dxa" w:w="2329"/>
            <w:shd w:val="clear" w:color="auto" w:fill="FFFFFF"/>
          </w:tcPr>
          <w:p>
            <w:pPr>
              <w:spacing w:before="25" w:after="25" w:line="276" w:lineRule="auto"/>
            </w:pPr>
            <w:r>
              <w:rPr>
                <w:rFonts w:ascii="Calibri" w:hAnsi="Calibri"/>
                <w:color w:val="1E162B"/>
                <w:sz w:val="17"/>
              </w:rPr>
              <w:t>₹2,80,000</w:t>
            </w:r>
          </w:p>
        </w:tc>
        <w:tc>
          <w:tcPr>
            <w:tcW w:type="dxa" w:w="2329"/>
            <w:shd w:val="clear" w:color="auto" w:fill="FFFFFF"/>
          </w:tcPr>
          <w:p>
            <w:pPr>
              <w:spacing w:before="25" w:after="25" w:line="276" w:lineRule="auto"/>
            </w:pPr>
            <w:r>
              <w:rPr>
                <w:rFonts w:ascii="Calibri" w:hAnsi="Calibri"/>
                <w:color w:val="1E162B"/>
                <w:sz w:val="17"/>
              </w:rPr>
              <w:t>₹11,50,000</w:t>
            </w:r>
          </w:p>
        </w:tc>
      </w:tr>
      <w:tr>
        <w:tc>
          <w:tcPr>
            <w:tcW w:type="dxa" w:w="2329"/>
            <w:shd w:val="clear" w:color="auto" w:fill="F9F5FF"/>
          </w:tcPr>
          <w:p>
            <w:pPr>
              <w:spacing w:before="25" w:after="25" w:line="276" w:lineRule="auto"/>
            </w:pPr>
            <w:r>
              <w:rPr>
                <w:rFonts w:ascii="Calibri" w:hAnsi="Calibri"/>
                <w:color w:val="1E162B"/>
                <w:sz w:val="17"/>
              </w:rPr>
              <w:t>Gross Margin Percentage</w:t>
            </w:r>
          </w:p>
        </w:tc>
        <w:tc>
          <w:tcPr>
            <w:tcW w:type="dxa" w:w="2329"/>
            <w:shd w:val="clear" w:color="auto" w:fill="F9F5FF"/>
          </w:tcPr>
          <w:p>
            <w:pPr>
              <w:spacing w:before="25" w:after="25" w:line="276" w:lineRule="auto"/>
            </w:pPr>
            <w:r>
              <w:rPr>
                <w:rFonts w:ascii="Calibri" w:hAnsi="Calibri"/>
                <w:color w:val="1E162B"/>
                <w:sz w:val="17"/>
              </w:rPr>
              <w:t>90.6%</w:t>
            </w:r>
          </w:p>
        </w:tc>
        <w:tc>
          <w:tcPr>
            <w:tcW w:type="dxa" w:w="2329"/>
            <w:shd w:val="clear" w:color="auto" w:fill="F9F5FF"/>
          </w:tcPr>
          <w:p>
            <w:pPr>
              <w:spacing w:before="25" w:after="25" w:line="276" w:lineRule="auto"/>
            </w:pPr>
            <w:r>
              <w:rPr>
                <w:rFonts w:ascii="Calibri" w:hAnsi="Calibri"/>
                <w:color w:val="1E162B"/>
                <w:sz w:val="17"/>
              </w:rPr>
              <w:t>91.7%</w:t>
            </w:r>
          </w:p>
        </w:tc>
        <w:tc>
          <w:tcPr>
            <w:tcW w:type="dxa" w:w="2329"/>
            <w:shd w:val="clear" w:color="auto" w:fill="F9F5FF"/>
          </w:tcPr>
          <w:p>
            <w:pPr>
              <w:spacing w:before="25" w:after="25" w:line="276" w:lineRule="auto"/>
            </w:pPr>
            <w:r>
              <w:rPr>
                <w:rFonts w:ascii="Calibri" w:hAnsi="Calibri"/>
                <w:color w:val="1E162B"/>
                <w:sz w:val="17"/>
              </w:rPr>
              <w:t>89.6%</w:t>
            </w:r>
          </w:p>
        </w:tc>
      </w:tr>
      <w:tr>
        <w:tc>
          <w:tcPr>
            <w:tcW w:type="dxa" w:w="2329"/>
            <w:shd w:val="clear" w:color="auto" w:fill="FFFFFF"/>
          </w:tcPr>
          <w:p>
            <w:pPr>
              <w:spacing w:before="25" w:after="25" w:line="276" w:lineRule="auto"/>
            </w:pPr>
            <w:r>
              <w:rPr>
                <w:rFonts w:ascii="Calibri" w:hAnsi="Calibri"/>
                <w:color w:val="1E162B"/>
                <w:sz w:val="17"/>
              </w:rPr>
              <w:t>Customer Acquisition Cost (CAC)</w:t>
            </w:r>
          </w:p>
        </w:tc>
        <w:tc>
          <w:tcPr>
            <w:tcW w:type="dxa" w:w="2329"/>
            <w:shd w:val="clear" w:color="auto" w:fill="FFFFFF"/>
          </w:tcPr>
          <w:p>
            <w:pPr>
              <w:spacing w:before="25" w:after="25" w:line="276" w:lineRule="auto"/>
            </w:pPr>
            <w:r>
              <w:rPr>
                <w:rFonts w:ascii="Calibri" w:hAnsi="Calibri"/>
                <w:color w:val="1E162B"/>
                <w:sz w:val="17"/>
              </w:rPr>
              <w:t>₹25,000 (Institutional outreach)</w:t>
            </w:r>
          </w:p>
        </w:tc>
        <w:tc>
          <w:tcPr>
            <w:tcW w:type="dxa" w:w="2329"/>
            <w:shd w:val="clear" w:color="auto" w:fill="FFFFFF"/>
          </w:tcPr>
          <w:p>
            <w:pPr>
              <w:spacing w:before="25" w:after="25" w:line="276" w:lineRule="auto"/>
            </w:pPr>
            <w:r>
              <w:rPr>
                <w:rFonts w:ascii="Calibri" w:hAnsi="Calibri"/>
                <w:color w:val="1E162B"/>
                <w:sz w:val="17"/>
              </w:rPr>
              <w:t>₹45,000 per B2B contract</w:t>
            </w:r>
          </w:p>
        </w:tc>
        <w:tc>
          <w:tcPr>
            <w:tcW w:type="dxa" w:w="2329"/>
            <w:shd w:val="clear" w:color="auto" w:fill="FFFFFF"/>
          </w:tcPr>
          <w:p>
            <w:pPr>
              <w:spacing w:before="25" w:after="25" w:line="276" w:lineRule="auto"/>
            </w:pPr>
            <w:r>
              <w:rPr>
                <w:rFonts w:ascii="Calibri" w:hAnsi="Calibri"/>
                <w:color w:val="1E162B"/>
                <w:sz w:val="17"/>
              </w:rPr>
              <w:t>₹65,000 per enterprise contract</w:t>
            </w:r>
          </w:p>
        </w:tc>
      </w:tr>
      <w:tr>
        <w:tc>
          <w:tcPr>
            <w:tcW w:type="dxa" w:w="2329"/>
            <w:shd w:val="clear" w:color="auto" w:fill="F9F5FF"/>
          </w:tcPr>
          <w:p>
            <w:pPr>
              <w:spacing w:before="25" w:after="25" w:line="276" w:lineRule="auto"/>
            </w:pPr>
            <w:r>
              <w:rPr>
                <w:rFonts w:ascii="Calibri" w:hAnsi="Calibri"/>
                <w:color w:val="1E162B"/>
                <w:sz w:val="17"/>
              </w:rPr>
              <w:t>Customer Lifetime Value (LTV)</w:t>
            </w:r>
          </w:p>
        </w:tc>
        <w:tc>
          <w:tcPr>
            <w:tcW w:type="dxa" w:w="2329"/>
            <w:shd w:val="clear" w:color="auto" w:fill="F9F5FF"/>
          </w:tcPr>
          <w:p>
            <w:pPr>
              <w:spacing w:before="25" w:after="25" w:line="276" w:lineRule="auto"/>
            </w:pPr>
            <w:r>
              <w:rPr>
                <w:rFonts w:ascii="Calibri" w:hAnsi="Calibri"/>
                <w:color w:val="1E162B"/>
                <w:sz w:val="17"/>
              </w:rPr>
              <w:t>₹27,00,000 (3-year campus contract)</w:t>
            </w:r>
          </w:p>
        </w:tc>
        <w:tc>
          <w:tcPr>
            <w:tcW w:type="dxa" w:w="2329"/>
            <w:shd w:val="clear" w:color="auto" w:fill="F9F5FF"/>
          </w:tcPr>
          <w:p>
            <w:pPr>
              <w:spacing w:before="25" w:after="25" w:line="276" w:lineRule="auto"/>
            </w:pPr>
            <w:r>
              <w:rPr>
                <w:rFonts w:ascii="Calibri" w:hAnsi="Calibri"/>
                <w:color w:val="1E162B"/>
                <w:sz w:val="17"/>
              </w:rPr>
              <w:t>₹27,00,000 to ₹45,00,000</w:t>
            </w:r>
          </w:p>
        </w:tc>
        <w:tc>
          <w:tcPr>
            <w:tcW w:type="dxa" w:w="2329"/>
            <w:shd w:val="clear" w:color="auto" w:fill="F9F5FF"/>
          </w:tcPr>
          <w:p>
            <w:pPr>
              <w:spacing w:before="25" w:after="25" w:line="276" w:lineRule="auto"/>
            </w:pPr>
            <w:r>
              <w:rPr>
                <w:rFonts w:ascii="Calibri" w:hAnsi="Calibri"/>
                <w:color w:val="1E162B"/>
                <w:sz w:val="17"/>
              </w:rPr>
              <w:t>₹45,00,000+</w:t>
            </w:r>
          </w:p>
        </w:tc>
      </w:tr>
      <w:tr>
        <w:tc>
          <w:tcPr>
            <w:tcW w:type="dxa" w:w="2329"/>
            <w:shd w:val="clear" w:color="auto" w:fill="FFFFFF"/>
          </w:tcPr>
          <w:p>
            <w:pPr>
              <w:spacing w:before="25" w:after="25" w:line="276" w:lineRule="auto"/>
            </w:pPr>
            <w:r>
              <w:rPr>
                <w:rFonts w:ascii="Calibri" w:hAnsi="Calibri"/>
                <w:color w:val="1E162B"/>
                <w:sz w:val="17"/>
              </w:rPr>
              <w:t>LTV : CAC Ratio</w:t>
            </w:r>
          </w:p>
        </w:tc>
        <w:tc>
          <w:tcPr>
            <w:tcW w:type="dxa" w:w="2329"/>
            <w:shd w:val="clear" w:color="auto" w:fill="FFFFFF"/>
          </w:tcPr>
          <w:p>
            <w:pPr>
              <w:spacing w:before="25" w:after="25" w:line="276" w:lineRule="auto"/>
            </w:pPr>
            <w:r>
              <w:rPr>
                <w:rFonts w:ascii="Calibri" w:hAnsi="Calibri"/>
                <w:color w:val="1E162B"/>
                <w:sz w:val="17"/>
              </w:rPr>
              <w:t>108 : 1 (Exceptional capital efficiency)</w:t>
            </w:r>
          </w:p>
        </w:tc>
        <w:tc>
          <w:tcPr>
            <w:tcW w:type="dxa" w:w="2329"/>
            <w:shd w:val="clear" w:color="auto" w:fill="FFFFFF"/>
          </w:tcPr>
          <w:p>
            <w:pPr>
              <w:spacing w:before="25" w:after="25" w:line="276" w:lineRule="auto"/>
            </w:pPr>
            <w:r>
              <w:rPr>
                <w:rFonts w:ascii="Calibri" w:hAnsi="Calibri"/>
                <w:color w:val="1E162B"/>
                <w:sz w:val="17"/>
              </w:rPr>
              <w:t>60 : 1</w:t>
            </w:r>
          </w:p>
        </w:tc>
        <w:tc>
          <w:tcPr>
            <w:tcW w:type="dxa" w:w="2329"/>
            <w:shd w:val="clear" w:color="auto" w:fill="FFFFFF"/>
          </w:tcPr>
          <w:p>
            <w:pPr>
              <w:spacing w:before="25" w:after="25" w:line="276" w:lineRule="auto"/>
            </w:pPr>
            <w:r>
              <w:rPr>
                <w:rFonts w:ascii="Calibri" w:hAnsi="Calibri"/>
                <w:color w:val="1E162B"/>
                <w:sz w:val="17"/>
              </w:rPr>
              <w:t>69 : 1</w:t>
            </w:r>
          </w:p>
        </w:tc>
      </w:tr>
    </w:tbl>
    <w:p/>
    <w:p>
      <w:r>
        <w:br w:type="page"/>
      </w:r>
    </w:p>
    <w:p>
      <w:pPr>
        <w:spacing w:before="180" w:after="70" w:line="276" w:lineRule="auto"/>
        <w:pBdr>
          <w:left w:val="single" w:sz="24" w:space="4" w:color="E11D74"/>
        </w:pBdr>
      </w:pPr>
      <w:r>
        <w:rPr>
          <w:rFonts w:ascii="Calibri" w:hAnsi="Calibri"/>
          <w:b/>
          <w:color w:val="E11D74"/>
          <w:sz w:val="27"/>
        </w:rPr>
        <w:t>5.  Development Roadmap, Risk Mitigation &amp; OKRs</w:t>
      </w:r>
    </w:p>
    <w:p>
      <w:pPr>
        <w:spacing w:before="110" w:after="40" w:line="276" w:lineRule="auto"/>
      </w:pPr>
      <w:r>
        <w:rPr>
          <w:rFonts w:ascii="Calibri" w:hAnsi="Calibri"/>
          <w:b/>
          <w:color w:val="7C3AED"/>
          <w:sz w:val="22"/>
        </w:rPr>
        <w:t>5.1  Three-Tier Performance OKRs</w:t>
      </w:r>
    </w:p>
    <w:p>
      <w:pPr>
        <w:spacing w:before="0" w:after="45" w:line="276" w:lineRule="auto"/>
      </w:pPr>
      <w:r>
        <w:rPr>
          <w:rFonts w:ascii="Calibri" w:hAnsi="Calibri"/>
          <w:color w:val="1E162B"/>
          <w:sz w:val="19"/>
        </w:rPr>
        <w:t>To ensure absolute scientific rigor, SafeHerAI explicitly demarcates current achievements from 90-day pilot commitments and long-term production capacity:</w:t>
      </w:r>
    </w:p>
    <w:tbl>
      <w:tblPr>
        <w:tblStyle w:val="TableGrid"/>
        <w:tblW w:type="auto" w:w="0"/>
        <w:jc w:val="left"/>
        <w:tblLook w:firstColumn="1" w:firstRow="1" w:lastColumn="0" w:lastRow="0" w:noHBand="0" w:noVBand="1" w:val="04A0"/>
      </w:tblPr>
      <w:tblGrid>
        <w:gridCol w:w="1863"/>
        <w:gridCol w:w="1863"/>
        <w:gridCol w:w="1863"/>
        <w:gridCol w:w="1863"/>
        <w:gridCol w:w="1863"/>
      </w:tblGrid>
      <w:tr>
        <w:tc>
          <w:tcPr>
            <w:tcW w:type="dxa" w:w="1863"/>
            <w:shd w:val="clear" w:color="auto" w:fill="1E162B"/>
          </w:tcPr>
          <w:p>
            <w:pPr>
              <w:spacing w:before="30" w:after="30" w:line="276" w:lineRule="auto"/>
            </w:pPr>
            <w:r>
              <w:rPr>
                <w:rFonts w:ascii="Calibri" w:hAnsi="Calibri"/>
                <w:b/>
                <w:color w:val="FFFFFF"/>
                <w:sz w:val="17"/>
              </w:rPr>
              <w:t>Track &amp; Focus Area</w:t>
            </w:r>
          </w:p>
        </w:tc>
        <w:tc>
          <w:tcPr>
            <w:tcW w:type="dxa" w:w="1863"/>
            <w:shd w:val="clear" w:color="auto" w:fill="1E162B"/>
          </w:tcPr>
          <w:p>
            <w:pPr>
              <w:spacing w:before="30" w:after="30" w:line="276" w:lineRule="auto"/>
            </w:pPr>
            <w:r>
              <w:rPr>
                <w:rFonts w:ascii="Calibri" w:hAnsi="Calibri"/>
                <w:b/>
                <w:color w:val="FFFFFF"/>
                <w:sz w:val="17"/>
              </w:rPr>
              <w:t>Key Performance Indicator</w:t>
            </w:r>
          </w:p>
        </w:tc>
        <w:tc>
          <w:tcPr>
            <w:tcW w:type="dxa" w:w="1863"/>
            <w:shd w:val="clear" w:color="auto" w:fill="1E162B"/>
          </w:tcPr>
          <w:p>
            <w:pPr>
              <w:spacing w:before="30" w:after="30" w:line="276" w:lineRule="auto"/>
            </w:pPr>
            <w:r>
              <w:rPr>
                <w:rFonts w:ascii="Calibri" w:hAnsi="Calibri"/>
                <w:b/>
                <w:color w:val="FFFFFF"/>
                <w:sz w:val="17"/>
              </w:rPr>
              <w:t>Tier A: Currently Validated (Pre-Existing Codebase)</w:t>
            </w:r>
          </w:p>
        </w:tc>
        <w:tc>
          <w:tcPr>
            <w:tcW w:type="dxa" w:w="1863"/>
            <w:shd w:val="clear" w:color="auto" w:fill="1E162B"/>
          </w:tcPr>
          <w:p>
            <w:pPr>
              <w:spacing w:before="30" w:after="30" w:line="276" w:lineRule="auto"/>
            </w:pPr>
            <w:r>
              <w:rPr>
                <w:rFonts w:ascii="Calibri" w:hAnsi="Calibri"/>
                <w:b/>
                <w:color w:val="FFFFFF"/>
                <w:sz w:val="17"/>
              </w:rPr>
              <w:t>Tier B: 90-Day Pilot Target (Sprint Commitment)</w:t>
            </w:r>
          </w:p>
        </w:tc>
        <w:tc>
          <w:tcPr>
            <w:tcW w:type="dxa" w:w="1863"/>
            <w:shd w:val="clear" w:color="auto" w:fill="1E162B"/>
          </w:tcPr>
          <w:p>
            <w:pPr>
              <w:spacing w:before="30" w:after="30" w:line="276" w:lineRule="auto"/>
            </w:pPr>
            <w:r>
              <w:rPr>
                <w:rFonts w:ascii="Calibri" w:hAnsi="Calibri"/>
                <w:b/>
                <w:color w:val="FFFFFF"/>
                <w:sz w:val="17"/>
              </w:rPr>
              <w:t>Tier C: Projected Production (Scale Architecture)</w:t>
            </w:r>
          </w:p>
        </w:tc>
      </w:tr>
      <w:tr>
        <w:tc>
          <w:tcPr>
            <w:tcW w:type="dxa" w:w="1863"/>
            <w:shd w:val="clear" w:color="auto" w:fill="F9F5FF"/>
          </w:tcPr>
          <w:p>
            <w:pPr>
              <w:spacing w:before="25" w:after="25" w:line="276" w:lineRule="auto"/>
            </w:pPr>
            <w:r>
              <w:rPr>
                <w:rFonts w:ascii="Calibri" w:hAnsi="Calibri"/>
                <w:color w:val="1E162B"/>
                <w:sz w:val="17"/>
              </w:rPr>
              <w:t>Track 1:</w:t>
              <w:br/>
              <w:t>AI Safety Map</w:t>
            </w:r>
          </w:p>
        </w:tc>
        <w:tc>
          <w:tcPr>
            <w:tcW w:type="dxa" w:w="1863"/>
            <w:shd w:val="clear" w:color="auto" w:fill="F9F5FF"/>
          </w:tcPr>
          <w:p>
            <w:pPr>
              <w:spacing w:before="25" w:after="25" w:line="276" w:lineRule="auto"/>
            </w:pPr>
            <w:r>
              <w:rPr>
                <w:rFonts w:ascii="Calibri" w:hAnsi="Calibri"/>
                <w:color w:val="1E162B"/>
                <w:sz w:val="17"/>
              </w:rPr>
              <w:t>XGBoost Environmental Risk Model AUC-ROC</w:t>
            </w:r>
          </w:p>
        </w:tc>
        <w:tc>
          <w:tcPr>
            <w:tcW w:type="dxa" w:w="1863"/>
            <w:shd w:val="clear" w:color="auto" w:fill="F9F5FF"/>
          </w:tcPr>
          <w:p>
            <w:pPr>
              <w:spacing w:before="25" w:after="25" w:line="276" w:lineRule="auto"/>
            </w:pPr>
            <w:r>
              <w:rPr>
                <w:rFonts w:ascii="Calibri" w:hAnsi="Calibri"/>
                <w:color w:val="1E162B"/>
                <w:sz w:val="17"/>
              </w:rPr>
              <w:t>Feature pipeline designed; mock data validated</w:t>
            </w:r>
          </w:p>
        </w:tc>
        <w:tc>
          <w:tcPr>
            <w:tcW w:type="dxa" w:w="1863"/>
            <w:shd w:val="clear" w:color="auto" w:fill="F9F5FF"/>
          </w:tcPr>
          <w:p>
            <w:pPr>
              <w:spacing w:before="25" w:after="25" w:line="276" w:lineRule="auto"/>
            </w:pPr>
            <w:r>
              <w:rPr>
                <w:rFonts w:ascii="Calibri" w:hAnsi="Calibri"/>
                <w:color w:val="1E162B"/>
                <w:sz w:val="17"/>
              </w:rPr>
              <w:t>AUC ≥ 0.82 on held-out NCRB+OSM dataset</w:t>
            </w:r>
          </w:p>
        </w:tc>
        <w:tc>
          <w:tcPr>
            <w:tcW w:type="dxa" w:w="1863"/>
            <w:shd w:val="clear" w:color="auto" w:fill="F9F5FF"/>
          </w:tcPr>
          <w:p>
            <w:pPr>
              <w:spacing w:before="25" w:after="25" w:line="276" w:lineRule="auto"/>
            </w:pPr>
            <w:r>
              <w:rPr>
                <w:rFonts w:ascii="Calibri" w:hAnsi="Calibri"/>
                <w:color w:val="1E162B"/>
                <w:sz w:val="17"/>
              </w:rPr>
              <w:t>AUC ≥ 0.88 with continuous real-time retraining</w:t>
            </w:r>
          </w:p>
        </w:tc>
      </w:tr>
      <w:tr>
        <w:tc>
          <w:tcPr>
            <w:tcW w:type="dxa" w:w="1863"/>
            <w:shd w:val="clear" w:color="auto" w:fill="FFFFFF"/>
          </w:tcPr>
          <w:p>
            <w:pPr>
              <w:spacing w:before="25" w:after="25" w:line="276" w:lineRule="auto"/>
            </w:pPr>
            <w:r>
              <w:rPr>
                <w:rFonts w:ascii="Calibri" w:hAnsi="Calibri"/>
                <w:color w:val="1E162B"/>
                <w:sz w:val="17"/>
              </w:rPr>
              <w:t>Track 1:</w:t>
              <w:br/>
              <w:t>Routing</w:t>
            </w:r>
          </w:p>
        </w:tc>
        <w:tc>
          <w:tcPr>
            <w:tcW w:type="dxa" w:w="1863"/>
            <w:shd w:val="clear" w:color="auto" w:fill="FFFFFF"/>
          </w:tcPr>
          <w:p>
            <w:pPr>
              <w:spacing w:before="25" w:after="25" w:line="276" w:lineRule="auto"/>
            </w:pPr>
            <w:r>
              <w:rPr>
                <w:rFonts w:ascii="Calibri" w:hAnsi="Calibri"/>
                <w:color w:val="1E162B"/>
                <w:sz w:val="17"/>
              </w:rPr>
              <w:t>Counterfactual Route User Acceptance Rate</w:t>
            </w:r>
          </w:p>
        </w:tc>
        <w:tc>
          <w:tcPr>
            <w:tcW w:type="dxa" w:w="1863"/>
            <w:shd w:val="clear" w:color="auto" w:fill="FFFFFF"/>
          </w:tcPr>
          <w:p>
            <w:pPr>
              <w:spacing w:before="25" w:after="25" w:line="276" w:lineRule="auto"/>
            </w:pPr>
            <w:r>
              <w:rPr>
                <w:rFonts w:ascii="Calibri" w:hAnsi="Calibri"/>
                <w:color w:val="1E162B"/>
                <w:sz w:val="17"/>
              </w:rPr>
              <w:t>Routing UI functional in Streamlit POC</w:t>
            </w:r>
          </w:p>
        </w:tc>
        <w:tc>
          <w:tcPr>
            <w:tcW w:type="dxa" w:w="1863"/>
            <w:shd w:val="clear" w:color="auto" w:fill="FFFFFF"/>
          </w:tcPr>
          <w:p>
            <w:pPr>
              <w:spacing w:before="25" w:after="25" w:line="276" w:lineRule="auto"/>
            </w:pPr>
            <w:r>
              <w:rPr>
                <w:rFonts w:ascii="Calibri" w:hAnsi="Calibri"/>
                <w:color w:val="1E162B"/>
                <w:sz w:val="17"/>
              </w:rPr>
              <w:t>≥ 70% preference in 50-journey user trial</w:t>
            </w:r>
          </w:p>
        </w:tc>
        <w:tc>
          <w:tcPr>
            <w:tcW w:type="dxa" w:w="1863"/>
            <w:shd w:val="clear" w:color="auto" w:fill="FFFFFF"/>
          </w:tcPr>
          <w:p>
            <w:pPr>
              <w:spacing w:before="25" w:after="25" w:line="276" w:lineRule="auto"/>
            </w:pPr>
            <w:r>
              <w:rPr>
                <w:rFonts w:ascii="Calibri" w:hAnsi="Calibri"/>
                <w:color w:val="1E162B"/>
                <w:sz w:val="17"/>
              </w:rPr>
              <w:t>≥ 82% preference across diverse urban corridors</w:t>
            </w:r>
          </w:p>
        </w:tc>
      </w:tr>
      <w:tr>
        <w:tc>
          <w:tcPr>
            <w:tcW w:type="dxa" w:w="1863"/>
            <w:shd w:val="clear" w:color="auto" w:fill="F9F5FF"/>
          </w:tcPr>
          <w:p>
            <w:pPr>
              <w:spacing w:before="25" w:after="25" w:line="276" w:lineRule="auto"/>
            </w:pPr>
            <w:r>
              <w:rPr>
                <w:rFonts w:ascii="Calibri" w:hAnsi="Calibri"/>
                <w:color w:val="1E162B"/>
                <w:sz w:val="17"/>
              </w:rPr>
              <w:t>Track 2:</w:t>
              <w:br/>
              <w:t>Journey Twin</w:t>
            </w:r>
          </w:p>
        </w:tc>
        <w:tc>
          <w:tcPr>
            <w:tcW w:type="dxa" w:w="1863"/>
            <w:shd w:val="clear" w:color="auto" w:fill="F9F5FF"/>
          </w:tcPr>
          <w:p>
            <w:pPr>
              <w:spacing w:before="25" w:after="25" w:line="276" w:lineRule="auto"/>
            </w:pPr>
            <w:r>
              <w:rPr>
                <w:rFonts w:ascii="Calibri" w:hAnsi="Calibri"/>
                <w:color w:val="1E162B"/>
                <w:sz w:val="17"/>
              </w:rPr>
              <w:t>Trajectory Deviation Detection Precision &amp; Recall</w:t>
            </w:r>
          </w:p>
        </w:tc>
        <w:tc>
          <w:tcPr>
            <w:tcW w:type="dxa" w:w="1863"/>
            <w:shd w:val="clear" w:color="auto" w:fill="F9F5FF"/>
          </w:tcPr>
          <w:p>
            <w:pPr>
              <w:spacing w:before="25" w:after="25" w:line="276" w:lineRule="auto"/>
            </w:pPr>
            <w:r>
              <w:rPr>
                <w:rFonts w:ascii="Calibri" w:hAnsi="Calibri"/>
                <w:color w:val="1E162B"/>
                <w:sz w:val="17"/>
              </w:rPr>
              <w:t>Simulated deviation scenarios working in Docker</w:t>
            </w:r>
          </w:p>
        </w:tc>
        <w:tc>
          <w:tcPr>
            <w:tcW w:type="dxa" w:w="1863"/>
            <w:shd w:val="clear" w:color="auto" w:fill="F9F5FF"/>
          </w:tcPr>
          <w:p>
            <w:pPr>
              <w:spacing w:before="25" w:after="25" w:line="276" w:lineRule="auto"/>
            </w:pPr>
            <w:r>
              <w:rPr>
                <w:rFonts w:ascii="Calibri" w:hAnsi="Calibri"/>
                <w:color w:val="1E162B"/>
                <w:sz w:val="17"/>
              </w:rPr>
              <w:t>Precision ≥ 85%, Recall ≥ 90% at 500m threshold</w:t>
            </w:r>
          </w:p>
        </w:tc>
        <w:tc>
          <w:tcPr>
            <w:tcW w:type="dxa" w:w="1863"/>
            <w:shd w:val="clear" w:color="auto" w:fill="F9F5FF"/>
          </w:tcPr>
          <w:p>
            <w:pPr>
              <w:spacing w:before="25" w:after="25" w:line="276" w:lineRule="auto"/>
            </w:pPr>
            <w:r>
              <w:rPr>
                <w:rFonts w:ascii="Calibri" w:hAnsi="Calibri"/>
                <w:color w:val="1E162B"/>
                <w:sz w:val="17"/>
              </w:rPr>
              <w:t>Precision ≥ 92%, Recall ≥ 96% with DTW tuning</w:t>
            </w:r>
          </w:p>
        </w:tc>
      </w:tr>
      <w:tr>
        <w:tc>
          <w:tcPr>
            <w:tcW w:type="dxa" w:w="1863"/>
            <w:shd w:val="clear" w:color="auto" w:fill="FFFFFF"/>
          </w:tcPr>
          <w:p>
            <w:pPr>
              <w:spacing w:before="25" w:after="25" w:line="276" w:lineRule="auto"/>
            </w:pPr>
            <w:r>
              <w:rPr>
                <w:rFonts w:ascii="Calibri" w:hAnsi="Calibri"/>
                <w:color w:val="1E162B"/>
                <w:sz w:val="17"/>
              </w:rPr>
              <w:t>Track 2:</w:t>
              <w:br/>
              <w:t>Edge Latency</w:t>
            </w:r>
          </w:p>
        </w:tc>
        <w:tc>
          <w:tcPr>
            <w:tcW w:type="dxa" w:w="1863"/>
            <w:shd w:val="clear" w:color="auto" w:fill="FFFFFF"/>
          </w:tcPr>
          <w:p>
            <w:pPr>
              <w:spacing w:before="25" w:after="25" w:line="276" w:lineRule="auto"/>
            </w:pPr>
            <w:r>
              <w:rPr>
                <w:rFonts w:ascii="Calibri" w:hAnsi="Calibri"/>
                <w:color w:val="1E162B"/>
                <w:sz w:val="17"/>
              </w:rPr>
              <w:t>End-to-End WebSocket Anomaly Inference Time</w:t>
            </w:r>
          </w:p>
        </w:tc>
        <w:tc>
          <w:tcPr>
            <w:tcW w:type="dxa" w:w="1863"/>
            <w:shd w:val="clear" w:color="auto" w:fill="FFFFFF"/>
          </w:tcPr>
          <w:p>
            <w:pPr>
              <w:spacing w:before="25" w:after="25" w:line="276" w:lineRule="auto"/>
            </w:pPr>
            <w:r>
              <w:rPr>
                <w:rFonts w:ascii="Calibri" w:hAnsi="Calibri"/>
                <w:color w:val="1E162B"/>
                <w:sz w:val="17"/>
              </w:rPr>
              <w:t>In-memory Python: ~18 ms</w:t>
            </w:r>
          </w:p>
        </w:tc>
        <w:tc>
          <w:tcPr>
            <w:tcW w:type="dxa" w:w="1863"/>
            <w:shd w:val="clear" w:color="auto" w:fill="FFFFFF"/>
          </w:tcPr>
          <w:p>
            <w:pPr>
              <w:spacing w:before="25" w:after="25" w:line="276" w:lineRule="auto"/>
            </w:pPr>
            <w:r>
              <w:rPr>
                <w:rFonts w:ascii="Calibri" w:hAnsi="Calibri"/>
                <w:color w:val="1E162B"/>
                <w:sz w:val="17"/>
              </w:rPr>
              <w:t>Rust Axum Edge Gateway: &lt; 5.0 ms</w:t>
            </w:r>
          </w:p>
        </w:tc>
        <w:tc>
          <w:tcPr>
            <w:tcW w:type="dxa" w:w="1863"/>
            <w:shd w:val="clear" w:color="auto" w:fill="FFFFFF"/>
          </w:tcPr>
          <w:p>
            <w:pPr>
              <w:spacing w:before="25" w:after="25" w:line="276" w:lineRule="auto"/>
            </w:pPr>
            <w:r>
              <w:rPr>
                <w:rFonts w:ascii="Calibri" w:hAnsi="Calibri"/>
                <w:color w:val="1E162B"/>
                <w:sz w:val="17"/>
              </w:rPr>
              <w:t>Rust Edge with Linfa SIMD: &lt; 2.0 ms</w:t>
            </w:r>
          </w:p>
        </w:tc>
      </w:tr>
      <w:tr>
        <w:tc>
          <w:tcPr>
            <w:tcW w:type="dxa" w:w="1863"/>
            <w:shd w:val="clear" w:color="auto" w:fill="F9F5FF"/>
          </w:tcPr>
          <w:p>
            <w:pPr>
              <w:spacing w:before="25" w:after="25" w:line="276" w:lineRule="auto"/>
            </w:pPr>
            <w:r>
              <w:rPr>
                <w:rFonts w:ascii="Calibri" w:hAnsi="Calibri"/>
                <w:color w:val="1E162B"/>
                <w:sz w:val="17"/>
              </w:rPr>
              <w:t>Track 4:</w:t>
              <w:br/>
              <w:t>Community</w:t>
            </w:r>
          </w:p>
        </w:tc>
        <w:tc>
          <w:tcPr>
            <w:tcW w:type="dxa" w:w="1863"/>
            <w:shd w:val="clear" w:color="auto" w:fill="F9F5FF"/>
          </w:tcPr>
          <w:p>
            <w:pPr>
              <w:spacing w:before="25" w:after="25" w:line="276" w:lineRule="auto"/>
            </w:pPr>
            <w:r>
              <w:rPr>
                <w:rFonts w:ascii="Calibri" w:hAnsi="Calibri"/>
                <w:color w:val="1E162B"/>
                <w:sz w:val="17"/>
              </w:rPr>
              <w:t>Random Forest Credibility Score Correlation</w:t>
            </w:r>
          </w:p>
        </w:tc>
        <w:tc>
          <w:tcPr>
            <w:tcW w:type="dxa" w:w="1863"/>
            <w:shd w:val="clear" w:color="auto" w:fill="F9F5FF"/>
          </w:tcPr>
          <w:p>
            <w:pPr>
              <w:spacing w:before="25" w:after="25" w:line="276" w:lineRule="auto"/>
            </w:pPr>
            <w:r>
              <w:rPr>
                <w:rFonts w:ascii="Calibri" w:hAnsi="Calibri"/>
                <w:color w:val="1E162B"/>
                <w:sz w:val="17"/>
              </w:rPr>
              <w:t>Report submission &amp; schema validated</w:t>
            </w:r>
          </w:p>
        </w:tc>
        <w:tc>
          <w:tcPr>
            <w:tcW w:type="dxa" w:w="1863"/>
            <w:shd w:val="clear" w:color="auto" w:fill="F9F5FF"/>
          </w:tcPr>
          <w:p>
            <w:pPr>
              <w:spacing w:before="25" w:after="25" w:line="276" w:lineRule="auto"/>
            </w:pPr>
            <w:r>
              <w:rPr>
                <w:rFonts w:ascii="Calibri" w:hAnsi="Calibri"/>
                <w:color w:val="1E162B"/>
                <w:sz w:val="17"/>
              </w:rPr>
              <w:t>Spearman ρ ≥ 0.75 vs human expert labels</w:t>
            </w:r>
          </w:p>
        </w:tc>
        <w:tc>
          <w:tcPr>
            <w:tcW w:type="dxa" w:w="1863"/>
            <w:shd w:val="clear" w:color="auto" w:fill="F9F5FF"/>
          </w:tcPr>
          <w:p>
            <w:pPr>
              <w:spacing w:before="25" w:after="25" w:line="276" w:lineRule="auto"/>
            </w:pPr>
            <w:r>
              <w:rPr>
                <w:rFonts w:ascii="Calibri" w:hAnsi="Calibri"/>
                <w:color w:val="1E162B"/>
                <w:sz w:val="17"/>
              </w:rPr>
              <w:t>Spearman ρ ≥ 0.83 on live crowd consensus</w:t>
            </w:r>
          </w:p>
        </w:tc>
      </w:tr>
      <w:tr>
        <w:tc>
          <w:tcPr>
            <w:tcW w:type="dxa" w:w="1863"/>
            <w:shd w:val="clear" w:color="auto" w:fill="FFFFFF"/>
          </w:tcPr>
          <w:p>
            <w:pPr>
              <w:spacing w:before="25" w:after="25" w:line="276" w:lineRule="auto"/>
            </w:pPr>
            <w:r>
              <w:rPr>
                <w:rFonts w:ascii="Calibri" w:hAnsi="Calibri"/>
                <w:color w:val="1E162B"/>
                <w:sz w:val="17"/>
              </w:rPr>
              <w:t>Track 5:</w:t>
              <w:br/>
              <w:t>AI Companion</w:t>
            </w:r>
          </w:p>
        </w:tc>
        <w:tc>
          <w:tcPr>
            <w:tcW w:type="dxa" w:w="1863"/>
            <w:shd w:val="clear" w:color="auto" w:fill="FFFFFF"/>
          </w:tcPr>
          <w:p>
            <w:pPr>
              <w:spacing w:before="25" w:after="25" w:line="276" w:lineRule="auto"/>
            </w:pPr>
            <w:r>
              <w:rPr>
                <w:rFonts w:ascii="Calibri" w:hAnsi="Calibri"/>
                <w:color w:val="1E162B"/>
                <w:sz w:val="17"/>
              </w:rPr>
              <w:t>Expert Safety &amp; Context Evaluation Rating</w:t>
            </w:r>
          </w:p>
        </w:tc>
        <w:tc>
          <w:tcPr>
            <w:tcW w:type="dxa" w:w="1863"/>
            <w:shd w:val="clear" w:color="auto" w:fill="FFFFFF"/>
          </w:tcPr>
          <w:p>
            <w:pPr>
              <w:spacing w:before="25" w:after="25" w:line="276" w:lineRule="auto"/>
            </w:pPr>
            <w:r>
              <w:rPr>
                <w:rFonts w:ascii="Calibri" w:hAnsi="Calibri"/>
                <w:color w:val="1E162B"/>
                <w:sz w:val="17"/>
              </w:rPr>
              <w:t>Live Gemini 2.0 Flash functional with API key</w:t>
            </w:r>
          </w:p>
        </w:tc>
        <w:tc>
          <w:tcPr>
            <w:tcW w:type="dxa" w:w="1863"/>
            <w:shd w:val="clear" w:color="auto" w:fill="FFFFFF"/>
          </w:tcPr>
          <w:p>
            <w:pPr>
              <w:spacing w:before="25" w:after="25" w:line="276" w:lineRule="auto"/>
            </w:pPr>
            <w:r>
              <w:rPr>
                <w:rFonts w:ascii="Calibri" w:hAnsi="Calibri"/>
                <w:color w:val="1E162B"/>
                <w:sz w:val="17"/>
              </w:rPr>
              <w:t>Mean Score ≥ 4.2 / 5.0 (20-judge panel)</w:t>
            </w:r>
          </w:p>
        </w:tc>
        <w:tc>
          <w:tcPr>
            <w:tcW w:type="dxa" w:w="1863"/>
            <w:shd w:val="clear" w:color="auto" w:fill="FFFFFF"/>
          </w:tcPr>
          <w:p>
            <w:pPr>
              <w:spacing w:before="25" w:after="25" w:line="276" w:lineRule="auto"/>
            </w:pPr>
            <w:r>
              <w:rPr>
                <w:rFonts w:ascii="Calibri" w:hAnsi="Calibri"/>
                <w:color w:val="1E162B"/>
                <w:sz w:val="17"/>
              </w:rPr>
              <w:t>Mean Score ≥ 4.6 / 5.0 with Vertex grounding</w:t>
            </w:r>
          </w:p>
        </w:tc>
      </w:tr>
    </w:tbl>
    <w:p/>
    <w:p>
      <w:pPr>
        <w:spacing w:before="110" w:after="40" w:line="276" w:lineRule="auto"/>
      </w:pPr>
      <w:r>
        <w:rPr>
          <w:rFonts w:ascii="Calibri" w:hAnsi="Calibri"/>
          <w:b/>
          <w:color w:val="7C3AED"/>
          <w:sz w:val="22"/>
        </w:rPr>
        <w:t>5.2  90-Day Implementation Roadmap &amp; Quality Gates</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color="auto" w:fill="1E162B"/>
          </w:tcPr>
          <w:p>
            <w:pPr>
              <w:spacing w:before="30" w:after="30" w:line="276" w:lineRule="auto"/>
            </w:pPr>
            <w:r>
              <w:rPr>
                <w:rFonts w:ascii="Calibri" w:hAnsi="Calibri"/>
                <w:b/>
                <w:color w:val="FFFFFF"/>
                <w:sz w:val="17"/>
              </w:rPr>
              <w:t>Milestone &amp; Window</w:t>
            </w:r>
          </w:p>
        </w:tc>
        <w:tc>
          <w:tcPr>
            <w:tcW w:type="dxa" w:w="3106"/>
            <w:shd w:val="clear" w:color="auto" w:fill="1E162B"/>
          </w:tcPr>
          <w:p>
            <w:pPr>
              <w:spacing w:before="30" w:after="30" w:line="276" w:lineRule="auto"/>
            </w:pPr>
            <w:r>
              <w:rPr>
                <w:rFonts w:ascii="Calibri" w:hAnsi="Calibri"/>
                <w:b/>
                <w:color w:val="FFFFFF"/>
                <w:sz w:val="17"/>
              </w:rPr>
              <w:t>Key Engineering Deliverables</w:t>
            </w:r>
          </w:p>
        </w:tc>
        <w:tc>
          <w:tcPr>
            <w:tcW w:type="dxa" w:w="3106"/>
            <w:shd w:val="clear" w:color="auto" w:fill="1E162B"/>
          </w:tcPr>
          <w:p>
            <w:pPr>
              <w:spacing w:before="30" w:after="30" w:line="276" w:lineRule="auto"/>
            </w:pPr>
            <w:r>
              <w:rPr>
                <w:rFonts w:ascii="Calibri" w:hAnsi="Calibri"/>
                <w:b/>
                <w:color w:val="FFFFFF"/>
                <w:sz w:val="17"/>
              </w:rPr>
              <w:t>Mandatory Quality Gate Criteria (Pass/Fail)</w:t>
            </w:r>
          </w:p>
        </w:tc>
      </w:tr>
      <w:tr>
        <w:tc>
          <w:tcPr>
            <w:tcW w:type="dxa" w:w="3106"/>
            <w:shd w:val="clear" w:color="auto" w:fill="F9F5FF"/>
          </w:tcPr>
          <w:p>
            <w:pPr>
              <w:spacing w:before="25" w:after="25" w:line="276" w:lineRule="auto"/>
            </w:pPr>
            <w:r>
              <w:rPr>
                <w:rFonts w:ascii="Calibri" w:hAnsi="Calibri"/>
                <w:color w:val="1E162B"/>
                <w:sz w:val="17"/>
              </w:rPr>
              <w:t>M1: Edge Core &amp; Data Grid</w:t>
              <w:br/>
              <w:t>(Weeks 1–3)</w:t>
            </w:r>
          </w:p>
        </w:tc>
        <w:tc>
          <w:tcPr>
            <w:tcW w:type="dxa" w:w="3106"/>
            <w:shd w:val="clear" w:color="auto" w:fill="F9F5FF"/>
          </w:tcPr>
          <w:p>
            <w:pPr>
              <w:spacing w:before="25" w:after="25" w:line="276" w:lineRule="auto"/>
            </w:pPr>
            <w:r>
              <w:rPr>
                <w:rFonts w:ascii="Calibri" w:hAnsi="Calibri"/>
                <w:color w:val="1E162B"/>
                <w:sz w:val="17"/>
              </w:rPr>
              <w:t>· PostgreSQL 16 + PostGIS 3.4 database deployed</w:t>
              <w:br/>
              <w:t>· Hyderabad H3 grid seeded (50,000+ hex cells)</w:t>
              <w:br/>
              <w:t>· Rust Axum WebSocket Edge Gateway initialized</w:t>
              <w:br/>
              <w:t>· `flutter_rust_bridge` FFI integrated in mobile client</w:t>
            </w:r>
          </w:p>
        </w:tc>
        <w:tc>
          <w:tcPr>
            <w:tcW w:type="dxa" w:w="3106"/>
            <w:shd w:val="clear" w:color="auto" w:fill="F9F5FF"/>
          </w:tcPr>
          <w:p>
            <w:pPr>
              <w:spacing w:before="25" w:after="25" w:line="276" w:lineRule="auto"/>
            </w:pPr>
            <w:r>
              <w:rPr>
                <w:rFonts w:ascii="Calibri" w:hAnsi="Calibri"/>
                <w:color w:val="1E162B"/>
                <w:sz w:val="17"/>
              </w:rPr>
              <w:t>Gate M1: PostGIS spatial query latency &lt; 150 ms; Rust FFI GPS math benchmarked at &lt; 0.1 ms on physical Android test device.</w:t>
            </w:r>
          </w:p>
        </w:tc>
      </w:tr>
      <w:tr>
        <w:tc>
          <w:tcPr>
            <w:tcW w:type="dxa" w:w="3106"/>
            <w:shd w:val="clear" w:color="auto" w:fill="FFFFFF"/>
          </w:tcPr>
          <w:p>
            <w:pPr>
              <w:spacing w:before="25" w:after="25" w:line="276" w:lineRule="auto"/>
            </w:pPr>
            <w:r>
              <w:rPr>
                <w:rFonts w:ascii="Calibri" w:hAnsi="Calibri"/>
                <w:color w:val="1E162B"/>
                <w:sz w:val="17"/>
              </w:rPr>
              <w:t>M2: Core AI Engines</w:t>
              <w:br/>
              <w:t>(Weeks 4–6)</w:t>
            </w:r>
          </w:p>
        </w:tc>
        <w:tc>
          <w:tcPr>
            <w:tcW w:type="dxa" w:w="3106"/>
            <w:shd w:val="clear" w:color="auto" w:fill="FFFFFF"/>
          </w:tcPr>
          <w:p>
            <w:pPr>
              <w:spacing w:before="25" w:after="25" w:line="276" w:lineRule="auto"/>
            </w:pPr>
            <w:r>
              <w:rPr>
                <w:rFonts w:ascii="Calibri" w:hAnsi="Calibri"/>
                <w:color w:val="1E162B"/>
                <w:sz w:val="17"/>
              </w:rPr>
              <w:t>· XGBoost risk model trained on NCRB + OSM datasets</w:t>
              <w:br/>
              <w:t>· SHAP counterfactual explainer connected to Gemini Flash</w:t>
              <w:br/>
              <w:t>· Isolation Forest + DTW deviation engine in Rust Edge</w:t>
              <w:br/>
              <w:t>· Redis Pub/Sub event bus connected to Safety Brain</w:t>
            </w:r>
          </w:p>
        </w:tc>
        <w:tc>
          <w:tcPr>
            <w:tcW w:type="dxa" w:w="3106"/>
            <w:shd w:val="clear" w:color="auto" w:fill="FFFFFF"/>
          </w:tcPr>
          <w:p>
            <w:pPr>
              <w:spacing w:before="25" w:after="25" w:line="276" w:lineRule="auto"/>
            </w:pPr>
            <w:r>
              <w:rPr>
                <w:rFonts w:ascii="Calibri" w:hAnsi="Calibri"/>
                <w:color w:val="1E162B"/>
                <w:sz w:val="17"/>
              </w:rPr>
              <w:t>Gate M2: XGBoost AUC ≥ 0.80; Isolation Forest accurately flags 100% of synthetic 500m deviation test vectors; Edge inference &lt; 5 ms.</w:t>
            </w:r>
          </w:p>
        </w:tc>
      </w:tr>
      <w:tr>
        <w:tc>
          <w:tcPr>
            <w:tcW w:type="dxa" w:w="3106"/>
            <w:shd w:val="clear" w:color="auto" w:fill="F9F5FF"/>
          </w:tcPr>
          <w:p>
            <w:pPr>
              <w:spacing w:before="25" w:after="25" w:line="276" w:lineRule="auto"/>
            </w:pPr>
            <w:r>
              <w:rPr>
                <w:rFonts w:ascii="Calibri" w:hAnsi="Calibri"/>
                <w:color w:val="1E162B"/>
                <w:sz w:val="17"/>
              </w:rPr>
              <w:t>M3: Community &amp; Legal</w:t>
              <w:br/>
              <w:t>(Weeks 7–9)</w:t>
            </w:r>
          </w:p>
        </w:tc>
        <w:tc>
          <w:tcPr>
            <w:tcW w:type="dxa" w:w="3106"/>
            <w:shd w:val="clear" w:color="auto" w:fill="F9F5FF"/>
          </w:tcPr>
          <w:p>
            <w:pPr>
              <w:spacing w:before="25" w:after="25" w:line="276" w:lineRule="auto"/>
            </w:pPr>
            <w:r>
              <w:rPr>
                <w:rFonts w:ascii="Calibri" w:hAnsi="Calibri"/>
                <w:color w:val="1E162B"/>
                <w:sz w:val="17"/>
              </w:rPr>
              <w:t>· Celery async workers running Random Forest trust model</w:t>
              <w:br/>
              <w:t>· PostGIS ST_ClusterDBSCAN materialised view pipeline</w:t>
              <w:br/>
              <w:t>· Gemini 2.5 Flash SSE streaming companion endpoint</w:t>
              <w:br/>
              <w:t>· Gemini 2.5 Pro structured BNS FIR drafting module</w:t>
            </w:r>
          </w:p>
        </w:tc>
        <w:tc>
          <w:tcPr>
            <w:tcW w:type="dxa" w:w="3106"/>
            <w:shd w:val="clear" w:color="auto" w:fill="F9F5FF"/>
          </w:tcPr>
          <w:p>
            <w:pPr>
              <w:spacing w:before="25" w:after="25" w:line="276" w:lineRule="auto"/>
            </w:pPr>
            <w:r>
              <w:rPr>
                <w:rFonts w:ascii="Calibri" w:hAnsi="Calibri"/>
                <w:color w:val="1E162B"/>
                <w:sz w:val="17"/>
              </w:rPr>
              <w:t>Gate M3: Trust scorer achieves ρ ≥ 0.70; Companion SSE first-token latency &lt; 800 ms; FIR draft strictly validates against JSON schema.</w:t>
            </w:r>
          </w:p>
        </w:tc>
      </w:tr>
      <w:tr>
        <w:tc>
          <w:tcPr>
            <w:tcW w:type="dxa" w:w="3106"/>
            <w:shd w:val="clear" w:color="auto" w:fill="FFFFFF"/>
          </w:tcPr>
          <w:p>
            <w:pPr>
              <w:spacing w:before="25" w:after="25" w:line="276" w:lineRule="auto"/>
            </w:pPr>
            <w:r>
              <w:rPr>
                <w:rFonts w:ascii="Calibri" w:hAnsi="Calibri"/>
                <w:color w:val="1E162B"/>
                <w:sz w:val="17"/>
              </w:rPr>
              <w:t>M4: Client Apps &amp; Dashboard</w:t>
              <w:br/>
              <w:t>(Weeks 10–11)</w:t>
            </w:r>
          </w:p>
        </w:tc>
        <w:tc>
          <w:tcPr>
            <w:tcW w:type="dxa" w:w="3106"/>
            <w:shd w:val="clear" w:color="auto" w:fill="FFFFFF"/>
          </w:tcPr>
          <w:p>
            <w:pPr>
              <w:spacing w:before="25" w:after="25" w:line="276" w:lineRule="auto"/>
            </w:pPr>
            <w:r>
              <w:rPr>
                <w:rFonts w:ascii="Calibri" w:hAnsi="Calibri"/>
                <w:color w:val="1E162B"/>
                <w:sz w:val="17"/>
              </w:rPr>
              <w:t>· Flutter thin client app finalized (GPS stream, SOS, chat)</w:t>
              <w:br/>
              <w:t>· Next.js Command Center dashboard with deck.gl WebGL</w:t>
              <w:br/>
              <w:t>· End-to-end integration of all 4 demo scenarios</w:t>
            </w:r>
          </w:p>
        </w:tc>
        <w:tc>
          <w:tcPr>
            <w:tcW w:type="dxa" w:w="3106"/>
            <w:shd w:val="clear" w:color="auto" w:fill="FFFFFF"/>
          </w:tcPr>
          <w:p>
            <w:pPr>
              <w:spacing w:before="25" w:after="25" w:line="276" w:lineRule="auto"/>
            </w:pPr>
            <w:r>
              <w:rPr>
                <w:rFonts w:ascii="Calibri" w:hAnsi="Calibri"/>
                <w:color w:val="1E162B"/>
                <w:sz w:val="17"/>
              </w:rPr>
              <w:t>Gate M4: Full system executes NORMAL, DEVIATION, DISTRESS, and COMMUNITY_ALERT scenarios seamlessly with 60fps WebGL rendering.</w:t>
            </w:r>
          </w:p>
        </w:tc>
      </w:tr>
      <w:tr>
        <w:tc>
          <w:tcPr>
            <w:tcW w:type="dxa" w:w="3106"/>
            <w:shd w:val="clear" w:color="auto" w:fill="F9F5FF"/>
          </w:tcPr>
          <w:p>
            <w:pPr>
              <w:spacing w:before="25" w:after="25" w:line="276" w:lineRule="auto"/>
            </w:pPr>
            <w:r>
              <w:rPr>
                <w:rFonts w:ascii="Calibri" w:hAnsi="Calibri"/>
                <w:color w:val="1E162B"/>
                <w:sz w:val="17"/>
              </w:rPr>
              <w:t>M5: Evaluation &amp; Pilot</w:t>
              <w:br/>
              <w:t>(Weeks 12–13)</w:t>
            </w:r>
          </w:p>
        </w:tc>
        <w:tc>
          <w:tcPr>
            <w:tcW w:type="dxa" w:w="3106"/>
            <w:shd w:val="clear" w:color="auto" w:fill="F9F5FF"/>
          </w:tcPr>
          <w:p>
            <w:pPr>
              <w:spacing w:before="25" w:after="25" w:line="276" w:lineRule="auto"/>
            </w:pPr>
            <w:r>
              <w:rPr>
                <w:rFonts w:ascii="Calibri" w:hAnsi="Calibri"/>
                <w:color w:val="1E162B"/>
                <w:sz w:val="17"/>
              </w:rPr>
              <w:t>· Controlled 50-journey user validation study at VIT-AP</w:t>
              <w:br/>
              <w:t>· 20-evaluator panel review of AI legal grievance drafts</w:t>
              <w:br/>
              <w:t>· Final documentation, video demo, and MSME report</w:t>
            </w:r>
          </w:p>
        </w:tc>
        <w:tc>
          <w:tcPr>
            <w:tcW w:type="dxa" w:w="3106"/>
            <w:shd w:val="clear" w:color="auto" w:fill="F9F5FF"/>
          </w:tcPr>
          <w:p>
            <w:pPr>
              <w:spacing w:before="25" w:after="25" w:line="276" w:lineRule="auto"/>
            </w:pPr>
            <w:r>
              <w:rPr>
                <w:rFonts w:ascii="Calibri" w:hAnsi="Calibri"/>
                <w:color w:val="1E162B"/>
                <w:sz w:val="17"/>
              </w:rPr>
              <w:t>Gate M5: All 5 OKR targets met; Zero critical vulnerabilities in static security analysis; Submission package approved by mentor.</w:t>
            </w:r>
          </w:p>
        </w:tc>
      </w:tr>
    </w:tbl>
    <w:p/>
    <w:p>
      <w:pPr>
        <w:spacing w:before="110" w:after="40" w:line="276" w:lineRule="auto"/>
      </w:pPr>
      <w:r>
        <w:rPr>
          <w:rFonts w:ascii="Calibri" w:hAnsi="Calibri"/>
          <w:b/>
          <w:color w:val="7C3AED"/>
          <w:sz w:val="22"/>
        </w:rPr>
        <w:t>5.3  Comprehensive Risk Identification &amp; Mitigation Matrix</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color="auto" w:fill="1E162B"/>
          </w:tcPr>
          <w:p>
            <w:pPr>
              <w:spacing w:before="30" w:after="30" w:line="276" w:lineRule="auto"/>
            </w:pPr>
            <w:r>
              <w:rPr>
                <w:rFonts w:ascii="Calibri" w:hAnsi="Calibri"/>
                <w:b/>
                <w:color w:val="FFFFFF"/>
                <w:sz w:val="17"/>
              </w:rPr>
              <w:t>Identified Technical / Operational Risk</w:t>
            </w:r>
          </w:p>
        </w:tc>
        <w:tc>
          <w:tcPr>
            <w:tcW w:type="dxa" w:w="2329"/>
            <w:shd w:val="clear" w:color="auto" w:fill="1E162B"/>
          </w:tcPr>
          <w:p>
            <w:pPr>
              <w:spacing w:before="30" w:after="30" w:line="276" w:lineRule="auto"/>
            </w:pPr>
            <w:r>
              <w:rPr>
                <w:rFonts w:ascii="Calibri" w:hAnsi="Calibri"/>
                <w:b/>
                <w:color w:val="FFFFFF"/>
                <w:sz w:val="17"/>
              </w:rPr>
              <w:t>Risk Level</w:t>
            </w:r>
          </w:p>
        </w:tc>
        <w:tc>
          <w:tcPr>
            <w:tcW w:type="dxa" w:w="2329"/>
            <w:shd w:val="clear" w:color="auto" w:fill="1E162B"/>
          </w:tcPr>
          <w:p>
            <w:pPr>
              <w:spacing w:before="30" w:after="30" w:line="276" w:lineRule="auto"/>
            </w:pPr>
            <w:r>
              <w:rPr>
                <w:rFonts w:ascii="Calibri" w:hAnsi="Calibri"/>
                <w:b/>
                <w:color w:val="FFFFFF"/>
                <w:sz w:val="17"/>
              </w:rPr>
              <w:t>Impact Severity</w:t>
            </w:r>
          </w:p>
        </w:tc>
        <w:tc>
          <w:tcPr>
            <w:tcW w:type="dxa" w:w="2329"/>
            <w:shd w:val="clear" w:color="auto" w:fill="1E162B"/>
          </w:tcPr>
          <w:p>
            <w:pPr>
              <w:spacing w:before="30" w:after="30" w:line="276" w:lineRule="auto"/>
            </w:pPr>
            <w:r>
              <w:rPr>
                <w:rFonts w:ascii="Calibri" w:hAnsi="Calibri"/>
                <w:b/>
                <w:color w:val="FFFFFF"/>
                <w:sz w:val="17"/>
              </w:rPr>
              <w:t>Embedded Architectural Mitigation Strategy</w:t>
            </w:r>
          </w:p>
        </w:tc>
      </w:tr>
      <w:tr>
        <w:tc>
          <w:tcPr>
            <w:tcW w:type="dxa" w:w="2329"/>
            <w:shd w:val="clear" w:color="auto" w:fill="F9F5FF"/>
          </w:tcPr>
          <w:p>
            <w:pPr>
              <w:spacing w:before="25" w:after="25" w:line="276" w:lineRule="auto"/>
            </w:pPr>
            <w:r>
              <w:rPr>
                <w:rFonts w:ascii="Calibri" w:hAnsi="Calibri"/>
                <w:color w:val="1E162B"/>
                <w:sz w:val="17"/>
              </w:rPr>
              <w:t>Intermittent Mobile Connectivity (2G/3G in transit)</w:t>
            </w:r>
          </w:p>
        </w:tc>
        <w:tc>
          <w:tcPr>
            <w:tcW w:type="dxa" w:w="2329"/>
            <w:shd w:val="clear" w:color="auto" w:fill="F9F5FF"/>
          </w:tcPr>
          <w:p>
            <w:pPr>
              <w:spacing w:before="25" w:after="25" w:line="276" w:lineRule="auto"/>
            </w:pPr>
            <w:r>
              <w:rPr>
                <w:rFonts w:ascii="Calibri" w:hAnsi="Calibri"/>
                <w:color w:val="1E162B"/>
                <w:sz w:val="17"/>
              </w:rPr>
              <w:t>High</w:t>
            </w:r>
          </w:p>
        </w:tc>
        <w:tc>
          <w:tcPr>
            <w:tcW w:type="dxa" w:w="2329"/>
            <w:shd w:val="clear" w:color="auto" w:fill="F9F5FF"/>
          </w:tcPr>
          <w:p>
            <w:pPr>
              <w:spacing w:before="25" w:after="25" w:line="276" w:lineRule="auto"/>
            </w:pPr>
            <w:r>
              <w:rPr>
                <w:rFonts w:ascii="Calibri" w:hAnsi="Calibri"/>
                <w:color w:val="1E162B"/>
                <w:sz w:val="17"/>
              </w:rPr>
              <w:t>High</w:t>
            </w:r>
          </w:p>
        </w:tc>
        <w:tc>
          <w:tcPr>
            <w:tcW w:type="dxa" w:w="2329"/>
            <w:shd w:val="clear" w:color="auto" w:fill="F9F5FF"/>
          </w:tcPr>
          <w:p>
            <w:pPr>
              <w:spacing w:before="25" w:after="25" w:line="276" w:lineRule="auto"/>
            </w:pPr>
            <w:r>
              <w:rPr>
                <w:rFonts w:ascii="Calibri" w:hAnsi="Calibri"/>
                <w:color w:val="1E162B"/>
                <w:sz w:val="17"/>
              </w:rPr>
              <w:t>Zone 1 Offline Buffer: GPS pings are cached in local SQLite and bulk-transmitted upon reconnection. Native SMS telephony triggers SOS directly if data connection drops.</w:t>
            </w:r>
          </w:p>
        </w:tc>
      </w:tr>
      <w:tr>
        <w:tc>
          <w:tcPr>
            <w:tcW w:type="dxa" w:w="2329"/>
            <w:shd w:val="clear" w:color="auto" w:fill="FFFFFF"/>
          </w:tcPr>
          <w:p>
            <w:pPr>
              <w:spacing w:before="25" w:after="25" w:line="276" w:lineRule="auto"/>
            </w:pPr>
            <w:r>
              <w:rPr>
                <w:rFonts w:ascii="Calibri" w:hAnsi="Calibri"/>
                <w:color w:val="1E162B"/>
                <w:sz w:val="17"/>
              </w:rPr>
              <w:t>GPS Multipath &amp; Jitter in High-Density Urban Corridors</w:t>
            </w:r>
          </w:p>
        </w:tc>
        <w:tc>
          <w:tcPr>
            <w:tcW w:type="dxa" w:w="2329"/>
            <w:shd w:val="clear" w:color="auto" w:fill="FFFFFF"/>
          </w:tcPr>
          <w:p>
            <w:pPr>
              <w:spacing w:before="25" w:after="25" w:line="276" w:lineRule="auto"/>
            </w:pPr>
            <w:r>
              <w:rPr>
                <w:rFonts w:ascii="Calibri" w:hAnsi="Calibri"/>
                <w:color w:val="1E162B"/>
                <w:sz w:val="17"/>
              </w:rPr>
              <w:t>Medium</w:t>
            </w:r>
          </w:p>
        </w:tc>
        <w:tc>
          <w:tcPr>
            <w:tcW w:type="dxa" w:w="2329"/>
            <w:shd w:val="clear" w:color="auto" w:fill="FFFFFF"/>
          </w:tcPr>
          <w:p>
            <w:pPr>
              <w:spacing w:before="25" w:after="25" w:line="276" w:lineRule="auto"/>
            </w:pPr>
            <w:r>
              <w:rPr>
                <w:rFonts w:ascii="Calibri" w:hAnsi="Calibri"/>
                <w:color w:val="1E162B"/>
                <w:sz w:val="17"/>
              </w:rPr>
              <w:t>Medium</w:t>
            </w:r>
          </w:p>
        </w:tc>
        <w:tc>
          <w:tcPr>
            <w:tcW w:type="dxa" w:w="2329"/>
            <w:shd w:val="clear" w:color="auto" w:fill="FFFFFF"/>
          </w:tcPr>
          <w:p>
            <w:pPr>
              <w:spacing w:before="25" w:after="25" w:line="276" w:lineRule="auto"/>
            </w:pPr>
            <w:r>
              <w:rPr>
                <w:rFonts w:ascii="Calibri" w:hAnsi="Calibri"/>
                <w:color w:val="1E162B"/>
                <w:sz w:val="17"/>
              </w:rPr>
              <w:t>50-meter lateral confidence buffer around planned polyline; DTW evaluates 30-point moving window (90s) to prevent single-point GPS jitter from triggering false alarms.</w:t>
            </w:r>
          </w:p>
        </w:tc>
      </w:tr>
      <w:tr>
        <w:tc>
          <w:tcPr>
            <w:tcW w:type="dxa" w:w="2329"/>
            <w:shd w:val="clear" w:color="auto" w:fill="F9F5FF"/>
          </w:tcPr>
          <w:p>
            <w:pPr>
              <w:spacing w:before="25" w:after="25" w:line="276" w:lineRule="auto"/>
            </w:pPr>
            <w:r>
              <w:rPr>
                <w:rFonts w:ascii="Calibri" w:hAnsi="Calibri"/>
                <w:color w:val="1E162B"/>
                <w:sz w:val="17"/>
              </w:rPr>
              <w:t>Gemini API Rate Limiting or Outage during Emergency</w:t>
            </w:r>
          </w:p>
        </w:tc>
        <w:tc>
          <w:tcPr>
            <w:tcW w:type="dxa" w:w="2329"/>
            <w:shd w:val="clear" w:color="auto" w:fill="F9F5FF"/>
          </w:tcPr>
          <w:p>
            <w:pPr>
              <w:spacing w:before="25" w:after="25" w:line="276" w:lineRule="auto"/>
            </w:pPr>
            <w:r>
              <w:rPr>
                <w:rFonts w:ascii="Calibri" w:hAnsi="Calibri"/>
                <w:color w:val="1E162B"/>
                <w:sz w:val="17"/>
              </w:rPr>
              <w:t>Medium</w:t>
            </w:r>
          </w:p>
        </w:tc>
        <w:tc>
          <w:tcPr>
            <w:tcW w:type="dxa" w:w="2329"/>
            <w:shd w:val="clear" w:color="auto" w:fill="F9F5FF"/>
          </w:tcPr>
          <w:p>
            <w:pPr>
              <w:spacing w:before="25" w:after="25" w:line="276" w:lineRule="auto"/>
            </w:pPr>
            <w:r>
              <w:rPr>
                <w:rFonts w:ascii="Calibri" w:hAnsi="Calibri"/>
                <w:color w:val="1E162B"/>
                <w:sz w:val="17"/>
              </w:rPr>
              <w:t>Low</w:t>
            </w:r>
          </w:p>
        </w:tc>
        <w:tc>
          <w:tcPr>
            <w:tcW w:type="dxa" w:w="2329"/>
            <w:shd w:val="clear" w:color="auto" w:fill="F9F5FF"/>
          </w:tcPr>
          <w:p>
            <w:pPr>
              <w:spacing w:before="25" w:after="25" w:line="276" w:lineRule="auto"/>
            </w:pPr>
            <w:r>
              <w:rPr>
                <w:rFonts w:ascii="Calibri" w:hAnsi="Calibri"/>
                <w:color w:val="1E162B"/>
                <w:sz w:val="17"/>
              </w:rPr>
              <w:t>Asynchronous Redis request queuing; Companion gracefully degrades to pre-compiled offline safety protocols; Core escalation router operates independently of LLM.</w:t>
            </w:r>
          </w:p>
        </w:tc>
      </w:tr>
      <w:tr>
        <w:tc>
          <w:tcPr>
            <w:tcW w:type="dxa" w:w="2329"/>
            <w:shd w:val="clear" w:color="auto" w:fill="FFFFFF"/>
          </w:tcPr>
          <w:p>
            <w:pPr>
              <w:spacing w:before="25" w:after="25" w:line="276" w:lineRule="auto"/>
            </w:pPr>
            <w:r>
              <w:rPr>
                <w:rFonts w:ascii="Calibri" w:hAnsi="Calibri"/>
                <w:color w:val="1E162B"/>
                <w:sz w:val="17"/>
              </w:rPr>
              <w:t>Coarse Granularity of Official NCRB Crime Data</w:t>
            </w:r>
          </w:p>
        </w:tc>
        <w:tc>
          <w:tcPr>
            <w:tcW w:type="dxa" w:w="2329"/>
            <w:shd w:val="clear" w:color="auto" w:fill="FFFFFF"/>
          </w:tcPr>
          <w:p>
            <w:pPr>
              <w:spacing w:before="25" w:after="25" w:line="276" w:lineRule="auto"/>
            </w:pPr>
            <w:r>
              <w:rPr>
                <w:rFonts w:ascii="Calibri" w:hAnsi="Calibri"/>
                <w:color w:val="1E162B"/>
                <w:sz w:val="17"/>
              </w:rPr>
              <w:t>Medium</w:t>
            </w:r>
          </w:p>
        </w:tc>
        <w:tc>
          <w:tcPr>
            <w:tcW w:type="dxa" w:w="2329"/>
            <w:shd w:val="clear" w:color="auto" w:fill="FFFFFF"/>
          </w:tcPr>
          <w:p>
            <w:pPr>
              <w:spacing w:before="25" w:after="25" w:line="276" w:lineRule="auto"/>
            </w:pPr>
            <w:r>
              <w:rPr>
                <w:rFonts w:ascii="Calibri" w:hAnsi="Calibri"/>
                <w:color w:val="1E162B"/>
                <w:sz w:val="17"/>
              </w:rPr>
              <w:t>Medium</w:t>
            </w:r>
          </w:p>
        </w:tc>
        <w:tc>
          <w:tcPr>
            <w:tcW w:type="dxa" w:w="2329"/>
            <w:shd w:val="clear" w:color="auto" w:fill="FFFFFF"/>
          </w:tcPr>
          <w:p>
            <w:pPr>
              <w:spacing w:before="25" w:after="25" w:line="276" w:lineRule="auto"/>
            </w:pPr>
            <w:r>
              <w:rPr>
                <w:rFonts w:ascii="Calibri" w:hAnsi="Calibri"/>
                <w:color w:val="1E162B"/>
                <w:sz w:val="17"/>
              </w:rPr>
              <w:t>XGBoost combines NCRB with fine-grained OSM lighting nodes, CCTV camera locations, and dynamic Track 4 community incident clusters to achieve street-level resolution.</w:t>
            </w:r>
          </w:p>
        </w:tc>
      </w:tr>
      <w:tr>
        <w:tc>
          <w:tcPr>
            <w:tcW w:type="dxa" w:w="2329"/>
            <w:shd w:val="clear" w:color="auto" w:fill="F9F5FF"/>
          </w:tcPr>
          <w:p>
            <w:pPr>
              <w:spacing w:before="25" w:after="25" w:line="276" w:lineRule="auto"/>
            </w:pPr>
            <w:r>
              <w:rPr>
                <w:rFonts w:ascii="Calibri" w:hAnsi="Calibri"/>
                <w:color w:val="1E162B"/>
                <w:sz w:val="17"/>
              </w:rPr>
              <w:t>Legal Liability of AI-Drafted Police FIR Documents</w:t>
            </w:r>
          </w:p>
        </w:tc>
        <w:tc>
          <w:tcPr>
            <w:tcW w:type="dxa" w:w="2329"/>
            <w:shd w:val="clear" w:color="auto" w:fill="F9F5FF"/>
          </w:tcPr>
          <w:p>
            <w:pPr>
              <w:spacing w:before="25" w:after="25" w:line="276" w:lineRule="auto"/>
            </w:pPr>
            <w:r>
              <w:rPr>
                <w:rFonts w:ascii="Calibri" w:hAnsi="Calibri"/>
                <w:color w:val="1E162B"/>
                <w:sz w:val="17"/>
              </w:rPr>
              <w:t>Low</w:t>
            </w:r>
          </w:p>
        </w:tc>
        <w:tc>
          <w:tcPr>
            <w:tcW w:type="dxa" w:w="2329"/>
            <w:shd w:val="clear" w:color="auto" w:fill="F9F5FF"/>
          </w:tcPr>
          <w:p>
            <w:pPr>
              <w:spacing w:before="25" w:after="25" w:line="276" w:lineRule="auto"/>
            </w:pPr>
            <w:r>
              <w:rPr>
                <w:rFonts w:ascii="Calibri" w:hAnsi="Calibri"/>
                <w:color w:val="1E162B"/>
                <w:sz w:val="17"/>
              </w:rPr>
              <w:t>High</w:t>
            </w:r>
          </w:p>
        </w:tc>
        <w:tc>
          <w:tcPr>
            <w:tcW w:type="dxa" w:w="2329"/>
            <w:shd w:val="clear" w:color="auto" w:fill="F9F5FF"/>
          </w:tcPr>
          <w:p>
            <w:pPr>
              <w:spacing w:before="25" w:after="25" w:line="276" w:lineRule="auto"/>
            </w:pPr>
            <w:r>
              <w:rPr>
                <w:rFonts w:ascii="Calibri" w:hAnsi="Calibri"/>
                <w:color w:val="1E162B"/>
                <w:sz w:val="17"/>
              </w:rPr>
              <w:t>Clear statutory disclaimer on all outputs: *'AI-Assisted Draft for Human Legal Verification'*; strictly enforces human-in-the-loop review before submission to authorities.</w:t>
            </w:r>
          </w:p>
        </w:tc>
      </w:tr>
    </w:tbl>
    <w:p/>
    <w:p>
      <w:r>
        <w:br w:type="page"/>
      </w:r>
    </w:p>
    <w:p>
      <w:pPr>
        <w:spacing w:before="180" w:after="70" w:line="276" w:lineRule="auto"/>
        <w:pBdr>
          <w:left w:val="single" w:sz="24" w:space="4" w:color="E11D74"/>
        </w:pBdr>
      </w:pPr>
      <w:r>
        <w:rPr>
          <w:rFonts w:ascii="Calibri" w:hAnsi="Calibri"/>
          <w:b/>
          <w:color w:val="E11D74"/>
          <w:sz w:val="27"/>
        </w:rPr>
        <w:t>6.  Institutional Backing, Governance &amp; Appendices</w:t>
      </w:r>
    </w:p>
    <w:p>
      <w:pPr>
        <w:spacing w:before="110" w:after="40" w:line="276" w:lineRule="auto"/>
      </w:pPr>
      <w:r>
        <w:rPr>
          <w:rFonts w:ascii="Calibri" w:hAnsi="Calibri"/>
          <w:b/>
          <w:color w:val="7C3AED"/>
          <w:sz w:val="22"/>
        </w:rPr>
        <w:t>6.1  Innovator Credibility &amp; Institutional Ecosystem</w:t>
      </w:r>
    </w:p>
    <w:p>
      <w:pPr>
        <w:spacing w:before="0" w:after="45" w:line="276" w:lineRule="auto"/>
      </w:pPr>
      <w:r>
        <w:rPr>
          <w:rFonts w:ascii="Calibri" w:hAnsi="Calibri"/>
          <w:color w:val="1E162B"/>
          <w:sz w:val="19"/>
        </w:rPr>
        <w:t>SafeHerAI is developed by E Gaithika at VIT-AP University, supported by the university's vibrant innovation and entrepreneurship ecosystem. The existing functional codebase — spanning FastAPI backend services, live Gemini LLM integration, Flutter Android mobile client, and Streamlit command center — demonstrates substantial execution competence and technical maturity prior to formal grant application.</w:t>
      </w:r>
    </w:p>
    <w:p>
      <w:pPr>
        <w:spacing w:before="0" w:after="45" w:line="276" w:lineRule="auto"/>
      </w:pPr>
      <w:r>
        <w:rPr>
          <w:rFonts w:ascii="Calibri" w:hAnsi="Calibri"/>
          <w:color w:val="1E162B"/>
          <w:sz w:val="19"/>
        </w:rPr>
        <w:t>Institutional Resources Committed to the Project:</w:t>
      </w:r>
    </w:p>
    <w:p>
      <w:pPr>
        <w:pStyle w:val="ListBullet"/>
        <w:spacing w:before="0" w:after="25" w:line="276" w:lineRule="auto"/>
        <w:ind w:left="360"/>
      </w:pPr>
      <w:r>
        <w:rPr>
          <w:rFonts w:ascii="Calibri" w:hAnsi="Calibri"/>
          <w:color w:val="1E162B"/>
          <w:sz w:val="19"/>
        </w:rPr>
        <w:t>· Cloud &amp; Compute Access: Dedicated GPU workstations for XGBoost model training and evaluation.</w:t>
      </w:r>
    </w:p>
    <w:p>
      <w:pPr>
        <w:pStyle w:val="ListBullet"/>
        <w:spacing w:before="0" w:after="25" w:line="276" w:lineRule="auto"/>
        <w:ind w:left="360"/>
      </w:pPr>
      <w:r>
        <w:rPr>
          <w:rFonts w:ascii="Calibri" w:hAnsi="Calibri"/>
          <w:color w:val="1E162B"/>
          <w:sz w:val="19"/>
        </w:rPr>
        <w:t>· Pilot Deployment Ground: VIT-AP University's 200-acre residential campus comprising over 12,000 students and staff, offering an ideal controlled environment for Phase 1 campus safety pilot validation.</w:t>
      </w:r>
    </w:p>
    <w:p>
      <w:pPr>
        <w:pStyle w:val="ListBullet"/>
        <w:spacing w:before="0" w:after="25" w:line="276" w:lineRule="auto"/>
        <w:ind w:left="360"/>
      </w:pPr>
      <w:r>
        <w:rPr>
          <w:rFonts w:ascii="Calibri" w:hAnsi="Calibri"/>
          <w:color w:val="1E162B"/>
          <w:sz w:val="19"/>
        </w:rPr>
        <w:t>· Faculty Mentorship: Guidance from Department of Computer Science &amp; Engineering faculty specializing in Geospatial Computing, Distributed Systems, and AI Ethics.</w:t>
      </w:r>
    </w:p>
    <w:p>
      <w:pPr>
        <w:spacing w:before="110" w:after="40" w:line="276" w:lineRule="auto"/>
      </w:pPr>
      <w:r>
        <w:rPr>
          <w:rFonts w:ascii="Calibri" w:hAnsi="Calibri"/>
          <w:b/>
          <w:color w:val="7C3AED"/>
          <w:sz w:val="22"/>
        </w:rPr>
        <w:t>6.2  Ethical AI, Privacy &amp; DPDPA Compliance</w:t>
      </w:r>
    </w:p>
    <w:p>
      <w:pPr>
        <w:spacing w:before="0" w:after="45" w:line="276" w:lineRule="auto"/>
      </w:pPr>
      <w:r>
        <w:rPr>
          <w:rFonts w:ascii="Calibri" w:hAnsi="Calibri"/>
          <w:color w:val="1E162B"/>
          <w:sz w:val="19"/>
        </w:rPr>
        <w:t>SafeHerAI is architected around strict privacy-by-design principles compliant with India's Digital Personal Data Protection Act (DPDPA) 2023:</w:t>
      </w:r>
    </w:p>
    <w:p>
      <w:pPr>
        <w:pStyle w:val="ListBullet"/>
        <w:spacing w:before="0" w:after="25" w:line="276" w:lineRule="auto"/>
        <w:ind w:left="360"/>
      </w:pPr>
      <w:r>
        <w:rPr>
          <w:rFonts w:ascii="Calibri" w:hAnsi="Calibri"/>
          <w:color w:val="1E162B"/>
          <w:sz w:val="19"/>
        </w:rPr>
        <w:t>1. Ephemeral GPS Storage: Real-time telemetry is retained in volatile Redis memory strictly for the active duration of the journey and is purged upon successful trip termination unless flagged in an emergency audit log.</w:t>
      </w:r>
    </w:p>
    <w:p>
      <w:pPr>
        <w:pStyle w:val="ListBullet"/>
        <w:spacing w:before="0" w:after="25" w:line="276" w:lineRule="auto"/>
        <w:ind w:left="360"/>
      </w:pPr>
      <w:r>
        <w:rPr>
          <w:rFonts w:ascii="Calibri" w:hAnsi="Calibri"/>
          <w:color w:val="1E162B"/>
          <w:sz w:val="19"/>
        </w:rPr>
        <w:t>2. Cryptographic Reporter Anonymity: Community hazard reports are anchored to a SHA-256 one-way cryptographic device hash, ensuring zero personally identifiable information (PII) is linked to crowdsourced submissions.</w:t>
      </w:r>
    </w:p>
    <w:p>
      <w:pPr>
        <w:pStyle w:val="ListBullet"/>
        <w:spacing w:before="0" w:after="25" w:line="276" w:lineRule="auto"/>
        <w:ind w:left="360"/>
      </w:pPr>
      <w:r>
        <w:rPr>
          <w:rFonts w:ascii="Calibri" w:hAnsi="Calibri"/>
          <w:color w:val="1E162B"/>
          <w:sz w:val="19"/>
        </w:rPr>
        <w:t>3. Deterministic Safety Boundaries: The AI Safety Companion is hard-coded with inviolable safety guardrails — it will immediately prioritize dialing 112 / 1091 over conversational dialogue during active distress.</w:t>
      </w:r>
    </w:p>
    <w:p>
      <w:pPr>
        <w:spacing w:before="25" w:after="25" w:line="276" w:lineRule="auto"/>
      </w:pPr>
      <w:r>
        <w:rPr>
          <w:rFonts w:ascii="Calibri" w:hAnsi="Calibri"/>
          <w:color w:val="E11D74"/>
          <w:sz w:val="16"/>
        </w:rPr>
        <w:t>──────────────────────────────────────────────────────────────────────────────────────────</w:t>
      </w:r>
    </w:p>
    <w:p>
      <w:pPr>
        <w:spacing w:before="110" w:after="40" w:line="276" w:lineRule="auto"/>
      </w:pPr>
      <w:r>
        <w:rPr>
          <w:rFonts w:ascii="Calibri" w:hAnsi="Calibri"/>
          <w:b/>
          <w:color w:val="7C3AED"/>
          <w:sz w:val="22"/>
        </w:rPr>
        <w:t>Appendix A — Technical Glossary &amp; Model Specifications</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color="auto" w:fill="1E162B"/>
          </w:tcPr>
          <w:p>
            <w:pPr>
              <w:spacing w:before="30" w:after="30" w:line="276" w:lineRule="auto"/>
            </w:pPr>
            <w:r>
              <w:rPr>
                <w:rFonts w:ascii="Calibri" w:hAnsi="Calibri"/>
                <w:b/>
                <w:color w:val="FFFFFF"/>
                <w:sz w:val="17"/>
              </w:rPr>
              <w:t>Module / Term</w:t>
            </w:r>
          </w:p>
        </w:tc>
        <w:tc>
          <w:tcPr>
            <w:tcW w:type="dxa" w:w="3106"/>
            <w:shd w:val="clear" w:color="auto" w:fill="1E162B"/>
          </w:tcPr>
          <w:p>
            <w:pPr>
              <w:spacing w:before="30" w:after="30" w:line="276" w:lineRule="auto"/>
            </w:pPr>
            <w:r>
              <w:rPr>
                <w:rFonts w:ascii="Calibri" w:hAnsi="Calibri"/>
                <w:b/>
                <w:color w:val="FFFFFF"/>
                <w:sz w:val="17"/>
              </w:rPr>
              <w:t>Underlying Technology / Framework</w:t>
            </w:r>
          </w:p>
        </w:tc>
        <w:tc>
          <w:tcPr>
            <w:tcW w:type="dxa" w:w="3106"/>
            <w:shd w:val="clear" w:color="auto" w:fill="1E162B"/>
          </w:tcPr>
          <w:p>
            <w:pPr>
              <w:spacing w:before="30" w:after="30" w:line="276" w:lineRule="auto"/>
            </w:pPr>
            <w:r>
              <w:rPr>
                <w:rFonts w:ascii="Calibri" w:hAnsi="Calibri"/>
                <w:b/>
                <w:color w:val="FFFFFF"/>
                <w:sz w:val="17"/>
              </w:rPr>
              <w:t>Specification / Parameter Configuration</w:t>
            </w:r>
          </w:p>
        </w:tc>
      </w:tr>
      <w:tr>
        <w:tc>
          <w:tcPr>
            <w:tcW w:type="dxa" w:w="3106"/>
            <w:shd w:val="clear" w:color="auto" w:fill="F9F5FF"/>
          </w:tcPr>
          <w:p>
            <w:pPr>
              <w:spacing w:before="25" w:after="25" w:line="276" w:lineRule="auto"/>
            </w:pPr>
            <w:r>
              <w:rPr>
                <w:rFonts w:ascii="Calibri" w:hAnsi="Calibri"/>
                <w:color w:val="1E162B"/>
                <w:sz w:val="17"/>
              </w:rPr>
              <w:t>Spatial H3 Indexing</w:t>
            </w:r>
          </w:p>
        </w:tc>
        <w:tc>
          <w:tcPr>
            <w:tcW w:type="dxa" w:w="3106"/>
            <w:shd w:val="clear" w:color="auto" w:fill="F9F5FF"/>
          </w:tcPr>
          <w:p>
            <w:pPr>
              <w:spacing w:before="25" w:after="25" w:line="276" w:lineRule="auto"/>
            </w:pPr>
            <w:r>
              <w:rPr>
                <w:rFonts w:ascii="Calibri" w:hAnsi="Calibri"/>
                <w:color w:val="1E162B"/>
                <w:sz w:val="17"/>
              </w:rPr>
              <w:t>Uber H3 Spatial Indexing (Rust `h3o` + PostGIS)</w:t>
            </w:r>
          </w:p>
        </w:tc>
        <w:tc>
          <w:tcPr>
            <w:tcW w:type="dxa" w:w="3106"/>
            <w:shd w:val="clear" w:color="auto" w:fill="F9F5FF"/>
          </w:tcPr>
          <w:p>
            <w:pPr>
              <w:spacing w:before="25" w:after="25" w:line="276" w:lineRule="auto"/>
            </w:pPr>
            <w:r>
              <w:rPr>
                <w:rFonts w:ascii="Calibri" w:hAnsi="Calibri"/>
                <w:color w:val="1E162B"/>
                <w:sz w:val="17"/>
              </w:rPr>
              <w:t>Resolution 9 (Average hexagon edge length = 174.4 meters, Area = 0.105 km²).</w:t>
            </w:r>
          </w:p>
        </w:tc>
      </w:tr>
      <w:tr>
        <w:tc>
          <w:tcPr>
            <w:tcW w:type="dxa" w:w="3106"/>
            <w:shd w:val="clear" w:color="auto" w:fill="FFFFFF"/>
          </w:tcPr>
          <w:p>
            <w:pPr>
              <w:spacing w:before="25" w:after="25" w:line="276" w:lineRule="auto"/>
            </w:pPr>
            <w:r>
              <w:rPr>
                <w:rFonts w:ascii="Calibri" w:hAnsi="Calibri"/>
                <w:color w:val="1E162B"/>
                <w:sz w:val="17"/>
              </w:rPr>
              <w:t>Anomaly Detection</w:t>
            </w:r>
          </w:p>
        </w:tc>
        <w:tc>
          <w:tcPr>
            <w:tcW w:type="dxa" w:w="3106"/>
            <w:shd w:val="clear" w:color="auto" w:fill="FFFFFF"/>
          </w:tcPr>
          <w:p>
            <w:pPr>
              <w:spacing w:before="25" w:after="25" w:line="276" w:lineRule="auto"/>
            </w:pPr>
            <w:r>
              <w:rPr>
                <w:rFonts w:ascii="Calibri" w:hAnsi="Calibri"/>
                <w:color w:val="1E162B"/>
                <w:sz w:val="17"/>
              </w:rPr>
              <w:t>Isolation Forest + Dynamic Time Warping (DTW)</w:t>
            </w:r>
          </w:p>
        </w:tc>
        <w:tc>
          <w:tcPr>
            <w:tcW w:type="dxa" w:w="3106"/>
            <w:shd w:val="clear" w:color="auto" w:fill="FFFFFF"/>
          </w:tcPr>
          <w:p>
            <w:pPr>
              <w:spacing w:before="25" w:after="25" w:line="276" w:lineRule="auto"/>
            </w:pPr>
            <w:r>
              <w:rPr>
                <w:rFonts w:ascii="Calibri" w:hAnsi="Calibri"/>
                <w:color w:val="1E162B"/>
                <w:sz w:val="17"/>
              </w:rPr>
              <w:t>50 isolation trees, 5 input trajectory features, 30-point rolling DTW warp window.</w:t>
            </w:r>
          </w:p>
        </w:tc>
      </w:tr>
      <w:tr>
        <w:tc>
          <w:tcPr>
            <w:tcW w:type="dxa" w:w="3106"/>
            <w:shd w:val="clear" w:color="auto" w:fill="F9F5FF"/>
          </w:tcPr>
          <w:p>
            <w:pPr>
              <w:spacing w:before="25" w:after="25" w:line="276" w:lineRule="auto"/>
            </w:pPr>
            <w:r>
              <w:rPr>
                <w:rFonts w:ascii="Calibri" w:hAnsi="Calibri"/>
                <w:color w:val="1E162B"/>
                <w:sz w:val="17"/>
              </w:rPr>
              <w:t>Risk Regression</w:t>
            </w:r>
          </w:p>
        </w:tc>
        <w:tc>
          <w:tcPr>
            <w:tcW w:type="dxa" w:w="3106"/>
            <w:shd w:val="clear" w:color="auto" w:fill="F9F5FF"/>
          </w:tcPr>
          <w:p>
            <w:pPr>
              <w:spacing w:before="25" w:after="25" w:line="276" w:lineRule="auto"/>
            </w:pPr>
            <w:r>
              <w:rPr>
                <w:rFonts w:ascii="Calibri" w:hAnsi="Calibri"/>
                <w:color w:val="1E162B"/>
                <w:sz w:val="17"/>
              </w:rPr>
              <w:t>XGBoost 2.0.3 with SHAP 0.46 TreeExplainer</w:t>
            </w:r>
          </w:p>
        </w:tc>
        <w:tc>
          <w:tcPr>
            <w:tcW w:type="dxa" w:w="3106"/>
            <w:shd w:val="clear" w:color="auto" w:fill="F9F5FF"/>
          </w:tcPr>
          <w:p>
            <w:pPr>
              <w:spacing w:before="25" w:after="25" w:line="276" w:lineRule="auto"/>
            </w:pPr>
            <w:r>
              <w:rPr>
                <w:rFonts w:ascii="Calibri" w:hAnsi="Calibri"/>
                <w:color w:val="1E162B"/>
                <w:sz w:val="17"/>
              </w:rPr>
              <w:t>Max depth = 6, learning rate = 0.05, 300 estimators, exact greedy tree algorithm.</w:t>
            </w:r>
          </w:p>
        </w:tc>
      </w:tr>
      <w:tr>
        <w:tc>
          <w:tcPr>
            <w:tcW w:type="dxa" w:w="3106"/>
            <w:shd w:val="clear" w:color="auto" w:fill="FFFFFF"/>
          </w:tcPr>
          <w:p>
            <w:pPr>
              <w:spacing w:before="25" w:after="25" w:line="276" w:lineRule="auto"/>
            </w:pPr>
            <w:r>
              <w:rPr>
                <w:rFonts w:ascii="Calibri" w:hAnsi="Calibri"/>
                <w:color w:val="1E162B"/>
                <w:sz w:val="17"/>
              </w:rPr>
              <w:t>Trust Scoring</w:t>
            </w:r>
          </w:p>
        </w:tc>
        <w:tc>
          <w:tcPr>
            <w:tcW w:type="dxa" w:w="3106"/>
            <w:shd w:val="clear" w:color="auto" w:fill="FFFFFF"/>
          </w:tcPr>
          <w:p>
            <w:pPr>
              <w:spacing w:before="25" w:after="25" w:line="276" w:lineRule="auto"/>
            </w:pPr>
            <w:r>
              <w:rPr>
                <w:rFonts w:ascii="Calibri" w:hAnsi="Calibri"/>
                <w:color w:val="1E162B"/>
                <w:sz w:val="17"/>
              </w:rPr>
              <w:t>Random Forest Classifier (Scikit-Learn 1.5)</w:t>
            </w:r>
          </w:p>
        </w:tc>
        <w:tc>
          <w:tcPr>
            <w:tcW w:type="dxa" w:w="3106"/>
            <w:shd w:val="clear" w:color="auto" w:fill="FFFFFF"/>
          </w:tcPr>
          <w:p>
            <w:pPr>
              <w:spacing w:before="25" w:after="25" w:line="276" w:lineRule="auto"/>
            </w:pPr>
            <w:r>
              <w:rPr>
                <w:rFonts w:ascii="Calibri" w:hAnsi="Calibri"/>
                <w:color w:val="1E162B"/>
                <w:sz w:val="17"/>
              </w:rPr>
              <w:t>100 estimators, Gini impurity criterion, balanced class weighting on credibility features.</w:t>
            </w:r>
          </w:p>
        </w:tc>
      </w:tr>
      <w:tr>
        <w:tc>
          <w:tcPr>
            <w:tcW w:type="dxa" w:w="3106"/>
            <w:shd w:val="clear" w:color="auto" w:fill="F9F5FF"/>
          </w:tcPr>
          <w:p>
            <w:pPr>
              <w:spacing w:before="25" w:after="25" w:line="276" w:lineRule="auto"/>
            </w:pPr>
            <w:r>
              <w:rPr>
                <w:rFonts w:ascii="Calibri" w:hAnsi="Calibri"/>
                <w:color w:val="1E162B"/>
                <w:sz w:val="17"/>
              </w:rPr>
              <w:t>Conversational AI</w:t>
            </w:r>
          </w:p>
        </w:tc>
        <w:tc>
          <w:tcPr>
            <w:tcW w:type="dxa" w:w="3106"/>
            <w:shd w:val="clear" w:color="auto" w:fill="F9F5FF"/>
          </w:tcPr>
          <w:p>
            <w:pPr>
              <w:spacing w:before="25" w:after="25" w:line="276" w:lineRule="auto"/>
            </w:pPr>
            <w:r>
              <w:rPr>
                <w:rFonts w:ascii="Calibri" w:hAnsi="Calibri"/>
                <w:color w:val="1E162B"/>
                <w:sz w:val="17"/>
              </w:rPr>
              <w:t>Google Gemini 2.5 Flash via Google GenAI SDK</w:t>
            </w:r>
          </w:p>
        </w:tc>
        <w:tc>
          <w:tcPr>
            <w:tcW w:type="dxa" w:w="3106"/>
            <w:shd w:val="clear" w:color="auto" w:fill="F9F5FF"/>
          </w:tcPr>
          <w:p>
            <w:pPr>
              <w:spacing w:before="25" w:after="25" w:line="276" w:lineRule="auto"/>
            </w:pPr>
            <w:r>
              <w:rPr>
                <w:rFonts w:ascii="Calibri" w:hAnsi="Calibri"/>
                <w:color w:val="1E162B"/>
                <w:sz w:val="17"/>
              </w:rPr>
              <w:t>Temperature = 0.3, top_p = 0.85, system context injection with live UJRS state.</w:t>
            </w:r>
          </w:p>
        </w:tc>
      </w:tr>
      <w:tr>
        <w:tc>
          <w:tcPr>
            <w:tcW w:type="dxa" w:w="3106"/>
            <w:shd w:val="clear" w:color="auto" w:fill="FFFFFF"/>
          </w:tcPr>
          <w:p>
            <w:pPr>
              <w:spacing w:before="25" w:after="25" w:line="276" w:lineRule="auto"/>
            </w:pPr>
            <w:r>
              <w:rPr>
                <w:rFonts w:ascii="Calibri" w:hAnsi="Calibri"/>
                <w:color w:val="1E162B"/>
                <w:sz w:val="17"/>
              </w:rPr>
              <w:t>Legal Grievance AI</w:t>
            </w:r>
          </w:p>
        </w:tc>
        <w:tc>
          <w:tcPr>
            <w:tcW w:type="dxa" w:w="3106"/>
            <w:shd w:val="clear" w:color="auto" w:fill="FFFFFF"/>
          </w:tcPr>
          <w:p>
            <w:pPr>
              <w:spacing w:before="25" w:after="25" w:line="276" w:lineRule="auto"/>
            </w:pPr>
            <w:r>
              <w:rPr>
                <w:rFonts w:ascii="Calibri" w:hAnsi="Calibri"/>
                <w:color w:val="1E162B"/>
                <w:sz w:val="17"/>
              </w:rPr>
              <w:t>Google Gemini 2.5 Pro (Structured JSON Mode)</w:t>
            </w:r>
          </w:p>
        </w:tc>
        <w:tc>
          <w:tcPr>
            <w:tcW w:type="dxa" w:w="3106"/>
            <w:shd w:val="clear" w:color="auto" w:fill="FFFFFF"/>
          </w:tcPr>
          <w:p>
            <w:pPr>
              <w:spacing w:before="25" w:after="25" w:line="276" w:lineRule="auto"/>
            </w:pPr>
            <w:r>
              <w:rPr>
                <w:rFonts w:ascii="Calibri" w:hAnsi="Calibri"/>
                <w:color w:val="1E162B"/>
                <w:sz w:val="17"/>
              </w:rPr>
              <w:t>Strict Pydantic JSON schema output mapping facts to Bharatiya Nyaya Sanhita (BNS) 2024.</w:t>
            </w:r>
          </w:p>
        </w:tc>
      </w:tr>
    </w:tbl>
    <w:p/>
    <w:p>
      <w:pPr>
        <w:spacing w:before="110" w:after="40" w:line="276" w:lineRule="auto"/>
      </w:pPr>
      <w:r>
        <w:rPr>
          <w:rFonts w:ascii="Calibri" w:hAnsi="Calibri"/>
          <w:b/>
          <w:color w:val="7C3AED"/>
          <w:sz w:val="22"/>
        </w:rPr>
        <w:t>Appendix B — Pre-Existing Proof-of-Concept Codebase Structure</w:t>
      </w:r>
    </w:p>
    <w:p>
      <w:pPr>
        <w:spacing w:before="0" w:after="45" w:line="276" w:lineRule="auto"/>
      </w:pPr>
      <w:r>
        <w:rPr>
          <w:rFonts w:ascii="Calibri" w:hAnsi="Calibri"/>
          <w:color w:val="1E162B"/>
          <w:sz w:val="19"/>
        </w:rPr>
        <w:t>The working prototype repository is structured as follows:</w:t>
      </w:r>
    </w:p>
    <w:p>
      <w:pPr>
        <w:pStyle w:val="ListBullet"/>
        <w:spacing w:before="0" w:after="25" w:line="276" w:lineRule="auto"/>
        <w:ind w:left="360"/>
      </w:pPr>
      <w:r>
        <w:rPr>
          <w:rFonts w:ascii="Calibri" w:hAnsi="Calibri"/>
          <w:color w:val="1E162B"/>
          <w:sz w:val="19"/>
        </w:rPr>
        <w:t>· `backend/` — FastAPI core application (`main.py`), 6 modular route controllers (`brain.py`, `safety_map.py`, `ride_intel.py`, `wearable.py`, `community.py`, `companion.py`), and simulation modules.</w:t>
      </w:r>
    </w:p>
    <w:p>
      <w:pPr>
        <w:pStyle w:val="ListBullet"/>
        <w:spacing w:before="0" w:after="25" w:line="276" w:lineRule="auto"/>
        <w:ind w:left="360"/>
      </w:pPr>
      <w:r>
        <w:rPr>
          <w:rFonts w:ascii="Calibri" w:hAnsi="Calibri"/>
          <w:color w:val="1E162B"/>
          <w:sz w:val="19"/>
        </w:rPr>
        <w:t>· `streamlit_app/` — Multi-track administrative demonstration dashboard (`app.py`, 5 dedicated sub-pages, custom CSS styling, and real-time scenario simulation controller).</w:t>
      </w:r>
    </w:p>
    <w:p>
      <w:pPr>
        <w:pStyle w:val="ListBullet"/>
        <w:spacing w:before="0" w:after="25" w:line="276" w:lineRule="auto"/>
        <w:ind w:left="360"/>
      </w:pPr>
      <w:r>
        <w:rPr>
          <w:rFonts w:ascii="Calibri" w:hAnsi="Calibri"/>
          <w:color w:val="1E162B"/>
          <w:sz w:val="19"/>
        </w:rPr>
        <w:t>· `flutter_app/` — Cross-platform mobile client application (state management with Provider, GPS integration, live telemetry rendering, and streaming chat interface).</w:t>
      </w:r>
    </w:p>
    <w:p>
      <w:pPr>
        <w:pStyle w:val="ListBullet"/>
        <w:spacing w:before="0" w:after="25" w:line="276" w:lineRule="auto"/>
        <w:ind w:left="360"/>
      </w:pPr>
      <w:r>
        <w:rPr>
          <w:rFonts w:ascii="Calibri" w:hAnsi="Calibri"/>
          <w:color w:val="1E162B"/>
          <w:sz w:val="19"/>
        </w:rPr>
        <w:t>· `docker-compose.yml` — Multi-container containerized local deployment orchestrating backend and dashboard services.</w:t>
      </w:r>
    </w:p>
    <w:p>
      <w:pPr>
        <w:spacing w:before="25" w:after="25" w:line="276" w:lineRule="auto"/>
      </w:pPr>
      <w:r>
        <w:rPr>
          <w:rFonts w:ascii="Calibri" w:hAnsi="Calibri"/>
          <w:color w:val="E11D74"/>
          <w:sz w:val="16"/>
        </w:rPr>
        <w:t>──────────────────────────────────────────────────────────────────────────────────────────</w:t>
      </w:r>
    </w:p>
    <w:p>
      <w:pPr>
        <w:jc w:val="center"/>
        <w:spacing w:before="25" w:after="0" w:line="276" w:lineRule="auto"/>
      </w:pPr>
      <w:r>
        <w:rPr>
          <w:rFonts w:ascii="Calibri" w:hAnsi="Calibri"/>
          <w:color w:val="635875"/>
          <w:sz w:val="16"/>
        </w:rPr>
        <w:t>SafeHerAI · E Gaithika · VIT-AP University · MSME Idea Hackathon 6.0 · 28 August 2026 · Ref: 26INC06AP044404</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