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029"/>
      </w:tblGrid>
      <w:tr>
        <w:tc>
          <w:tcPr>
            <w:tcW w:type="dxa" w:w="9029"/>
            <w:shd w:val="clear" w:color="auto" w:fill="1E162B"/>
          </w:tcPr>
          <w:p>
            <w:pPr>
              <w:jc w:val="center"/>
              <w:spacing w:before="100" w:after="10" w:line="276" w:lineRule="auto"/>
            </w:pPr>
            <w:r>
              <w:rPr>
                <w:rFonts w:ascii="Calibri" w:hAnsi="Calibri"/>
                <w:b/>
                <w:color w:val="E11D74"/>
                <w:sz w:val="68"/>
              </w:rPr>
              <w:t>SafeHerAI</w:t>
            </w:r>
          </w:p>
          <w:p>
            <w:pPr>
              <w:jc w:val="center"/>
              <w:spacing w:before="0" w:after="10" w:line="276" w:lineRule="auto"/>
            </w:pPr>
            <w:r>
              <w:rPr>
                <w:rFonts w:ascii="Calibri" w:hAnsi="Calibri"/>
                <w:b/>
                <w:color w:val="FFFFFF"/>
                <w:sz w:val="30"/>
              </w:rPr>
              <w:t>Unified AI Journey Risk Intelligence Platform</w:t>
            </w:r>
          </w:p>
          <w:p>
            <w:pPr>
              <w:jc w:val="center"/>
              <w:spacing w:before="0" w:after="10" w:line="276" w:lineRule="auto"/>
            </w:pPr>
            <w:r>
              <w:rPr>
                <w:rFonts w:ascii="Calibri" w:hAnsi="Calibri"/>
                <w:color w:val="D5BEFF"/>
                <w:sz w:val="20"/>
              </w:rPr>
              <w:t>AI Safety Map  ·  Journey Digital Twin  ·  Community Sentinel  ·  AI Companion</w:t>
            </w:r>
          </w:p>
          <w:p>
            <w:pPr>
              <w:jc w:val="center"/>
              <w:spacing w:before="20" w:after="80" w:line="276" w:lineRule="auto"/>
            </w:pPr>
            <w:r>
              <w:rPr>
                <w:rFonts w:ascii="Calibri" w:hAnsi="Calibri"/>
                <w:color w:val="A08EC0"/>
                <w:sz w:val="18"/>
              </w:rPr>
              <w:t>Project Design Document  ·  MSME Idea Hackathon 6.0</w:t>
            </w:r>
          </w:p>
        </w:tc>
      </w:tr>
    </w:tbl>
    <w:p/>
    <w:tbl>
      <w:tblPr>
        <w:tblStyle w:val="TableGrid"/>
        <w:tblW w:type="auto" w:w="0"/>
        <w:jc w:val="left"/>
        <w:tblLook w:firstColumn="1" w:firstRow="1" w:lastColumn="0" w:lastRow="0" w:noHBand="0" w:noVBand="1" w:val="04A0"/>
      </w:tblPr>
      <w:tblGrid>
        <w:gridCol w:w="4514"/>
        <w:gridCol w:w="4514"/>
      </w:tblGrid>
      <w:tr>
        <w:tc>
          <w:tcPr>
            <w:tcW w:type="dxa" w:w="4514"/>
            <w:shd w:val="clear" w:color="auto" w:fill="F3EEFF"/>
          </w:tcPr>
          <w:p>
            <w:pPr>
              <w:spacing w:before="28" w:after="28" w:line="276" w:lineRule="auto"/>
            </w:pPr>
            <w:r>
              <w:rPr>
                <w:rFonts w:ascii="Calibri" w:hAnsi="Calibri"/>
                <w:b/>
                <w:color w:val="7C3AED"/>
                <w:sz w:val="19"/>
              </w:rPr>
              <w:t>Innovator Name</w:t>
            </w:r>
          </w:p>
        </w:tc>
        <w:tc>
          <w:tcPr>
            <w:tcW w:type="dxa" w:w="4514"/>
            <w:shd w:val="clear" w:color="auto" w:fill="FFFFFF"/>
          </w:tcPr>
          <w:p>
            <w:pPr>
              <w:spacing w:before="28" w:after="28" w:line="276" w:lineRule="auto"/>
            </w:pPr>
            <w:r>
              <w:rPr>
                <w:rFonts w:ascii="Calibri" w:hAnsi="Calibri"/>
                <w:color w:val="1E162B"/>
                <w:sz w:val="19"/>
              </w:rPr>
              <w:t>E Gaithika</w:t>
            </w:r>
          </w:p>
        </w:tc>
      </w:tr>
      <w:tr>
        <w:tc>
          <w:tcPr>
            <w:tcW w:type="dxa" w:w="4514"/>
            <w:shd w:val="clear" w:color="auto" w:fill="FAF8FF"/>
          </w:tcPr>
          <w:p>
            <w:pPr>
              <w:spacing w:before="28" w:after="28" w:line="276" w:lineRule="auto"/>
            </w:pPr>
            <w:r>
              <w:rPr>
                <w:rFonts w:ascii="Calibri" w:hAnsi="Calibri"/>
                <w:b/>
                <w:color w:val="7C3AED"/>
                <w:sz w:val="19"/>
              </w:rPr>
              <w:t>Institution</w:t>
            </w:r>
          </w:p>
        </w:tc>
        <w:tc>
          <w:tcPr>
            <w:tcW w:type="dxa" w:w="4514"/>
            <w:shd w:val="clear" w:color="auto" w:fill="FAFAFA"/>
          </w:tcPr>
          <w:p>
            <w:pPr>
              <w:spacing w:before="28" w:after="28" w:line="276" w:lineRule="auto"/>
            </w:pPr>
            <w:r>
              <w:rPr>
                <w:rFonts w:ascii="Calibri" w:hAnsi="Calibri"/>
                <w:color w:val="1E162B"/>
                <w:sz w:val="19"/>
              </w:rPr>
              <w:t>VIT-AP University</w:t>
            </w:r>
          </w:p>
        </w:tc>
      </w:tr>
      <w:tr>
        <w:tc>
          <w:tcPr>
            <w:tcW w:type="dxa" w:w="4514"/>
            <w:shd w:val="clear" w:color="auto" w:fill="F3EEFF"/>
          </w:tcPr>
          <w:p>
            <w:pPr>
              <w:spacing w:before="28" w:after="28" w:line="276" w:lineRule="auto"/>
            </w:pPr>
            <w:r>
              <w:rPr>
                <w:rFonts w:ascii="Calibri" w:hAnsi="Calibri"/>
                <w:b/>
                <w:color w:val="7C3AED"/>
                <w:sz w:val="19"/>
              </w:rPr>
              <w:t>Date of Submission</w:t>
            </w:r>
          </w:p>
        </w:tc>
        <w:tc>
          <w:tcPr>
            <w:tcW w:type="dxa" w:w="4514"/>
            <w:shd w:val="clear" w:color="auto" w:fill="FFFFFF"/>
          </w:tcPr>
          <w:p>
            <w:pPr>
              <w:spacing w:before="28" w:after="28" w:line="276" w:lineRule="auto"/>
            </w:pPr>
            <w:r>
              <w:rPr>
                <w:rFonts w:ascii="Calibri" w:hAnsi="Calibri"/>
                <w:color w:val="1E162B"/>
                <w:sz w:val="19"/>
              </w:rPr>
              <w:t>28 August 2026</w:t>
            </w:r>
          </w:p>
        </w:tc>
      </w:tr>
      <w:tr>
        <w:tc>
          <w:tcPr>
            <w:tcW w:type="dxa" w:w="4514"/>
            <w:shd w:val="clear" w:color="auto" w:fill="FAF8FF"/>
          </w:tcPr>
          <w:p>
            <w:pPr>
              <w:spacing w:before="28" w:after="28" w:line="276" w:lineRule="auto"/>
            </w:pPr>
            <w:r>
              <w:rPr>
                <w:rFonts w:ascii="Calibri" w:hAnsi="Calibri"/>
                <w:b/>
                <w:color w:val="7C3AED"/>
                <w:sz w:val="19"/>
              </w:rPr>
              <w:t>Hackathon</w:t>
            </w:r>
          </w:p>
        </w:tc>
        <w:tc>
          <w:tcPr>
            <w:tcW w:type="dxa" w:w="4514"/>
            <w:shd w:val="clear" w:color="auto" w:fill="FAFAFA"/>
          </w:tcPr>
          <w:p>
            <w:pPr>
              <w:spacing w:before="28" w:after="28" w:line="276" w:lineRule="auto"/>
            </w:pPr>
            <w:r>
              <w:rPr>
                <w:rFonts w:ascii="Calibri" w:hAnsi="Calibri"/>
                <w:color w:val="1E162B"/>
                <w:sz w:val="19"/>
              </w:rPr>
              <w:t>MSME Idea Hackathon 6.0</w:t>
            </w:r>
          </w:p>
        </w:tc>
      </w:tr>
      <w:tr>
        <w:tc>
          <w:tcPr>
            <w:tcW w:type="dxa" w:w="4514"/>
            <w:shd w:val="clear" w:color="auto" w:fill="F3EEFF"/>
          </w:tcPr>
          <w:p>
            <w:pPr>
              <w:spacing w:before="28" w:after="28" w:line="276" w:lineRule="auto"/>
            </w:pPr>
            <w:r>
              <w:rPr>
                <w:rFonts w:ascii="Calibri" w:hAnsi="Calibri"/>
                <w:b/>
                <w:color w:val="7C3AED"/>
                <w:sz w:val="19"/>
              </w:rPr>
              <w:t>Thematic Area</w:t>
            </w:r>
          </w:p>
        </w:tc>
        <w:tc>
          <w:tcPr>
            <w:tcW w:type="dxa" w:w="4514"/>
            <w:shd w:val="clear" w:color="auto" w:fill="FFFFFF"/>
          </w:tcPr>
          <w:p>
            <w:pPr>
              <w:spacing w:before="28" w:after="28" w:line="276" w:lineRule="auto"/>
            </w:pPr>
            <w:r>
              <w:rPr>
                <w:rFonts w:ascii="Calibri" w:hAnsi="Calibri"/>
                <w:color w:val="1E162B"/>
                <w:sz w:val="19"/>
              </w:rPr>
              <w:t>Other Frontier Technologies</w:t>
            </w:r>
          </w:p>
        </w:tc>
      </w:tr>
      <w:tr>
        <w:tc>
          <w:tcPr>
            <w:tcW w:type="dxa" w:w="4514"/>
            <w:shd w:val="clear" w:color="auto" w:fill="FAF8FF"/>
          </w:tcPr>
          <w:p>
            <w:pPr>
              <w:spacing w:before="28" w:after="28" w:line="276" w:lineRule="auto"/>
            </w:pPr>
            <w:r>
              <w:rPr>
                <w:rFonts w:ascii="Calibri" w:hAnsi="Calibri"/>
                <w:b/>
                <w:color w:val="7C3AED"/>
                <w:sz w:val="19"/>
              </w:rPr>
              <w:t>Applicant Category</w:t>
            </w:r>
          </w:p>
        </w:tc>
        <w:tc>
          <w:tcPr>
            <w:tcW w:type="dxa" w:w="4514"/>
            <w:shd w:val="clear" w:color="auto" w:fill="FAFAFA"/>
          </w:tcPr>
          <w:p>
            <w:pPr>
              <w:spacing w:before="28" w:after="28" w:line="276" w:lineRule="auto"/>
            </w:pPr>
            <w:r>
              <w:rPr>
                <w:rFonts w:ascii="Calibri" w:hAnsi="Calibri"/>
                <w:color w:val="1E162B"/>
                <w:sz w:val="19"/>
              </w:rPr>
              <w:t>Student Innovation</w:t>
            </w:r>
          </w:p>
        </w:tc>
      </w:tr>
      <w:tr>
        <w:tc>
          <w:tcPr>
            <w:tcW w:type="dxa" w:w="4514"/>
            <w:shd w:val="clear" w:color="auto" w:fill="F3EEFF"/>
          </w:tcPr>
          <w:p>
            <w:pPr>
              <w:spacing w:before="28" w:after="28" w:line="276" w:lineRule="auto"/>
            </w:pPr>
            <w:r>
              <w:rPr>
                <w:rFonts w:ascii="Calibri" w:hAnsi="Calibri"/>
                <w:b/>
                <w:color w:val="7C3AED"/>
                <w:sz w:val="19"/>
              </w:rPr>
              <w:t>Reference Number</w:t>
            </w:r>
          </w:p>
        </w:tc>
        <w:tc>
          <w:tcPr>
            <w:tcW w:type="dxa" w:w="4514"/>
            <w:shd w:val="clear" w:color="auto" w:fill="FFFFFF"/>
          </w:tcPr>
          <w:p>
            <w:pPr>
              <w:spacing w:before="28" w:after="28" w:line="276" w:lineRule="auto"/>
            </w:pPr>
            <w:r>
              <w:rPr>
                <w:rFonts w:ascii="Calibri" w:hAnsi="Calibri"/>
                <w:color w:val="1E162B"/>
                <w:sz w:val="19"/>
              </w:rPr>
              <w:t>26INC06AP044404</w:t>
            </w:r>
          </w:p>
        </w:tc>
      </w:tr>
    </w:tbl>
    <w:p>
      <w:r>
        <w:br w:type="page"/>
      </w:r>
    </w:p>
    <w:p>
      <w:pPr>
        <w:spacing w:before="180" w:after="80" w:line="276" w:lineRule="auto"/>
        <w:pBdr>
          <w:left w:val="single" w:sz="24" w:space="4" w:color="E11D74"/>
        </w:pBdr>
      </w:pPr>
      <w:r>
        <w:rPr>
          <w:rFonts w:ascii="Calibri" w:hAnsi="Calibri"/>
          <w:b/>
          <w:color w:val="E11D74"/>
          <w:sz w:val="27"/>
        </w:rPr>
        <w:t>Executive Summary</w:t>
      </w:r>
    </w:p>
    <w:p>
      <w:pPr>
        <w:spacing w:before="0" w:after="50" w:line="276" w:lineRule="auto"/>
      </w:pPr>
      <w:r>
        <w:rPr>
          <w:rFonts w:ascii="Calibri" w:hAnsi="Calibri"/>
          <w:color w:val="1E162B"/>
          <w:sz w:val="20"/>
        </w:rPr>
        <w:t>SafeHerAI is a unified AI journey safety intelligence platform with a single core invention: a continuously updated Unified Journey Risk State — a real-time, evolving assessment of how safe a woman's journey is, synthesised from multiple simultaneous intelligence streams. This document describes a focused proof-of-concept (POC) that demonstrates this core invention through two primary prototype tracks and two supporting intelligence modules, built on a fully functional codebase developed prior to this submission.</w:t>
      </w:r>
    </w:p>
    <w:tbl>
      <w:tblPr>
        <w:tblStyle w:val="TableGrid"/>
        <w:tblW w:type="auto" w:w="0"/>
        <w:jc w:val="left"/>
        <w:tblLook w:firstColumn="1" w:firstRow="1" w:lastColumn="0" w:lastRow="0" w:noHBand="0" w:noVBand="1" w:val="04A0"/>
      </w:tblPr>
      <w:tblGrid>
        <w:gridCol w:w="9029"/>
      </w:tblGrid>
      <w:tr>
        <w:tc>
          <w:tcPr>
            <w:tcW w:type="dxa" w:w="9029"/>
            <w:shd w:val="clear" w:color="auto" w:fill="F3EEFF"/>
          </w:tcPr>
          <w:p>
            <w:pPr>
              <w:spacing w:before="40" w:after="40" w:line="276" w:lineRule="auto"/>
            </w:pPr>
            <w:r>
              <w:rPr>
                <w:rFonts w:ascii="Calibri" w:hAnsi="Calibri"/>
                <w:b/>
                <w:color w:val="7C3AED"/>
                <w:sz w:val="19"/>
              </w:rPr>
              <w:t xml:space="preserve">  ▶  Core Invention  </w:t>
            </w:r>
            <w:r>
              <w:rPr>
                <w:rFonts w:ascii="Calibri" w:hAnsi="Calibri"/>
                <w:color w:val="1E162B"/>
                <w:sz w:val="19"/>
              </w:rPr>
              <w:t>Unified Journey Risk State: a single, continuously evolving safety score fused from multiple heterogeneous streams via a 17-agent AI orchestration layer.</w:t>
            </w:r>
          </w:p>
        </w:tc>
      </w:tr>
    </w:tbl>
    <w:p/>
    <w:p>
      <w:pPr>
        <w:spacing w:before="70" w:after="25" w:line="276" w:lineRule="auto"/>
      </w:pPr>
      <w:r>
        <w:rPr>
          <w:rFonts w:ascii="Calibri" w:hAnsi="Calibri"/>
          <w:b/>
          <w:color w:val="1E162B"/>
          <w:sz w:val="21"/>
        </w:rPr>
        <w:t>Innovation Hierarchy — What Is Being Built, in What Order:</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Tier</w:t>
            </w:r>
          </w:p>
        </w:tc>
        <w:tc>
          <w:tcPr>
            <w:tcW w:type="dxa" w:w="2257"/>
            <w:shd w:val="clear" w:color="auto" w:fill="1E162B"/>
          </w:tcPr>
          <w:p>
            <w:pPr>
              <w:spacing w:before="36" w:after="36" w:line="276" w:lineRule="auto"/>
            </w:pPr>
            <w:r>
              <w:rPr>
                <w:rFonts w:ascii="Calibri" w:hAnsi="Calibri"/>
                <w:b/>
                <w:color w:val="FFFFFF"/>
                <w:sz w:val="18"/>
              </w:rPr>
              <w:t>Component</w:t>
            </w:r>
          </w:p>
        </w:tc>
        <w:tc>
          <w:tcPr>
            <w:tcW w:type="dxa" w:w="2257"/>
            <w:shd w:val="clear" w:color="auto" w:fill="1E162B"/>
          </w:tcPr>
          <w:p>
            <w:pPr>
              <w:spacing w:before="36" w:after="36" w:line="276" w:lineRule="auto"/>
            </w:pPr>
            <w:r>
              <w:rPr>
                <w:rFonts w:ascii="Calibri" w:hAnsi="Calibri"/>
                <w:b/>
                <w:color w:val="FFFFFF"/>
                <w:sz w:val="18"/>
              </w:rPr>
              <w:t>Status at Submission</w:t>
            </w:r>
          </w:p>
        </w:tc>
        <w:tc>
          <w:tcPr>
            <w:tcW w:type="dxa" w:w="2257"/>
            <w:shd w:val="clear" w:color="auto" w:fill="1E162B"/>
          </w:tcPr>
          <w:p>
            <w:pPr>
              <w:spacing w:before="36" w:after="36" w:line="276" w:lineRule="auto"/>
            </w:pPr>
            <w:r>
              <w:rPr>
                <w:rFonts w:ascii="Calibri" w:hAnsi="Calibri"/>
                <w:b/>
                <w:color w:val="FFFFFF"/>
                <w:sz w:val="18"/>
              </w:rPr>
              <w:t>Role in POC</w:t>
            </w:r>
          </w:p>
        </w:tc>
      </w:tr>
      <w:tr>
        <w:tc>
          <w:tcPr>
            <w:tcW w:type="dxa" w:w="2257"/>
            <w:shd w:val="clear" w:color="auto" w:fill="F9F5FF"/>
          </w:tcPr>
          <w:p>
            <w:pPr>
              <w:spacing w:before="28" w:after="28" w:line="276" w:lineRule="auto"/>
            </w:pPr>
            <w:r>
              <w:rPr>
                <w:rFonts w:ascii="Calibri" w:hAnsi="Calibri"/>
                <w:color w:val="1E162B"/>
                <w:sz w:val="18"/>
              </w:rPr>
              <w:t>①  Core</w:t>
              <w:br/>
              <w:t>Invention</w:t>
            </w:r>
          </w:p>
        </w:tc>
        <w:tc>
          <w:tcPr>
            <w:tcW w:type="dxa" w:w="2257"/>
            <w:shd w:val="clear" w:color="auto" w:fill="F9F5FF"/>
          </w:tcPr>
          <w:p>
            <w:pPr>
              <w:spacing w:before="28" w:after="28" w:line="276" w:lineRule="auto"/>
            </w:pPr>
            <w:r>
              <w:rPr>
                <w:rFonts w:ascii="Calibri" w:hAnsi="Calibri"/>
                <w:color w:val="1E162B"/>
                <w:sz w:val="18"/>
              </w:rPr>
              <w:t>Unified Journey Risk State</w:t>
              <w:br/>
              <w:t>(AI Safety Brain — 17-agent LangGraph orchestration)</w:t>
            </w:r>
          </w:p>
        </w:tc>
        <w:tc>
          <w:tcPr>
            <w:tcW w:type="dxa" w:w="2257"/>
            <w:shd w:val="clear" w:color="auto" w:fill="F9F5FF"/>
          </w:tcPr>
          <w:p>
            <w:pPr>
              <w:spacing w:before="28" w:after="28" w:line="276" w:lineRule="auto"/>
            </w:pPr>
            <w:r>
              <w:rPr>
                <w:rFonts w:ascii="Calibri" w:hAnsi="Calibri"/>
                <w:color w:val="1E162B"/>
                <w:sz w:val="18"/>
              </w:rPr>
              <w:t>Functional simulation in working codebase; agent graph simulated with scenario-switching</w:t>
            </w:r>
          </w:p>
        </w:tc>
        <w:tc>
          <w:tcPr>
            <w:tcW w:type="dxa" w:w="2257"/>
            <w:shd w:val="clear" w:color="auto" w:fill="F9F5FF"/>
          </w:tcPr>
          <w:p>
            <w:pPr>
              <w:spacing w:before="28" w:after="28" w:line="276" w:lineRule="auto"/>
            </w:pPr>
            <w:r>
              <w:rPr>
                <w:rFonts w:ascii="Calibri" w:hAnsi="Calibri"/>
                <w:color w:val="1E162B"/>
                <w:sz w:val="18"/>
              </w:rPr>
              <w:t>The central architectural claim. All tracks feed into and are governed by this unified state.</w:t>
            </w:r>
          </w:p>
        </w:tc>
      </w:tr>
      <w:tr>
        <w:tc>
          <w:tcPr>
            <w:tcW w:type="dxa" w:w="2257"/>
            <w:shd w:val="clear" w:color="auto" w:fill="FFFFFF"/>
          </w:tcPr>
          <w:p>
            <w:pPr>
              <w:spacing w:before="28" w:after="28" w:line="276" w:lineRule="auto"/>
            </w:pPr>
            <w:r>
              <w:rPr>
                <w:rFonts w:ascii="Calibri" w:hAnsi="Calibri"/>
                <w:color w:val="1E162B"/>
                <w:sz w:val="18"/>
              </w:rPr>
              <w:t>②  Primary</w:t>
              <w:br/>
              <w:t>Prototype</w:t>
            </w:r>
          </w:p>
        </w:tc>
        <w:tc>
          <w:tcPr>
            <w:tcW w:type="dxa" w:w="2257"/>
            <w:shd w:val="clear" w:color="auto" w:fill="FFFFFF"/>
          </w:tcPr>
          <w:p>
            <w:pPr>
              <w:spacing w:before="28" w:after="28" w:line="276" w:lineRule="auto"/>
            </w:pPr>
            <w:r>
              <w:rPr>
                <w:rFonts w:ascii="Calibri" w:hAnsi="Calibri"/>
                <w:color w:val="1E162B"/>
                <w:sz w:val="18"/>
              </w:rPr>
              <w:t>Track 1: AI Safety Map</w:t>
              <w:br/>
              <w:t>+ Counterfactual Routing</w:t>
              <w:br/>
              <w:br/>
              <w:t>Track 2: Journey Digital Twin</w:t>
              <w:br/>
              <w:t>+ Deviation Detection</w:t>
            </w:r>
          </w:p>
        </w:tc>
        <w:tc>
          <w:tcPr>
            <w:tcW w:type="dxa" w:w="2257"/>
            <w:shd w:val="clear" w:color="auto" w:fill="FFFFFF"/>
          </w:tcPr>
          <w:p>
            <w:pPr>
              <w:spacing w:before="28" w:after="28" w:line="276" w:lineRule="auto"/>
            </w:pPr>
            <w:r>
              <w:rPr>
                <w:rFonts w:ascii="Calibri" w:hAnsi="Calibri"/>
                <w:color w:val="1E162B"/>
                <w:sz w:val="18"/>
              </w:rPr>
              <w:t>Track 1: Plotly heatmap functional; XGBoost model designed</w:t>
              <w:br/>
              <w:t>Track 2: Ride simulation functional; Isolation Forest model designed</w:t>
            </w:r>
          </w:p>
        </w:tc>
        <w:tc>
          <w:tcPr>
            <w:tcW w:type="dxa" w:w="2257"/>
            <w:shd w:val="clear" w:color="auto" w:fill="FFFFFF"/>
          </w:tcPr>
          <w:p>
            <w:pPr>
              <w:spacing w:before="28" w:after="28" w:line="276" w:lineRule="auto"/>
            </w:pPr>
            <w:r>
              <w:rPr>
                <w:rFonts w:ascii="Calibri" w:hAnsi="Calibri"/>
                <w:color w:val="1E162B"/>
                <w:sz w:val="18"/>
              </w:rPr>
              <w:t>The two tracks with the clearest technical novelty and the most direct, demonstrable value to a judge. Core of the hackathon demo.</w:t>
            </w:r>
          </w:p>
        </w:tc>
      </w:tr>
      <w:tr>
        <w:tc>
          <w:tcPr>
            <w:tcW w:type="dxa" w:w="2257"/>
            <w:shd w:val="clear" w:color="auto" w:fill="F9F5FF"/>
          </w:tcPr>
          <w:p>
            <w:pPr>
              <w:spacing w:before="28" w:after="28" w:line="276" w:lineRule="auto"/>
            </w:pPr>
            <w:r>
              <w:rPr>
                <w:rFonts w:ascii="Calibri" w:hAnsi="Calibri"/>
                <w:color w:val="1E162B"/>
                <w:sz w:val="18"/>
              </w:rPr>
              <w:t>③  Supporting</w:t>
              <w:br/>
              <w:t>Intelligence</w:t>
            </w:r>
          </w:p>
        </w:tc>
        <w:tc>
          <w:tcPr>
            <w:tcW w:type="dxa" w:w="2257"/>
            <w:shd w:val="clear" w:color="auto" w:fill="F9F5FF"/>
          </w:tcPr>
          <w:p>
            <w:pPr>
              <w:spacing w:before="28" w:after="28" w:line="276" w:lineRule="auto"/>
            </w:pPr>
            <w:r>
              <w:rPr>
                <w:rFonts w:ascii="Calibri" w:hAnsi="Calibri"/>
                <w:color w:val="1E162B"/>
                <w:sz w:val="18"/>
              </w:rPr>
              <w:t>Track 4: Community Sentinel</w:t>
              <w:br/>
              <w:br/>
              <w:t>Track 5: AI Companion</w:t>
            </w:r>
          </w:p>
        </w:tc>
        <w:tc>
          <w:tcPr>
            <w:tcW w:type="dxa" w:w="2257"/>
            <w:shd w:val="clear" w:color="auto" w:fill="F9F5FF"/>
          </w:tcPr>
          <w:p>
            <w:pPr>
              <w:spacing w:before="28" w:after="28" w:line="276" w:lineRule="auto"/>
            </w:pPr>
            <w:r>
              <w:rPr>
                <w:rFonts w:ascii="Calibri" w:hAnsi="Calibri"/>
                <w:color w:val="1E162B"/>
                <w:sz w:val="18"/>
              </w:rPr>
              <w:t>Track 4: Report submission and display functional; trust scoring designed</w:t>
              <w:br/>
              <w:t>Track 5: Gemini 2.0 Flash companion live with API key</w:t>
            </w:r>
          </w:p>
        </w:tc>
        <w:tc>
          <w:tcPr>
            <w:tcW w:type="dxa" w:w="2257"/>
            <w:shd w:val="clear" w:color="auto" w:fill="F9F5FF"/>
          </w:tcPr>
          <w:p>
            <w:pPr>
              <w:spacing w:before="28" w:after="28" w:line="276" w:lineRule="auto"/>
            </w:pPr>
            <w:r>
              <w:rPr>
                <w:rFonts w:ascii="Calibri" w:hAnsi="Calibri"/>
                <w:color w:val="1E162B"/>
                <w:sz w:val="18"/>
              </w:rPr>
              <w:t>Multiply the platform's value and differentiation; demonstrate the fusion architecture; viable as standalone features.</w:t>
            </w:r>
          </w:p>
        </w:tc>
      </w:tr>
      <w:tr>
        <w:tc>
          <w:tcPr>
            <w:tcW w:type="dxa" w:w="2257"/>
            <w:shd w:val="clear" w:color="auto" w:fill="FFFFFF"/>
          </w:tcPr>
          <w:p>
            <w:pPr>
              <w:spacing w:before="28" w:after="28" w:line="276" w:lineRule="auto"/>
            </w:pPr>
            <w:r>
              <w:rPr>
                <w:rFonts w:ascii="Calibri" w:hAnsi="Calibri"/>
                <w:color w:val="1E162B"/>
                <w:sz w:val="18"/>
              </w:rPr>
              <w:t>④  Future</w:t>
              <w:br/>
              <w:t>Integration</w:t>
            </w:r>
          </w:p>
        </w:tc>
        <w:tc>
          <w:tcPr>
            <w:tcW w:type="dxa" w:w="2257"/>
            <w:shd w:val="clear" w:color="auto" w:fill="FFFFFF"/>
          </w:tcPr>
          <w:p>
            <w:pPr>
              <w:spacing w:before="28" w:after="28" w:line="276" w:lineRule="auto"/>
            </w:pPr>
            <w:r>
              <w:rPr>
                <w:rFonts w:ascii="Calibri" w:hAnsi="Calibri"/>
                <w:color w:val="1E162B"/>
                <w:sz w:val="18"/>
              </w:rPr>
              <w:t>Track 3: Wearable Safety Intelligence</w:t>
            </w:r>
          </w:p>
        </w:tc>
        <w:tc>
          <w:tcPr>
            <w:tcW w:type="dxa" w:w="2257"/>
            <w:shd w:val="clear" w:color="auto" w:fill="FFFFFF"/>
          </w:tcPr>
          <w:p>
            <w:pPr>
              <w:spacing w:before="28" w:after="28" w:line="276" w:lineRule="auto"/>
            </w:pPr>
            <w:r>
              <w:rPr>
                <w:rFonts w:ascii="Calibri" w:hAnsi="Calibri"/>
                <w:color w:val="1E162B"/>
                <w:sz w:val="18"/>
              </w:rPr>
              <w:t>Simulated biometric stream with distress estimator in working codebase</w:t>
            </w:r>
          </w:p>
        </w:tc>
        <w:tc>
          <w:tcPr>
            <w:tcW w:type="dxa" w:w="2257"/>
            <w:shd w:val="clear" w:color="auto" w:fill="FFFFFF"/>
          </w:tcPr>
          <w:p>
            <w:pPr>
              <w:spacing w:before="28" w:after="28" w:line="276" w:lineRule="auto"/>
            </w:pPr>
            <w:r>
              <w:rPr>
                <w:rFonts w:ascii="Calibri" w:hAnsi="Calibri"/>
                <w:color w:val="1E162B"/>
                <w:sz w:val="18"/>
              </w:rPr>
              <w:t>Included in demo as a simulation; hardware integration is post-POC roadmap.</w:t>
            </w:r>
          </w:p>
        </w:tc>
      </w:tr>
    </w:tbl>
    <w:p/>
    <w:tbl>
      <w:tblPr>
        <w:tblStyle w:val="TableGrid"/>
        <w:tblW w:type="auto" w:w="0"/>
        <w:jc w:val="left"/>
        <w:tblLook w:firstColumn="1" w:firstRow="1" w:lastColumn="0" w:lastRow="0" w:noHBand="0" w:noVBand="1" w:val="04A0"/>
      </w:tblPr>
      <w:tblGrid>
        <w:gridCol w:w="9029"/>
      </w:tblGrid>
      <w:tr>
        <w:tc>
          <w:tcPr>
            <w:tcW w:type="dxa" w:w="9029"/>
            <w:shd w:val="clear" w:color="auto" w:fill="FFFBEB"/>
          </w:tcPr>
          <w:p>
            <w:pPr>
              <w:spacing w:before="40" w:after="40" w:line="276" w:lineRule="auto"/>
            </w:pPr>
            <w:r>
              <w:rPr>
                <w:rFonts w:ascii="Calibri" w:hAnsi="Calibri"/>
                <w:b/>
                <w:color w:val="D97706"/>
                <w:sz w:val="19"/>
              </w:rPr>
              <w:t xml:space="preserve">  ⚠  Performance Claim Discipline  </w:t>
            </w:r>
            <w:r>
              <w:rPr>
                <w:rFonts w:ascii="Calibri" w:hAnsi="Calibri"/>
                <w:color w:val="1E162B"/>
                <w:sz w:val="19"/>
              </w:rPr>
              <w:t>Throughout this document, three performance tiers are explicitly distinguished: (A) Current Validated — results demonstrated in the existing working codebase before this submission; (B) Pilot Target — the measurable goal of the 90-day post-hackathon development sprint; (C) Projected Production — informed projections for a full-scale deployed product. Pilot targets are projections based on published benchmarks, not pre-validated claims.</w:t>
            </w:r>
          </w:p>
        </w:tc>
      </w:tr>
    </w:tbl>
    <w:p/>
    <w:p>
      <w:r>
        <w:br w:type="page"/>
      </w:r>
    </w:p>
    <w:p>
      <w:pPr>
        <w:spacing w:before="180" w:after="80" w:line="276" w:lineRule="auto"/>
        <w:pBdr>
          <w:left w:val="single" w:sz="24" w:space="4" w:color="E11D74"/>
        </w:pBdr>
      </w:pPr>
      <w:r>
        <w:rPr>
          <w:rFonts w:ascii="Calibri" w:hAnsi="Calibri"/>
          <w:b/>
          <w:color w:val="E11D74"/>
          <w:sz w:val="27"/>
        </w:rPr>
        <w:t>1.  Project Definition, Objectives &amp; Alignment</w:t>
      </w:r>
    </w:p>
    <w:p>
      <w:pPr>
        <w:spacing w:before="100" w:after="40" w:line="276" w:lineRule="auto"/>
      </w:pPr>
      <w:r>
        <w:rPr>
          <w:rFonts w:ascii="Calibri" w:hAnsi="Calibri"/>
          <w:b/>
          <w:color w:val="7C3AED"/>
          <w:sz w:val="22"/>
        </w:rPr>
        <w:t>1.1  The Problem — Precisely Framed</w:t>
      </w:r>
    </w:p>
    <w:p>
      <w:pPr>
        <w:spacing w:before="0" w:after="50" w:line="276" w:lineRule="auto"/>
      </w:pPr>
      <w:r>
        <w:rPr>
          <w:rFonts w:ascii="Calibri" w:hAnsi="Calibri"/>
          <w:color w:val="1E162B"/>
          <w:sz w:val="20"/>
        </w:rPr>
        <w:t>India recorded 4,41,534 cases of crime against women in 2024 (NCRB, 2024) — approximately 1,210 cases every single day. Telangana recorded the second-highest crime rate per lakh women among Indian states (128.6 per lakh), and Hyderabad sits at the epicentre of this challenge. A BITS Pilani Hyderabad study found over 50% of women experienced harassment on public transport; a 2025 EThames Business School survey found only 11% of those incidents were reported. The underreporting gap is not a data problem — it is a product-design failure.</w:t>
      </w:r>
    </w:p>
    <w:p>
      <w:pPr>
        <w:spacing w:before="0" w:after="50" w:line="276" w:lineRule="auto"/>
      </w:pPr>
      <w:r>
        <w:rPr>
          <w:rFonts w:ascii="Calibri" w:hAnsi="Calibri"/>
          <w:color w:val="1E162B"/>
          <w:sz w:val="20"/>
        </w:rPr>
        <w:t>Existing safety applications — Himmat+, bSafe, Safetipin, iGoSafe — share a structural limitation: they are single-feature, reactive tools. A panic button is pressed after danger has materialised. A trip share link shows someone where you are, not whether you are safe. A crime heatmap shows historical aggregates, not real-time, personalised risk for the specific journey in progress. None of these systems maintains a unified, continuously evolving assessment of the safety of an ongoing journey. That is the gap SafeHerAI fills.</w:t>
      </w:r>
    </w:p>
    <w:p>
      <w:pPr>
        <w:spacing w:before="0" w:after="50" w:line="276" w:lineRule="auto"/>
      </w:pPr>
      <w:r>
        <w:rPr>
          <w:rFonts w:ascii="Calibri" w:hAnsi="Calibri"/>
          <w:color w:val="1E162B"/>
          <w:sz w:val="20"/>
        </w:rPr>
        <w:t>The core problem SafeHerAI solves is not 'women lack a safety app.' It is: 'no system can tell a woman, at any given moment in her journey, how safe she is right now — synthesising everything around her — and adapt its response accordingly.'</w:t>
      </w:r>
    </w:p>
    <w:p>
      <w:pPr>
        <w:spacing w:before="100" w:after="40" w:line="276" w:lineRule="auto"/>
      </w:pPr>
      <w:r>
        <w:rPr>
          <w:rFonts w:ascii="Calibri" w:hAnsi="Calibri"/>
          <w:b/>
          <w:color w:val="7C3AED"/>
          <w:sz w:val="22"/>
        </w:rPr>
        <w:t>1.2  The Core Innovation — Unified Journey Risk State</w:t>
      </w:r>
    </w:p>
    <w:p>
      <w:pPr>
        <w:spacing w:before="0" w:after="50" w:line="276" w:lineRule="auto"/>
      </w:pPr>
      <w:r>
        <w:rPr>
          <w:rFonts w:ascii="Calibri" w:hAnsi="Calibri"/>
          <w:color w:val="1E162B"/>
          <w:sz w:val="20"/>
        </w:rPr>
        <w:t>SafeHerAI's primary invention is the Unified Journey Risk State (UJRS): a continuously maintained, per-user numerical safety assessment, updated in real time as the journey evolves, fused from multiple heterogeneous intelligence signals by a 17-agent AI Safety Brain.</w:t>
      </w:r>
    </w:p>
    <w:p>
      <w:pPr>
        <w:spacing w:before="0" w:after="50" w:line="276" w:lineRule="auto"/>
      </w:pPr>
      <w:r>
        <w:rPr>
          <w:rFonts w:ascii="Calibri" w:hAnsi="Calibri"/>
          <w:color w:val="1E162B"/>
          <w:sz w:val="20"/>
        </w:rPr>
        <w:t>The UJRS is not an alert. It is not a score computed once at journey start. It is an evolving state — like a flight's black box, but for personal safety — that integrates environmental risk, ride trajectory anomalies, community-sourced hazard signals, and physiological distress indicators simultaneously, and uses this fused state to determine the appropriate response: passive monitoring, in-app prompt, guardian alert, or emergency escalation.</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UJRS Component</w:t>
            </w:r>
          </w:p>
        </w:tc>
        <w:tc>
          <w:tcPr>
            <w:tcW w:type="dxa" w:w="2257"/>
            <w:shd w:val="clear" w:color="auto" w:fill="1E162B"/>
          </w:tcPr>
          <w:p>
            <w:pPr>
              <w:spacing w:before="36" w:after="36" w:line="276" w:lineRule="auto"/>
            </w:pPr>
            <w:r>
              <w:rPr>
                <w:rFonts w:ascii="Calibri" w:hAnsi="Calibri"/>
                <w:b/>
                <w:color w:val="FFFFFF"/>
                <w:sz w:val="18"/>
              </w:rPr>
              <w:t>Signal Source</w:t>
            </w:r>
          </w:p>
        </w:tc>
        <w:tc>
          <w:tcPr>
            <w:tcW w:type="dxa" w:w="2257"/>
            <w:shd w:val="clear" w:color="auto" w:fill="1E162B"/>
          </w:tcPr>
          <w:p>
            <w:pPr>
              <w:spacing w:before="36" w:after="36" w:line="276" w:lineRule="auto"/>
            </w:pPr>
            <w:r>
              <w:rPr>
                <w:rFonts w:ascii="Calibri" w:hAnsi="Calibri"/>
                <w:b/>
                <w:color w:val="FFFFFF"/>
                <w:sz w:val="18"/>
              </w:rPr>
              <w:t>Update Frequency</w:t>
            </w:r>
          </w:p>
        </w:tc>
        <w:tc>
          <w:tcPr>
            <w:tcW w:type="dxa" w:w="2257"/>
            <w:shd w:val="clear" w:color="auto" w:fill="1E162B"/>
          </w:tcPr>
          <w:p>
            <w:pPr>
              <w:spacing w:before="36" w:after="36" w:line="276" w:lineRule="auto"/>
            </w:pPr>
            <w:r>
              <w:rPr>
                <w:rFonts w:ascii="Calibri" w:hAnsi="Calibri"/>
                <w:b/>
                <w:color w:val="FFFFFF"/>
                <w:sz w:val="18"/>
              </w:rPr>
              <w:t>Contribution to Unified State</w:t>
            </w:r>
          </w:p>
        </w:tc>
      </w:tr>
      <w:tr>
        <w:tc>
          <w:tcPr>
            <w:tcW w:type="dxa" w:w="2257"/>
            <w:shd w:val="clear" w:color="auto" w:fill="F9F5FF"/>
          </w:tcPr>
          <w:p>
            <w:pPr>
              <w:spacing w:before="28" w:after="28" w:line="276" w:lineRule="auto"/>
            </w:pPr>
            <w:r>
              <w:rPr>
                <w:rFonts w:ascii="Calibri" w:hAnsi="Calibri"/>
                <w:color w:val="1E162B"/>
                <w:sz w:val="18"/>
              </w:rPr>
              <w:t>Environmental Risk Layer</w:t>
            </w:r>
          </w:p>
        </w:tc>
        <w:tc>
          <w:tcPr>
            <w:tcW w:type="dxa" w:w="2257"/>
            <w:shd w:val="clear" w:color="auto" w:fill="F9F5FF"/>
          </w:tcPr>
          <w:p>
            <w:pPr>
              <w:spacing w:before="28" w:after="28" w:line="276" w:lineRule="auto"/>
            </w:pPr>
            <w:r>
              <w:rPr>
                <w:rFonts w:ascii="Calibri" w:hAnsi="Calibri"/>
                <w:color w:val="1E162B"/>
                <w:sz w:val="18"/>
              </w:rPr>
              <w:t>XGBoost model on NCRB crime data, OSM lighting, CCTV density (H3 hex spatial index)</w:t>
            </w:r>
          </w:p>
        </w:tc>
        <w:tc>
          <w:tcPr>
            <w:tcW w:type="dxa" w:w="2257"/>
            <w:shd w:val="clear" w:color="auto" w:fill="F9F5FF"/>
          </w:tcPr>
          <w:p>
            <w:pPr>
              <w:spacing w:before="28" w:after="28" w:line="276" w:lineRule="auto"/>
            </w:pPr>
            <w:r>
              <w:rPr>
                <w:rFonts w:ascii="Calibri" w:hAnsi="Calibri"/>
                <w:color w:val="1E162B"/>
                <w:sz w:val="18"/>
              </w:rPr>
              <w:t>Every 30 seconds as user moves between H3 cells</w:t>
            </w:r>
          </w:p>
        </w:tc>
        <w:tc>
          <w:tcPr>
            <w:tcW w:type="dxa" w:w="2257"/>
            <w:shd w:val="clear" w:color="auto" w:fill="F9F5FF"/>
          </w:tcPr>
          <w:p>
            <w:pPr>
              <w:spacing w:before="28" w:after="28" w:line="276" w:lineRule="auto"/>
            </w:pPr>
            <w:r>
              <w:rPr>
                <w:rFonts w:ascii="Calibri" w:hAnsi="Calibri"/>
                <w:color w:val="1E162B"/>
                <w:sz w:val="18"/>
              </w:rPr>
              <w:t>Base environmental threat score [0–1]</w:t>
            </w:r>
          </w:p>
        </w:tc>
      </w:tr>
      <w:tr>
        <w:tc>
          <w:tcPr>
            <w:tcW w:type="dxa" w:w="2257"/>
            <w:shd w:val="clear" w:color="auto" w:fill="FFFFFF"/>
          </w:tcPr>
          <w:p>
            <w:pPr>
              <w:spacing w:before="28" w:after="28" w:line="276" w:lineRule="auto"/>
            </w:pPr>
            <w:r>
              <w:rPr>
                <w:rFonts w:ascii="Calibri" w:hAnsi="Calibri"/>
                <w:color w:val="1E162B"/>
                <w:sz w:val="18"/>
              </w:rPr>
              <w:t>Journey Twin Anomaly Score</w:t>
            </w:r>
          </w:p>
        </w:tc>
        <w:tc>
          <w:tcPr>
            <w:tcW w:type="dxa" w:w="2257"/>
            <w:shd w:val="clear" w:color="auto" w:fill="FFFFFF"/>
          </w:tcPr>
          <w:p>
            <w:pPr>
              <w:spacing w:before="28" w:after="28" w:line="276" w:lineRule="auto"/>
            </w:pPr>
            <w:r>
              <w:rPr>
                <w:rFonts w:ascii="Calibri" w:hAnsi="Calibri"/>
                <w:color w:val="1E162B"/>
                <w:sz w:val="18"/>
              </w:rPr>
              <w:t>Isolation Forest on GPS trajectory features (deviation, speed, heading, stops)</w:t>
            </w:r>
          </w:p>
        </w:tc>
        <w:tc>
          <w:tcPr>
            <w:tcW w:type="dxa" w:w="2257"/>
            <w:shd w:val="clear" w:color="auto" w:fill="FFFFFF"/>
          </w:tcPr>
          <w:p>
            <w:pPr>
              <w:spacing w:before="28" w:after="28" w:line="276" w:lineRule="auto"/>
            </w:pPr>
            <w:r>
              <w:rPr>
                <w:rFonts w:ascii="Calibri" w:hAnsi="Calibri"/>
                <w:color w:val="1E162B"/>
                <w:sz w:val="18"/>
              </w:rPr>
              <w:t>Every 3 seconds per GPS ping</w:t>
            </w:r>
          </w:p>
        </w:tc>
        <w:tc>
          <w:tcPr>
            <w:tcW w:type="dxa" w:w="2257"/>
            <w:shd w:val="clear" w:color="auto" w:fill="FFFFFF"/>
          </w:tcPr>
          <w:p>
            <w:pPr>
              <w:spacing w:before="28" w:after="28" w:line="276" w:lineRule="auto"/>
            </w:pPr>
            <w:r>
              <w:rPr>
                <w:rFonts w:ascii="Calibri" w:hAnsi="Calibri"/>
                <w:color w:val="1E162B"/>
                <w:sz w:val="18"/>
              </w:rPr>
              <w:t>Ride safety multiplier; triggers escalation above 0.6</w:t>
            </w:r>
          </w:p>
        </w:tc>
      </w:tr>
      <w:tr>
        <w:tc>
          <w:tcPr>
            <w:tcW w:type="dxa" w:w="2257"/>
            <w:shd w:val="clear" w:color="auto" w:fill="F9F5FF"/>
          </w:tcPr>
          <w:p>
            <w:pPr>
              <w:spacing w:before="28" w:after="28" w:line="276" w:lineRule="auto"/>
            </w:pPr>
            <w:r>
              <w:rPr>
                <w:rFonts w:ascii="Calibri" w:hAnsi="Calibri"/>
                <w:color w:val="1E162B"/>
                <w:sz w:val="18"/>
              </w:rPr>
              <w:t>Community Alert Proximity</w:t>
            </w:r>
          </w:p>
        </w:tc>
        <w:tc>
          <w:tcPr>
            <w:tcW w:type="dxa" w:w="2257"/>
            <w:shd w:val="clear" w:color="auto" w:fill="F9F5FF"/>
          </w:tcPr>
          <w:p>
            <w:pPr>
              <w:spacing w:before="28" w:after="28" w:line="276" w:lineRule="auto"/>
            </w:pPr>
            <w:r>
              <w:rPr>
                <w:rFonts w:ascii="Calibri" w:hAnsi="Calibri"/>
                <w:color w:val="1E162B"/>
                <w:sz w:val="18"/>
              </w:rPr>
              <w:t>PostGIS ST_DWithin query on verified community reports within 500m</w:t>
            </w:r>
          </w:p>
        </w:tc>
        <w:tc>
          <w:tcPr>
            <w:tcW w:type="dxa" w:w="2257"/>
            <w:shd w:val="clear" w:color="auto" w:fill="F9F5FF"/>
          </w:tcPr>
          <w:p>
            <w:pPr>
              <w:spacing w:before="28" w:after="28" w:line="276" w:lineRule="auto"/>
            </w:pPr>
            <w:r>
              <w:rPr>
                <w:rFonts w:ascii="Calibri" w:hAnsi="Calibri"/>
                <w:color w:val="1E162B"/>
                <w:sz w:val="18"/>
              </w:rPr>
              <w:t>Every 60 seconds</w:t>
            </w:r>
          </w:p>
        </w:tc>
        <w:tc>
          <w:tcPr>
            <w:tcW w:type="dxa" w:w="2257"/>
            <w:shd w:val="clear" w:color="auto" w:fill="F9F5FF"/>
          </w:tcPr>
          <w:p>
            <w:pPr>
              <w:spacing w:before="28" w:after="28" w:line="276" w:lineRule="auto"/>
            </w:pPr>
            <w:r>
              <w:rPr>
                <w:rFonts w:ascii="Calibri" w:hAnsi="Calibri"/>
                <w:color w:val="1E162B"/>
                <w:sz w:val="18"/>
              </w:rPr>
              <w:t>Contextual hazard boost from crowd-sourced data</w:t>
            </w:r>
          </w:p>
        </w:tc>
      </w:tr>
      <w:tr>
        <w:tc>
          <w:tcPr>
            <w:tcW w:type="dxa" w:w="2257"/>
            <w:shd w:val="clear" w:color="auto" w:fill="FFFFFF"/>
          </w:tcPr>
          <w:p>
            <w:pPr>
              <w:spacing w:before="28" w:after="28" w:line="276" w:lineRule="auto"/>
            </w:pPr>
            <w:r>
              <w:rPr>
                <w:rFonts w:ascii="Calibri" w:hAnsi="Calibri"/>
                <w:color w:val="1E162B"/>
                <w:sz w:val="18"/>
              </w:rPr>
              <w:t>Physiological Distress Signal</w:t>
            </w:r>
          </w:p>
        </w:tc>
        <w:tc>
          <w:tcPr>
            <w:tcW w:type="dxa" w:w="2257"/>
            <w:shd w:val="clear" w:color="auto" w:fill="FFFFFF"/>
          </w:tcPr>
          <w:p>
            <w:pPr>
              <w:spacing w:before="28" w:after="28" w:line="276" w:lineRule="auto"/>
            </w:pPr>
            <w:r>
              <w:rPr>
                <w:rFonts w:ascii="Calibri" w:hAnsi="Calibri"/>
                <w:color w:val="1E162B"/>
                <w:sz w:val="18"/>
              </w:rPr>
              <w:t>Simulated biometric stream (HR, SpO₂, GSR); BLE wearable post-pilot</w:t>
            </w:r>
          </w:p>
        </w:tc>
        <w:tc>
          <w:tcPr>
            <w:tcW w:type="dxa" w:w="2257"/>
            <w:shd w:val="clear" w:color="auto" w:fill="FFFFFF"/>
          </w:tcPr>
          <w:p>
            <w:pPr>
              <w:spacing w:before="28" w:after="28" w:line="276" w:lineRule="auto"/>
            </w:pPr>
            <w:r>
              <w:rPr>
                <w:rFonts w:ascii="Calibri" w:hAnsi="Calibri"/>
                <w:color w:val="1E162B"/>
                <w:sz w:val="18"/>
              </w:rPr>
              <w:t>Per biometric reading (simulated: every 5 seconds)</w:t>
            </w:r>
          </w:p>
        </w:tc>
        <w:tc>
          <w:tcPr>
            <w:tcW w:type="dxa" w:w="2257"/>
            <w:shd w:val="clear" w:color="auto" w:fill="FFFFFF"/>
          </w:tcPr>
          <w:p>
            <w:pPr>
              <w:spacing w:before="28" w:after="28" w:line="276" w:lineRule="auto"/>
            </w:pPr>
            <w:r>
              <w:rPr>
                <w:rFonts w:ascii="Calibri" w:hAnsi="Calibri"/>
                <w:color w:val="1E162B"/>
                <w:sz w:val="18"/>
              </w:rPr>
              <w:t>Independent distress trigger; bypasses GPS dependency</w:t>
            </w:r>
          </w:p>
        </w:tc>
      </w:tr>
      <w:tr>
        <w:tc>
          <w:tcPr>
            <w:tcW w:type="dxa" w:w="2257"/>
            <w:shd w:val="clear" w:color="auto" w:fill="F9F5FF"/>
          </w:tcPr>
          <w:p>
            <w:pPr>
              <w:spacing w:before="28" w:after="28" w:line="276" w:lineRule="auto"/>
            </w:pPr>
            <w:r>
              <w:rPr>
                <w:rFonts w:ascii="Calibri" w:hAnsi="Calibri"/>
                <w:color w:val="1E162B"/>
                <w:sz w:val="18"/>
              </w:rPr>
              <w:t>Contextual Modifiers</w:t>
            </w:r>
          </w:p>
        </w:tc>
        <w:tc>
          <w:tcPr>
            <w:tcW w:type="dxa" w:w="2257"/>
            <w:shd w:val="clear" w:color="auto" w:fill="F9F5FF"/>
          </w:tcPr>
          <w:p>
            <w:pPr>
              <w:spacing w:before="28" w:after="28" w:line="276" w:lineRule="auto"/>
            </w:pPr>
            <w:r>
              <w:rPr>
                <w:rFonts w:ascii="Calibri" w:hAnsi="Calibri"/>
                <w:color w:val="1E162B"/>
                <w:sz w:val="18"/>
              </w:rPr>
              <w:t>Time-of-day, guardian count online, battery level, device network status</w:t>
            </w:r>
          </w:p>
        </w:tc>
        <w:tc>
          <w:tcPr>
            <w:tcW w:type="dxa" w:w="2257"/>
            <w:shd w:val="clear" w:color="auto" w:fill="F9F5FF"/>
          </w:tcPr>
          <w:p>
            <w:pPr>
              <w:spacing w:before="28" w:after="28" w:line="276" w:lineRule="auto"/>
            </w:pPr>
            <w:r>
              <w:rPr>
                <w:rFonts w:ascii="Calibri" w:hAnsi="Calibri"/>
                <w:color w:val="1E162B"/>
                <w:sz w:val="18"/>
              </w:rPr>
              <w:t>Continuous</w:t>
            </w:r>
          </w:p>
        </w:tc>
        <w:tc>
          <w:tcPr>
            <w:tcW w:type="dxa" w:w="2257"/>
            <w:shd w:val="clear" w:color="auto" w:fill="F9F5FF"/>
          </w:tcPr>
          <w:p>
            <w:pPr>
              <w:spacing w:before="28" w:after="28" w:line="276" w:lineRule="auto"/>
            </w:pPr>
            <w:r>
              <w:rPr>
                <w:rFonts w:ascii="Calibri" w:hAnsi="Calibri"/>
                <w:color w:val="1E162B"/>
                <w:sz w:val="18"/>
              </w:rPr>
              <w:t>Adaptive response calibration</w:t>
            </w:r>
          </w:p>
        </w:tc>
      </w:tr>
    </w:tbl>
    <w:p/>
    <w:tbl>
      <w:tblPr>
        <w:tblStyle w:val="TableGrid"/>
        <w:tblW w:type="auto" w:w="0"/>
        <w:jc w:val="left"/>
        <w:tblLook w:firstColumn="1" w:firstRow="1" w:lastColumn="0" w:lastRow="0" w:noHBand="0" w:noVBand="1" w:val="04A0"/>
      </w:tblPr>
      <w:tblGrid>
        <w:gridCol w:w="9029"/>
      </w:tblGrid>
      <w:tr>
        <w:tc>
          <w:tcPr>
            <w:tcW w:type="dxa" w:w="9029"/>
            <w:shd w:val="clear" w:color="auto" w:fill="F3EEFF"/>
          </w:tcPr>
          <w:p>
            <w:pPr>
              <w:spacing w:before="40" w:after="40" w:line="276" w:lineRule="auto"/>
            </w:pPr>
            <w:r>
              <w:rPr>
                <w:rFonts w:ascii="Calibri" w:hAnsi="Calibri"/>
                <w:b/>
                <w:color w:val="7C3AED"/>
                <w:sz w:val="19"/>
              </w:rPr>
              <w:t xml:space="preserve">  ▶  The Defensible Novelty Claim  </w:t>
            </w:r>
            <w:r>
              <w:rPr>
                <w:rFonts w:ascii="Calibri" w:hAnsi="Calibri"/>
                <w:color w:val="1E162B"/>
                <w:sz w:val="19"/>
              </w:rPr>
              <w:t>SafeHerAI's differentiating innovation is the real-time, unified orchestration of heterogeneous personal safety signals into a single, continuously evolving journey risk state — with adaptive, multi-channel response governed by a deterministic 17-agent graph. Individual components (safe routing, ride tracking, community maps) exist in prior art. The unified, fused, continuously adaptive state architecture does not.</w:t>
            </w:r>
          </w:p>
        </w:tc>
      </w:tr>
    </w:tbl>
    <w:p/>
    <w:p>
      <w:pPr>
        <w:spacing w:before="100" w:after="40" w:line="276" w:lineRule="auto"/>
      </w:pPr>
      <w:r>
        <w:rPr>
          <w:rFonts w:ascii="Calibri" w:hAnsi="Calibri"/>
          <w:b/>
          <w:color w:val="7C3AED"/>
          <w:sz w:val="22"/>
        </w:rPr>
        <w:t>1.3  Prior Art Analysis &amp; Defensible Differentiation</w:t>
      </w:r>
    </w:p>
    <w:p>
      <w:pPr>
        <w:spacing w:before="0" w:after="50" w:line="276" w:lineRule="auto"/>
      </w:pPr>
      <w:r>
        <w:rPr>
          <w:rFonts w:ascii="Calibri" w:hAnsi="Calibri"/>
          <w:color w:val="1E162B"/>
          <w:sz w:val="20"/>
        </w:rPr>
        <w:t>An exhaustive prior-art review was conducted across Indian patent filings and published applications relevant to personal safety systems. The following table summarises the closest prior art and the precise point of differentiation for each.</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36" w:after="36" w:line="276" w:lineRule="auto"/>
            </w:pPr>
            <w:r>
              <w:rPr>
                <w:rFonts w:ascii="Calibri" w:hAnsi="Calibri"/>
                <w:b/>
                <w:color w:val="FFFFFF"/>
                <w:sz w:val="18"/>
              </w:rPr>
              <w:t>Prior Art</w:t>
            </w:r>
          </w:p>
        </w:tc>
        <w:tc>
          <w:tcPr>
            <w:tcW w:type="dxa" w:w="3010"/>
            <w:shd w:val="clear" w:color="auto" w:fill="1E162B"/>
          </w:tcPr>
          <w:p>
            <w:pPr>
              <w:spacing w:before="36" w:after="36" w:line="276" w:lineRule="auto"/>
            </w:pPr>
            <w:r>
              <w:rPr>
                <w:rFonts w:ascii="Calibri" w:hAnsi="Calibri"/>
                <w:b/>
                <w:color w:val="FFFFFF"/>
                <w:sz w:val="18"/>
              </w:rPr>
              <w:t>Key Overlap</w:t>
            </w:r>
          </w:p>
        </w:tc>
        <w:tc>
          <w:tcPr>
            <w:tcW w:type="dxa" w:w="3010"/>
            <w:shd w:val="clear" w:color="auto" w:fill="1E162B"/>
          </w:tcPr>
          <w:p>
            <w:pPr>
              <w:spacing w:before="36" w:after="36" w:line="276" w:lineRule="auto"/>
            </w:pPr>
            <w:r>
              <w:rPr>
                <w:rFonts w:ascii="Calibri" w:hAnsi="Calibri"/>
                <w:b/>
                <w:color w:val="FFFFFF"/>
                <w:sz w:val="18"/>
              </w:rPr>
              <w:t>SafeHerAI's Distinct Contribution</w:t>
            </w:r>
          </w:p>
        </w:tc>
      </w:tr>
      <w:tr>
        <w:tc>
          <w:tcPr>
            <w:tcW w:type="dxa" w:w="3010"/>
            <w:shd w:val="clear" w:color="auto" w:fill="F9F5FF"/>
          </w:tcPr>
          <w:p>
            <w:pPr>
              <w:spacing w:before="28" w:after="28" w:line="276" w:lineRule="auto"/>
            </w:pPr>
            <w:r>
              <w:rPr>
                <w:rFonts w:ascii="Calibri" w:hAnsi="Calibri"/>
                <w:color w:val="1E162B"/>
                <w:sz w:val="18"/>
              </w:rPr>
              <w:t>IN202521013842 (2025)</w:t>
              <w:br/>
              <w:t>AI-powered travel safety, real-time risk analysis, optimal route prediction</w:t>
            </w:r>
          </w:p>
        </w:tc>
        <w:tc>
          <w:tcPr>
            <w:tcW w:type="dxa" w:w="3010"/>
            <w:shd w:val="clear" w:color="auto" w:fill="F9F5FF"/>
          </w:tcPr>
          <w:p>
            <w:pPr>
              <w:spacing w:before="28" w:after="28" w:line="276" w:lineRule="auto"/>
            </w:pPr>
            <w:r>
              <w:rPr>
                <w:rFonts w:ascii="Calibri" w:hAnsi="Calibri"/>
                <w:color w:val="1E162B"/>
                <w:sz w:val="18"/>
              </w:rPr>
              <w:t>Route prediction, geospatial intelligence, biometric authentication</w:t>
            </w:r>
          </w:p>
        </w:tc>
        <w:tc>
          <w:tcPr>
            <w:tcW w:type="dxa" w:w="3010"/>
            <w:shd w:val="clear" w:color="auto" w:fill="F9F5FF"/>
          </w:tcPr>
          <w:p>
            <w:pPr>
              <w:spacing w:before="28" w:after="28" w:line="276" w:lineRule="auto"/>
            </w:pPr>
            <w:r>
              <w:rPr>
                <w:rFonts w:ascii="Calibri" w:hAnsi="Calibri"/>
                <w:color w:val="1E162B"/>
                <w:sz w:val="18"/>
              </w:rPr>
              <w:t>SafeHerAI fuses route risk with live journey deviation anomalies, community signals, and physiological data into one evolving state — not separate modular outputs.</w:t>
            </w:r>
          </w:p>
        </w:tc>
      </w:tr>
      <w:tr>
        <w:tc>
          <w:tcPr>
            <w:tcW w:type="dxa" w:w="3010"/>
            <w:shd w:val="clear" w:color="auto" w:fill="FFFFFF"/>
          </w:tcPr>
          <w:p>
            <w:pPr>
              <w:spacing w:before="28" w:after="28" w:line="276" w:lineRule="auto"/>
            </w:pPr>
            <w:r>
              <w:rPr>
                <w:rFonts w:ascii="Calibri" w:hAnsi="Calibri"/>
                <w:color w:val="1E162B"/>
                <w:sz w:val="18"/>
              </w:rPr>
              <w:t>IN202641075596 (2026)</w:t>
              <w:br/>
              <w:t>SafeHer: intelligent women's safety system with real-time emergency alert and secure route navigation</w:t>
            </w:r>
          </w:p>
        </w:tc>
        <w:tc>
          <w:tcPr>
            <w:tcW w:type="dxa" w:w="3010"/>
            <w:shd w:val="clear" w:color="auto" w:fill="FFFFFF"/>
          </w:tcPr>
          <w:p>
            <w:pPr>
              <w:spacing w:before="28" w:after="28" w:line="276" w:lineRule="auto"/>
            </w:pPr>
            <w:r>
              <w:rPr>
                <w:rFonts w:ascii="Calibri" w:hAnsi="Calibri"/>
                <w:color w:val="1E162B"/>
                <w:sz w:val="18"/>
              </w:rPr>
              <w:t>Women's safety focus, route navigation, emergency alert</w:t>
            </w:r>
          </w:p>
        </w:tc>
        <w:tc>
          <w:tcPr>
            <w:tcW w:type="dxa" w:w="3010"/>
            <w:shd w:val="clear" w:color="auto" w:fill="FFFFFF"/>
          </w:tcPr>
          <w:p>
            <w:pPr>
              <w:spacing w:before="28" w:after="28" w:line="276" w:lineRule="auto"/>
            </w:pPr>
            <w:r>
              <w:rPr>
                <w:rFonts w:ascii="Calibri" w:hAnsi="Calibri"/>
                <w:color w:val="1E162B"/>
                <w:sz w:val="18"/>
              </w:rPr>
              <w:t>SafeHerAI's Journey Digital Twin provides continuous, per-3-second trajectory monitoring with LangGraph escalation — not a navigation overlay.</w:t>
            </w:r>
          </w:p>
        </w:tc>
      </w:tr>
      <w:tr>
        <w:tc>
          <w:tcPr>
            <w:tcW w:type="dxa" w:w="3010"/>
            <w:shd w:val="clear" w:color="auto" w:fill="F9F5FF"/>
          </w:tcPr>
          <w:p>
            <w:pPr>
              <w:spacing w:before="28" w:after="28" w:line="276" w:lineRule="auto"/>
            </w:pPr>
            <w:r>
              <w:rPr>
                <w:rFonts w:ascii="Calibri" w:hAnsi="Calibri"/>
                <w:color w:val="1E162B"/>
                <w:sz w:val="18"/>
              </w:rPr>
              <w:t>IN202641085373 (2026)</w:t>
              <w:br/>
              <w:t>Digital twin-enabled smart safety band for predictive threat detection</w:t>
            </w:r>
          </w:p>
        </w:tc>
        <w:tc>
          <w:tcPr>
            <w:tcW w:type="dxa" w:w="3010"/>
            <w:shd w:val="clear" w:color="auto" w:fill="F9F5FF"/>
          </w:tcPr>
          <w:p>
            <w:pPr>
              <w:spacing w:before="28" w:after="28" w:line="276" w:lineRule="auto"/>
            </w:pPr>
            <w:r>
              <w:rPr>
                <w:rFonts w:ascii="Calibri" w:hAnsi="Calibri"/>
                <w:color w:val="1E162B"/>
                <w:sz w:val="18"/>
              </w:rPr>
              <w:t>Digital twin concept, wearable sensors, emergency management</w:t>
            </w:r>
          </w:p>
        </w:tc>
        <w:tc>
          <w:tcPr>
            <w:tcW w:type="dxa" w:w="3010"/>
            <w:shd w:val="clear" w:color="auto" w:fill="F9F5FF"/>
          </w:tcPr>
          <w:p>
            <w:pPr>
              <w:spacing w:before="28" w:after="28" w:line="276" w:lineRule="auto"/>
            </w:pPr>
            <w:r>
              <w:rPr>
                <w:rFonts w:ascii="Calibri" w:hAnsi="Calibri"/>
                <w:color w:val="1E162B"/>
                <w:sz w:val="18"/>
              </w:rPr>
              <w:t>SafeHerAI's digital twin is a journey-level construct fusing GPS, biometric, and environmental streams — not a wearable-device-centric system.</w:t>
            </w:r>
          </w:p>
        </w:tc>
      </w:tr>
      <w:tr>
        <w:tc>
          <w:tcPr>
            <w:tcW w:type="dxa" w:w="3010"/>
            <w:shd w:val="clear" w:color="auto" w:fill="FFFFFF"/>
          </w:tcPr>
          <w:p>
            <w:pPr>
              <w:spacing w:before="28" w:after="28" w:line="276" w:lineRule="auto"/>
            </w:pPr>
            <w:r>
              <w:rPr>
                <w:rFonts w:ascii="Calibri" w:hAnsi="Calibri"/>
                <w:color w:val="1E162B"/>
                <w:sz w:val="18"/>
              </w:rPr>
              <w:t>IN202541080538 (2025)</w:t>
              <w:br/>
              <w:t>Hybrid AI framework for women's safety using LSTM, GBDT, NLP for real-time risk detection</w:t>
            </w:r>
          </w:p>
        </w:tc>
        <w:tc>
          <w:tcPr>
            <w:tcW w:type="dxa" w:w="3010"/>
            <w:shd w:val="clear" w:color="auto" w:fill="FFFFFF"/>
          </w:tcPr>
          <w:p>
            <w:pPr>
              <w:spacing w:before="28" w:after="28" w:line="276" w:lineRule="auto"/>
            </w:pPr>
            <w:r>
              <w:rPr>
                <w:rFonts w:ascii="Calibri" w:hAnsi="Calibri"/>
                <w:color w:val="1E162B"/>
                <w:sz w:val="18"/>
              </w:rPr>
              <w:t>LSTM + GBDT ensemble, NLP for risk detection, women's safety focus</w:t>
            </w:r>
          </w:p>
        </w:tc>
        <w:tc>
          <w:tcPr>
            <w:tcW w:type="dxa" w:w="3010"/>
            <w:shd w:val="clear" w:color="auto" w:fill="FFFFFF"/>
          </w:tcPr>
          <w:p>
            <w:pPr>
              <w:spacing w:before="28" w:after="28" w:line="276" w:lineRule="auto"/>
            </w:pPr>
            <w:r>
              <w:rPr>
                <w:rFonts w:ascii="Calibri" w:hAnsi="Calibri"/>
                <w:color w:val="1E162B"/>
                <w:sz w:val="18"/>
              </w:rPr>
              <w:t>SafeHerAI uses Isolation Forest + DTW (no training-data dependency) and SHAP-grounded counterfactual routing explanations — not an NLP-driven risk model.</w:t>
            </w:r>
          </w:p>
        </w:tc>
      </w:tr>
      <w:tr>
        <w:tc>
          <w:tcPr>
            <w:tcW w:type="dxa" w:w="3010"/>
            <w:shd w:val="clear" w:color="auto" w:fill="F9F5FF"/>
          </w:tcPr>
          <w:p>
            <w:pPr>
              <w:spacing w:before="28" w:after="28" w:line="276" w:lineRule="auto"/>
            </w:pPr>
            <w:r>
              <w:rPr>
                <w:rFonts w:ascii="Calibri" w:hAnsi="Calibri"/>
                <w:color w:val="1E162B"/>
                <w:sz w:val="18"/>
              </w:rPr>
              <w:t>IN202421032333 (2024)</w:t>
              <w:br/>
              <w:t>SafeStride: AI-powered women safety application with safe-route prediction</w:t>
            </w:r>
          </w:p>
        </w:tc>
        <w:tc>
          <w:tcPr>
            <w:tcW w:type="dxa" w:w="3010"/>
            <w:shd w:val="clear" w:color="auto" w:fill="F9F5FF"/>
          </w:tcPr>
          <w:p>
            <w:pPr>
              <w:spacing w:before="28" w:after="28" w:line="276" w:lineRule="auto"/>
            </w:pPr>
            <w:r>
              <w:rPr>
                <w:rFonts w:ascii="Calibri" w:hAnsi="Calibri"/>
                <w:color w:val="1E162B"/>
                <w:sz w:val="18"/>
              </w:rPr>
              <w:t>Safe-route prediction, multi-trigger emergency system, tracking</w:t>
            </w:r>
          </w:p>
        </w:tc>
        <w:tc>
          <w:tcPr>
            <w:tcW w:type="dxa" w:w="3010"/>
            <w:shd w:val="clear" w:color="auto" w:fill="F9F5FF"/>
          </w:tcPr>
          <w:p>
            <w:pPr>
              <w:spacing w:before="28" w:after="28" w:line="276" w:lineRule="auto"/>
            </w:pPr>
            <w:r>
              <w:rPr>
                <w:rFonts w:ascii="Calibri" w:hAnsi="Calibri"/>
                <w:color w:val="1E162B"/>
                <w:sz w:val="18"/>
              </w:rPr>
              <w:t>SafeHerAI uniquely combines route risk with a continuously updated journey twin, community trust-scored hazards, and an LLM companion with FIR generation.</w:t>
            </w:r>
          </w:p>
        </w:tc>
      </w:tr>
      <w:tr>
        <w:tc>
          <w:tcPr>
            <w:tcW w:type="dxa" w:w="3010"/>
            <w:shd w:val="clear" w:color="auto" w:fill="FFFFFF"/>
          </w:tcPr>
          <w:p>
            <w:pPr>
              <w:spacing w:before="28" w:after="28" w:line="276" w:lineRule="auto"/>
            </w:pPr>
            <w:r>
              <w:rPr>
                <w:rFonts w:ascii="Calibri" w:hAnsi="Calibri"/>
                <w:color w:val="1E162B"/>
                <w:sz w:val="18"/>
              </w:rPr>
              <w:t>IN202541044624 (2025)</w:t>
              <w:br/>
              <w:t>SafePath: AI-driven route safety assessment</w:t>
            </w:r>
          </w:p>
        </w:tc>
        <w:tc>
          <w:tcPr>
            <w:tcW w:type="dxa" w:w="3010"/>
            <w:shd w:val="clear" w:color="auto" w:fill="FFFFFF"/>
          </w:tcPr>
          <w:p>
            <w:pPr>
              <w:spacing w:before="28" w:after="28" w:line="276" w:lineRule="auto"/>
            </w:pPr>
            <w:r>
              <w:rPr>
                <w:rFonts w:ascii="Calibri" w:hAnsi="Calibri"/>
                <w:color w:val="1E162B"/>
                <w:sz w:val="18"/>
              </w:rPr>
              <w:t>Image-based object detection, geospatial clustering, safety score</w:t>
            </w:r>
          </w:p>
        </w:tc>
        <w:tc>
          <w:tcPr>
            <w:tcW w:type="dxa" w:w="3010"/>
            <w:shd w:val="clear" w:color="auto" w:fill="FFFFFF"/>
          </w:tcPr>
          <w:p>
            <w:pPr>
              <w:spacing w:before="28" w:after="28" w:line="276" w:lineRule="auto"/>
            </w:pPr>
            <w:r>
              <w:rPr>
                <w:rFonts w:ascii="Calibri" w:hAnsi="Calibri"/>
                <w:color w:val="1E162B"/>
                <w:sz w:val="18"/>
              </w:rPr>
              <w:t>SafeHerAI does not depend on image capture; uses tabular spatial features (NCRB + OSM) with counterfactual explanation — operable without camera.</w:t>
            </w:r>
          </w:p>
        </w:tc>
      </w:tr>
      <w:tr>
        <w:tc>
          <w:tcPr>
            <w:tcW w:type="dxa" w:w="3010"/>
            <w:shd w:val="clear" w:color="auto" w:fill="F9F5FF"/>
          </w:tcPr>
          <w:p>
            <w:pPr>
              <w:spacing w:before="28" w:after="28" w:line="276" w:lineRule="auto"/>
            </w:pPr>
            <w:r>
              <w:rPr>
                <w:rFonts w:ascii="Calibri" w:hAnsi="Calibri"/>
                <w:color w:val="1E162B"/>
                <w:sz w:val="18"/>
              </w:rPr>
              <w:t>Safetipin (App, 2013–present)</w:t>
            </w:r>
          </w:p>
        </w:tc>
        <w:tc>
          <w:tcPr>
            <w:tcW w:type="dxa" w:w="3010"/>
            <w:shd w:val="clear" w:color="auto" w:fill="F9F5FF"/>
          </w:tcPr>
          <w:p>
            <w:pPr>
              <w:spacing w:before="28" w:after="28" w:line="276" w:lineRule="auto"/>
            </w:pPr>
            <w:r>
              <w:rPr>
                <w:rFonts w:ascii="Calibri" w:hAnsi="Calibri"/>
                <w:color w:val="1E162B"/>
                <w:sz w:val="18"/>
              </w:rPr>
              <w:t>Urban safety audit, safety score by lighting/visibility/crowd</w:t>
            </w:r>
          </w:p>
        </w:tc>
        <w:tc>
          <w:tcPr>
            <w:tcW w:type="dxa" w:w="3010"/>
            <w:shd w:val="clear" w:color="auto" w:fill="F9F5FF"/>
          </w:tcPr>
          <w:p>
            <w:pPr>
              <w:spacing w:before="28" w:after="28" w:line="276" w:lineRule="auto"/>
            </w:pPr>
            <w:r>
              <w:rPr>
                <w:rFonts w:ascii="Calibri" w:hAnsi="Calibri"/>
                <w:color w:val="1E162B"/>
                <w:sz w:val="18"/>
              </w:rPr>
              <w:t>SafeHerAI provides per-journey, real-time, personalised risk — not a static safety audit score. Safetipin has no journey twin or AI companion.</w:t>
            </w:r>
          </w:p>
        </w:tc>
      </w:tr>
    </w:tbl>
    <w:p/>
    <w:p>
      <w:pPr>
        <w:spacing w:before="0" w:after="50" w:line="276" w:lineRule="auto"/>
      </w:pPr>
      <w:r>
        <w:rPr>
          <w:rFonts w:ascii="Calibri" w:hAnsi="Calibri"/>
          <w:color w:val="1E162B"/>
          <w:sz w:val="20"/>
        </w:rPr>
        <w:t>Conclusion: Prior art confirms that SafeHerAI is building in an active, competitive space. The defensible novelty is not any single feature but the architectural integration — a continuously maintained, multi-signal Unified Journey Risk State governed by a deterministic multi-agent graph — which does not appear in any reviewed prior art as a unified construct.</w:t>
      </w:r>
    </w:p>
    <w:p>
      <w:pPr>
        <w:spacing w:before="100" w:after="40" w:line="276" w:lineRule="auto"/>
      </w:pPr>
      <w:r>
        <w:rPr>
          <w:rFonts w:ascii="Calibri" w:hAnsi="Calibri"/>
          <w:b/>
          <w:color w:val="7C3AED"/>
          <w:sz w:val="22"/>
        </w:rPr>
        <w:t>1.4  Alignment with 'Other Frontier Technologies' Theme</w:t>
      </w:r>
    </w:p>
    <w:p>
      <w:pPr>
        <w:spacing w:before="0" w:after="50" w:line="276" w:lineRule="auto"/>
      </w:pPr>
      <w:r>
        <w:rPr>
          <w:rFonts w:ascii="Calibri" w:hAnsi="Calibri"/>
          <w:color w:val="1E162B"/>
          <w:sz w:val="20"/>
        </w:rPr>
        <w:t>SafeHerAI addresses the 'Other Frontier Technologies' theme by applying four frontier AI disciplines to a nationally significant social problem. The convergence is the innovation:</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36" w:after="36" w:line="276" w:lineRule="auto"/>
            </w:pPr>
            <w:r>
              <w:rPr>
                <w:rFonts w:ascii="Calibri" w:hAnsi="Calibri"/>
                <w:b/>
                <w:color w:val="FFFFFF"/>
                <w:sz w:val="18"/>
              </w:rPr>
              <w:t>Frontier Technology</w:t>
            </w:r>
          </w:p>
        </w:tc>
        <w:tc>
          <w:tcPr>
            <w:tcW w:type="dxa" w:w="3010"/>
            <w:shd w:val="clear" w:color="auto" w:fill="1E162B"/>
          </w:tcPr>
          <w:p>
            <w:pPr>
              <w:spacing w:before="36" w:after="36" w:line="276" w:lineRule="auto"/>
            </w:pPr>
            <w:r>
              <w:rPr>
                <w:rFonts w:ascii="Calibri" w:hAnsi="Calibri"/>
                <w:b/>
                <w:color w:val="FFFFFF"/>
                <w:sz w:val="18"/>
              </w:rPr>
              <w:t>Application in SafeHerAI</w:t>
            </w:r>
          </w:p>
        </w:tc>
        <w:tc>
          <w:tcPr>
            <w:tcW w:type="dxa" w:w="3010"/>
            <w:shd w:val="clear" w:color="auto" w:fill="1E162B"/>
          </w:tcPr>
          <w:p>
            <w:pPr>
              <w:spacing w:before="36" w:after="36" w:line="276" w:lineRule="auto"/>
            </w:pPr>
            <w:r>
              <w:rPr>
                <w:rFonts w:ascii="Calibri" w:hAnsi="Calibri"/>
                <w:b/>
                <w:color w:val="FFFFFF"/>
                <w:sz w:val="18"/>
              </w:rPr>
              <w:t>Maturity</w:t>
            </w:r>
          </w:p>
        </w:tc>
      </w:tr>
      <w:tr>
        <w:tc>
          <w:tcPr>
            <w:tcW w:type="dxa" w:w="3010"/>
            <w:shd w:val="clear" w:color="auto" w:fill="F9F5FF"/>
          </w:tcPr>
          <w:p>
            <w:pPr>
              <w:spacing w:before="28" w:after="28" w:line="276" w:lineRule="auto"/>
            </w:pPr>
            <w:r>
              <w:rPr>
                <w:rFonts w:ascii="Calibri" w:hAnsi="Calibri"/>
                <w:color w:val="1E162B"/>
                <w:sz w:val="18"/>
              </w:rPr>
              <w:t>Multi-Agent AI Orchestration (LangGraph)</w:t>
            </w:r>
          </w:p>
        </w:tc>
        <w:tc>
          <w:tcPr>
            <w:tcW w:type="dxa" w:w="3010"/>
            <w:shd w:val="clear" w:color="auto" w:fill="F9F5FF"/>
          </w:tcPr>
          <w:p>
            <w:pPr>
              <w:spacing w:before="28" w:after="28" w:line="276" w:lineRule="auto"/>
            </w:pPr>
            <w:r>
              <w:rPr>
                <w:rFonts w:ascii="Calibri" w:hAnsi="Calibri"/>
                <w:color w:val="1E162B"/>
                <w:sz w:val="18"/>
              </w:rPr>
              <w:t>17-node directed graph governing real-time safety decision routing; safety escalation pipeline</w:t>
            </w:r>
          </w:p>
        </w:tc>
        <w:tc>
          <w:tcPr>
            <w:tcW w:type="dxa" w:w="3010"/>
            <w:shd w:val="clear" w:color="auto" w:fill="F9F5FF"/>
          </w:tcPr>
          <w:p>
            <w:pPr>
              <w:spacing w:before="28" w:after="28" w:line="276" w:lineRule="auto"/>
            </w:pPr>
            <w:r>
              <w:rPr>
                <w:rFonts w:ascii="Calibri" w:hAnsi="Calibri"/>
                <w:color w:val="1E162B"/>
                <w:sz w:val="18"/>
              </w:rPr>
              <w:t>Production-ready (LangGraph 0.2 used at Uber, Klarna)</w:t>
            </w:r>
          </w:p>
        </w:tc>
      </w:tr>
      <w:tr>
        <w:tc>
          <w:tcPr>
            <w:tcW w:type="dxa" w:w="3010"/>
            <w:shd w:val="clear" w:color="auto" w:fill="FFFFFF"/>
          </w:tcPr>
          <w:p>
            <w:pPr>
              <w:spacing w:before="28" w:after="28" w:line="276" w:lineRule="auto"/>
            </w:pPr>
            <w:r>
              <w:rPr>
                <w:rFonts w:ascii="Calibri" w:hAnsi="Calibri"/>
                <w:color w:val="1E162B"/>
                <w:sz w:val="18"/>
              </w:rPr>
              <w:t>Spatial ML + Explainable AI (XGBoost + SHAP)</w:t>
            </w:r>
          </w:p>
        </w:tc>
        <w:tc>
          <w:tcPr>
            <w:tcW w:type="dxa" w:w="3010"/>
            <w:shd w:val="clear" w:color="auto" w:fill="FFFFFF"/>
          </w:tcPr>
          <w:p>
            <w:pPr>
              <w:spacing w:before="28" w:after="28" w:line="276" w:lineRule="auto"/>
            </w:pPr>
            <w:r>
              <w:rPr>
                <w:rFonts w:ascii="Calibri" w:hAnsi="Calibri"/>
                <w:color w:val="1E162B"/>
                <w:sz w:val="18"/>
              </w:rPr>
              <w:t>Tabular crime risk regression on H3 hexagonal spatial index; counterfactual route explanation</w:t>
            </w:r>
          </w:p>
        </w:tc>
        <w:tc>
          <w:tcPr>
            <w:tcW w:type="dxa" w:w="3010"/>
            <w:shd w:val="clear" w:color="auto" w:fill="FFFFFF"/>
          </w:tcPr>
          <w:p>
            <w:pPr>
              <w:spacing w:before="28" w:after="28" w:line="276" w:lineRule="auto"/>
            </w:pPr>
            <w:r>
              <w:rPr>
                <w:rFonts w:ascii="Calibri" w:hAnsi="Calibri"/>
                <w:color w:val="1E162B"/>
                <w:sz w:val="18"/>
              </w:rPr>
              <w:t>Production-ready (XGBoost 2.0, SHAP 0.46)</w:t>
            </w:r>
          </w:p>
        </w:tc>
      </w:tr>
      <w:tr>
        <w:tc>
          <w:tcPr>
            <w:tcW w:type="dxa" w:w="3010"/>
            <w:shd w:val="clear" w:color="auto" w:fill="F9F5FF"/>
          </w:tcPr>
          <w:p>
            <w:pPr>
              <w:spacing w:before="28" w:after="28" w:line="276" w:lineRule="auto"/>
            </w:pPr>
            <w:r>
              <w:rPr>
                <w:rFonts w:ascii="Calibri" w:hAnsi="Calibri"/>
                <w:color w:val="1E162B"/>
                <w:sz w:val="18"/>
              </w:rPr>
              <w:t>Large Language Model Streaming with Grounding (Gemini 2.5 Flash)</w:t>
            </w:r>
          </w:p>
        </w:tc>
        <w:tc>
          <w:tcPr>
            <w:tcW w:type="dxa" w:w="3010"/>
            <w:shd w:val="clear" w:color="auto" w:fill="F9F5FF"/>
          </w:tcPr>
          <w:p>
            <w:pPr>
              <w:spacing w:before="28" w:after="28" w:line="276" w:lineRule="auto"/>
            </w:pPr>
            <w:r>
              <w:rPr>
                <w:rFonts w:ascii="Calibri" w:hAnsi="Calibri"/>
                <w:color w:val="1E162B"/>
                <w:sz w:val="18"/>
              </w:rPr>
              <w:t>Context-injected AI companion with Google Search grounding; structured FIR generation</w:t>
            </w:r>
          </w:p>
        </w:tc>
        <w:tc>
          <w:tcPr>
            <w:tcW w:type="dxa" w:w="3010"/>
            <w:shd w:val="clear" w:color="auto" w:fill="F9F5FF"/>
          </w:tcPr>
          <w:p>
            <w:pPr>
              <w:spacing w:before="28" w:after="28" w:line="276" w:lineRule="auto"/>
            </w:pPr>
            <w:r>
              <w:rPr>
                <w:rFonts w:ascii="Calibri" w:hAnsi="Calibri"/>
                <w:color w:val="1E162B"/>
                <w:sz w:val="18"/>
              </w:rPr>
              <w:t>Production API (Google AI Studio)</w:t>
            </w:r>
          </w:p>
        </w:tc>
      </w:tr>
      <w:tr>
        <w:tc>
          <w:tcPr>
            <w:tcW w:type="dxa" w:w="3010"/>
            <w:shd w:val="clear" w:color="auto" w:fill="FFFFFF"/>
          </w:tcPr>
          <w:p>
            <w:pPr>
              <w:spacing w:before="28" w:after="28" w:line="276" w:lineRule="auto"/>
            </w:pPr>
            <w:r>
              <w:rPr>
                <w:rFonts w:ascii="Calibri" w:hAnsi="Calibri"/>
                <w:color w:val="1E162B"/>
                <w:sz w:val="18"/>
              </w:rPr>
              <w:t>Real-Time Anomaly Detection on Streaming GPS (Isolation Forest + DTW)</w:t>
            </w:r>
          </w:p>
        </w:tc>
        <w:tc>
          <w:tcPr>
            <w:tcW w:type="dxa" w:w="3010"/>
            <w:shd w:val="clear" w:color="auto" w:fill="FFFFFF"/>
          </w:tcPr>
          <w:p>
            <w:pPr>
              <w:spacing w:before="28" w:after="28" w:line="276" w:lineRule="auto"/>
            </w:pPr>
            <w:r>
              <w:rPr>
                <w:rFonts w:ascii="Calibri" w:hAnsi="Calibri"/>
                <w:color w:val="1E162B"/>
                <w:sz w:val="18"/>
              </w:rPr>
              <w:t>Per-3-second trajectory anomaly scoring; no labelled training data required</w:t>
            </w:r>
          </w:p>
        </w:tc>
        <w:tc>
          <w:tcPr>
            <w:tcW w:type="dxa" w:w="3010"/>
            <w:shd w:val="clear" w:color="auto" w:fill="FFFFFF"/>
          </w:tcPr>
          <w:p>
            <w:pPr>
              <w:spacing w:before="28" w:after="28" w:line="276" w:lineRule="auto"/>
            </w:pPr>
            <w:r>
              <w:rPr>
                <w:rFonts w:ascii="Calibri" w:hAnsi="Calibri"/>
                <w:color w:val="1E162B"/>
                <w:sz w:val="18"/>
              </w:rPr>
              <w:t>Production-proven in ride-hailing anomaly detection (Ola, Uber)</w:t>
            </w:r>
          </w:p>
        </w:tc>
      </w:tr>
    </w:tbl>
    <w:p/>
    <w:p>
      <w:pPr>
        <w:spacing w:before="100" w:after="40" w:line="276" w:lineRule="auto"/>
      </w:pPr>
      <w:r>
        <w:rPr>
          <w:rFonts w:ascii="Calibri" w:hAnsi="Calibri"/>
          <w:b/>
          <w:color w:val="7C3AED"/>
          <w:sz w:val="22"/>
        </w:rPr>
        <w:t>1.5  Outcome Indicators &amp; Key Results</w:t>
      </w:r>
    </w:p>
    <w:p>
      <w:pPr>
        <w:spacing w:before="0" w:after="50" w:line="276" w:lineRule="auto"/>
      </w:pPr>
      <w:r>
        <w:rPr>
          <w:rFonts w:ascii="Calibri" w:hAnsi="Calibri"/>
          <w:color w:val="1E162B"/>
          <w:sz w:val="20"/>
        </w:rPr>
        <w:t>Five metrics are defined, one per intelligence track. Each is stated in three tiers to maintain complete transparency about what is validated today versus what is targeted in the pilot. The 90-day pilot target is the hackathon commitment.</w:t>
      </w:r>
    </w:p>
    <w:tbl>
      <w:tblPr>
        <w:tblStyle w:val="TableGrid"/>
        <w:tblW w:type="auto" w:w="0"/>
        <w:jc w:val="left"/>
        <w:tblLook w:firstColumn="1" w:firstRow="1" w:lastColumn="0" w:lastRow="0" w:noHBand="0" w:noVBand="1" w:val="04A0"/>
      </w:tblPr>
      <w:tblGrid>
        <w:gridCol w:w="9029"/>
      </w:tblGrid>
      <w:tr>
        <w:tc>
          <w:tcPr>
            <w:tcW w:type="dxa" w:w="9029"/>
            <w:shd w:val="clear" w:color="auto" w:fill="FFFBEB"/>
          </w:tcPr>
          <w:p>
            <w:pPr>
              <w:spacing w:before="40" w:after="40" w:line="276" w:lineRule="auto"/>
            </w:pPr>
            <w:r>
              <w:rPr>
                <w:rFonts w:ascii="Calibri" w:hAnsi="Calibri"/>
                <w:b/>
                <w:color w:val="D97706"/>
                <w:sz w:val="19"/>
              </w:rPr>
              <w:t xml:space="preserve">  ⚠  Critical Distinction  </w:t>
            </w:r>
            <w:r>
              <w:rPr>
                <w:rFonts w:ascii="Calibri" w:hAnsi="Calibri"/>
                <w:color w:val="1E162B"/>
                <w:sz w:val="19"/>
              </w:rPr>
              <w:t>'Current Validated' means observable in the existing working codebase prior to this submission. 'Pilot Target' is the measurable goal of the 90-day sprint. 'Projected Production' is an informed extrapolation, not a commitment.</w:t>
            </w:r>
          </w:p>
        </w:tc>
      </w:tr>
    </w:tbl>
    <w:p/>
    <w:tbl>
      <w:tblPr>
        <w:tblStyle w:val="TableGrid"/>
        <w:tblW w:type="auto" w:w="0"/>
        <w:jc w:val="left"/>
        <w:tblLook w:firstColumn="1" w:firstRow="1" w:lastColumn="0" w:lastRow="0" w:noHBand="0" w:noVBand="1" w:val="04A0"/>
      </w:tblPr>
      <w:tblGrid>
        <w:gridCol w:w="1505"/>
        <w:gridCol w:w="1505"/>
        <w:gridCol w:w="1505"/>
        <w:gridCol w:w="1505"/>
        <w:gridCol w:w="1505"/>
        <w:gridCol w:w="1505"/>
      </w:tblGrid>
      <w:tr>
        <w:tc>
          <w:tcPr>
            <w:tcW w:type="dxa" w:w="1505"/>
            <w:shd w:val="clear" w:color="auto" w:fill="1E162B"/>
          </w:tcPr>
          <w:p>
            <w:pPr>
              <w:spacing w:before="36" w:after="36" w:line="276" w:lineRule="auto"/>
            </w:pPr>
            <w:r>
              <w:rPr>
                <w:rFonts w:ascii="Calibri" w:hAnsi="Calibri"/>
                <w:b/>
                <w:color w:val="FFFFFF"/>
                <w:sz w:val="18"/>
              </w:rPr>
              <w:t>Track</w:t>
            </w:r>
          </w:p>
        </w:tc>
        <w:tc>
          <w:tcPr>
            <w:tcW w:type="dxa" w:w="1505"/>
            <w:shd w:val="clear" w:color="auto" w:fill="1E162B"/>
          </w:tcPr>
          <w:p>
            <w:pPr>
              <w:spacing w:before="36" w:after="36" w:line="276" w:lineRule="auto"/>
            </w:pPr>
            <w:r>
              <w:rPr>
                <w:rFonts w:ascii="Calibri" w:hAnsi="Calibri"/>
                <w:b/>
                <w:color w:val="FFFFFF"/>
                <w:sz w:val="18"/>
              </w:rPr>
              <w:t>Metric</w:t>
            </w:r>
          </w:p>
        </w:tc>
        <w:tc>
          <w:tcPr>
            <w:tcW w:type="dxa" w:w="1505"/>
            <w:shd w:val="clear" w:color="auto" w:fill="1E162B"/>
          </w:tcPr>
          <w:p>
            <w:pPr>
              <w:spacing w:before="36" w:after="36" w:line="276" w:lineRule="auto"/>
            </w:pPr>
            <w:r>
              <w:rPr>
                <w:rFonts w:ascii="Calibri" w:hAnsi="Calibri"/>
                <w:b/>
                <w:color w:val="FFFFFF"/>
                <w:sz w:val="18"/>
              </w:rPr>
              <w:t>(A) Current</w:t>
              <w:br/>
              <w:t>Validated</w:t>
            </w:r>
          </w:p>
        </w:tc>
        <w:tc>
          <w:tcPr>
            <w:tcW w:type="dxa" w:w="1505"/>
            <w:shd w:val="clear" w:color="auto" w:fill="1E162B"/>
          </w:tcPr>
          <w:p>
            <w:pPr>
              <w:spacing w:before="36" w:after="36" w:line="276" w:lineRule="auto"/>
            </w:pPr>
            <w:r>
              <w:rPr>
                <w:rFonts w:ascii="Calibri" w:hAnsi="Calibri"/>
                <w:b/>
                <w:color w:val="FFFFFF"/>
                <w:sz w:val="18"/>
              </w:rPr>
              <w:t>(B) 90-Day</w:t>
              <w:br/>
              <w:t>Pilot Target</w:t>
            </w:r>
          </w:p>
        </w:tc>
        <w:tc>
          <w:tcPr>
            <w:tcW w:type="dxa" w:w="1505"/>
            <w:shd w:val="clear" w:color="auto" w:fill="1E162B"/>
          </w:tcPr>
          <w:p>
            <w:pPr>
              <w:spacing w:before="36" w:after="36" w:line="276" w:lineRule="auto"/>
            </w:pPr>
            <w:r>
              <w:rPr>
                <w:rFonts w:ascii="Calibri" w:hAnsi="Calibri"/>
                <w:b/>
                <w:color w:val="FFFFFF"/>
                <w:sz w:val="18"/>
              </w:rPr>
              <w:t>(C) Projected</w:t>
              <w:br/>
              <w:t>Production</w:t>
            </w:r>
          </w:p>
        </w:tc>
        <w:tc>
          <w:tcPr>
            <w:tcW w:type="dxa" w:w="1505"/>
            <w:shd w:val="clear" w:color="auto" w:fill="1E162B"/>
          </w:tcPr>
          <w:p>
            <w:pPr>
              <w:spacing w:before="36" w:after="36" w:line="276" w:lineRule="auto"/>
            </w:pPr>
            <w:r>
              <w:rPr>
                <w:rFonts w:ascii="Calibri" w:hAnsi="Calibri"/>
                <w:b/>
                <w:color w:val="FFFFFF"/>
                <w:sz w:val="18"/>
              </w:rPr>
              <w:t>Measurement Method</w:t>
            </w:r>
          </w:p>
        </w:tc>
      </w:tr>
      <w:tr>
        <w:tc>
          <w:tcPr>
            <w:tcW w:type="dxa" w:w="1505"/>
            <w:shd w:val="clear" w:color="auto" w:fill="F9F5FF"/>
          </w:tcPr>
          <w:p>
            <w:pPr>
              <w:spacing w:before="28" w:after="28" w:line="276" w:lineRule="auto"/>
            </w:pPr>
            <w:r>
              <w:rPr>
                <w:rFonts w:ascii="Calibri" w:hAnsi="Calibri"/>
                <w:color w:val="1E162B"/>
                <w:sz w:val="18"/>
              </w:rPr>
              <w:t>Track 1</w:t>
              <w:br/>
              <w:t>Safety Map</w:t>
            </w:r>
          </w:p>
        </w:tc>
        <w:tc>
          <w:tcPr>
            <w:tcW w:type="dxa" w:w="1505"/>
            <w:shd w:val="clear" w:color="auto" w:fill="F9F5FF"/>
          </w:tcPr>
          <w:p>
            <w:pPr>
              <w:spacing w:before="28" w:after="28" w:line="276" w:lineRule="auto"/>
            </w:pPr>
            <w:r>
              <w:rPr>
                <w:rFonts w:ascii="Calibri" w:hAnsi="Calibri"/>
                <w:color w:val="1E162B"/>
                <w:sz w:val="18"/>
              </w:rPr>
              <w:t>XGBoost risk model AUC</w:t>
              <w:br/>
              <w:t>on holdout set</w:t>
            </w:r>
          </w:p>
        </w:tc>
        <w:tc>
          <w:tcPr>
            <w:tcW w:type="dxa" w:w="1505"/>
            <w:shd w:val="clear" w:color="auto" w:fill="F9F5FF"/>
          </w:tcPr>
          <w:p>
            <w:pPr>
              <w:spacing w:before="28" w:after="28" w:line="276" w:lineRule="auto"/>
            </w:pPr>
            <w:r>
              <w:rPr>
                <w:rFonts w:ascii="Calibri" w:hAnsi="Calibri"/>
                <w:color w:val="1E162B"/>
                <w:sz w:val="18"/>
              </w:rPr>
              <w:t>Not yet trained</w:t>
              <w:br/>
              <w:t>(model designed)</w:t>
            </w:r>
          </w:p>
        </w:tc>
        <w:tc>
          <w:tcPr>
            <w:tcW w:type="dxa" w:w="1505"/>
            <w:shd w:val="clear" w:color="auto" w:fill="F9F5FF"/>
          </w:tcPr>
          <w:p>
            <w:pPr>
              <w:spacing w:before="28" w:after="28" w:line="276" w:lineRule="auto"/>
            </w:pPr>
            <w:r>
              <w:rPr>
                <w:rFonts w:ascii="Calibri" w:hAnsi="Calibri"/>
                <w:color w:val="1E162B"/>
                <w:sz w:val="18"/>
              </w:rPr>
              <w:t>AUC ≥ 0.80</w:t>
            </w:r>
          </w:p>
        </w:tc>
        <w:tc>
          <w:tcPr>
            <w:tcW w:type="dxa" w:w="1505"/>
            <w:shd w:val="clear" w:color="auto" w:fill="F9F5FF"/>
          </w:tcPr>
          <w:p>
            <w:pPr>
              <w:spacing w:before="28" w:after="28" w:line="276" w:lineRule="auto"/>
            </w:pPr>
            <w:r>
              <w:rPr>
                <w:rFonts w:ascii="Calibri" w:hAnsi="Calibri"/>
                <w:color w:val="1E162B"/>
                <w:sz w:val="18"/>
              </w:rPr>
              <w:t>AUC ≥ 0.87</w:t>
            </w:r>
          </w:p>
        </w:tc>
        <w:tc>
          <w:tcPr>
            <w:tcW w:type="dxa" w:w="1505"/>
            <w:shd w:val="clear" w:color="auto" w:fill="F9F5FF"/>
          </w:tcPr>
          <w:p>
            <w:pPr>
              <w:spacing w:before="28" w:after="28" w:line="276" w:lineRule="auto"/>
            </w:pPr>
            <w:r>
              <w:rPr>
                <w:rFonts w:ascii="Calibri" w:hAnsi="Calibri"/>
                <w:color w:val="1E162B"/>
                <w:sz w:val="18"/>
              </w:rPr>
              <w:t>Hold-out test on NCRB + OSM feature dataset; sklearn cross-validation</w:t>
            </w:r>
          </w:p>
        </w:tc>
      </w:tr>
      <w:tr>
        <w:tc>
          <w:tcPr>
            <w:tcW w:type="dxa" w:w="1505"/>
            <w:shd w:val="clear" w:color="auto" w:fill="FFFFFF"/>
          </w:tcPr>
          <w:p>
            <w:pPr>
              <w:spacing w:before="28" w:after="28" w:line="276" w:lineRule="auto"/>
            </w:pPr>
            <w:r>
              <w:rPr>
                <w:rFonts w:ascii="Calibri" w:hAnsi="Calibri"/>
                <w:color w:val="1E162B"/>
                <w:sz w:val="18"/>
              </w:rPr>
              <w:t>Track 1</w:t>
              <w:br/>
              <w:t>Safety Map</w:t>
            </w:r>
          </w:p>
        </w:tc>
        <w:tc>
          <w:tcPr>
            <w:tcW w:type="dxa" w:w="1505"/>
            <w:shd w:val="clear" w:color="auto" w:fill="FFFFFF"/>
          </w:tcPr>
          <w:p>
            <w:pPr>
              <w:spacing w:before="28" w:after="28" w:line="276" w:lineRule="auto"/>
            </w:pPr>
            <w:r>
              <w:rPr>
                <w:rFonts w:ascii="Calibri" w:hAnsi="Calibri"/>
                <w:color w:val="1E162B"/>
                <w:sz w:val="18"/>
              </w:rPr>
              <w:t>Counterfactual route</w:t>
              <w:br/>
              <w:t>acceptance rate</w:t>
            </w:r>
          </w:p>
        </w:tc>
        <w:tc>
          <w:tcPr>
            <w:tcW w:type="dxa" w:w="1505"/>
            <w:shd w:val="clear" w:color="auto" w:fill="FFFFFF"/>
          </w:tcPr>
          <w:p>
            <w:pPr>
              <w:spacing w:before="28" w:after="28" w:line="276" w:lineRule="auto"/>
            </w:pPr>
            <w:r>
              <w:rPr>
                <w:rFonts w:ascii="Calibri" w:hAnsi="Calibri"/>
                <w:color w:val="1E162B"/>
                <w:sz w:val="18"/>
              </w:rPr>
              <w:t>Not yet measured</w:t>
            </w:r>
          </w:p>
        </w:tc>
        <w:tc>
          <w:tcPr>
            <w:tcW w:type="dxa" w:w="1505"/>
            <w:shd w:val="clear" w:color="auto" w:fill="FFFFFF"/>
          </w:tcPr>
          <w:p>
            <w:pPr>
              <w:spacing w:before="28" w:after="28" w:line="276" w:lineRule="auto"/>
            </w:pPr>
            <w:r>
              <w:rPr>
                <w:rFonts w:ascii="Calibri" w:hAnsi="Calibri"/>
                <w:color w:val="1E162B"/>
                <w:sz w:val="18"/>
              </w:rPr>
              <w:t>≥ 65% in 50-journey</w:t>
              <w:br/>
              <w:t>user study</w:t>
            </w:r>
          </w:p>
        </w:tc>
        <w:tc>
          <w:tcPr>
            <w:tcW w:type="dxa" w:w="1505"/>
            <w:shd w:val="clear" w:color="auto" w:fill="FFFFFF"/>
          </w:tcPr>
          <w:p>
            <w:pPr>
              <w:spacing w:before="28" w:after="28" w:line="276" w:lineRule="auto"/>
            </w:pPr>
            <w:r>
              <w:rPr>
                <w:rFonts w:ascii="Calibri" w:hAnsi="Calibri"/>
                <w:color w:val="1E162B"/>
                <w:sz w:val="18"/>
              </w:rPr>
              <w:t>≥ 80%</w:t>
            </w:r>
          </w:p>
        </w:tc>
        <w:tc>
          <w:tcPr>
            <w:tcW w:type="dxa" w:w="1505"/>
            <w:shd w:val="clear" w:color="auto" w:fill="FFFFFF"/>
          </w:tcPr>
          <w:p>
            <w:pPr>
              <w:spacing w:before="28" w:after="28" w:line="276" w:lineRule="auto"/>
            </w:pPr>
            <w:r>
              <w:rPr>
                <w:rFonts w:ascii="Calibri" w:hAnsi="Calibri"/>
                <w:color w:val="1E162B"/>
                <w:sz w:val="18"/>
              </w:rPr>
              <w:t>User study: user chooses AI-recommended route vs. default navigation route</w:t>
            </w:r>
          </w:p>
        </w:tc>
      </w:tr>
      <w:tr>
        <w:tc>
          <w:tcPr>
            <w:tcW w:type="dxa" w:w="1505"/>
            <w:shd w:val="clear" w:color="auto" w:fill="F9F5FF"/>
          </w:tcPr>
          <w:p>
            <w:pPr>
              <w:spacing w:before="28" w:after="28" w:line="276" w:lineRule="auto"/>
            </w:pPr>
            <w:r>
              <w:rPr>
                <w:rFonts w:ascii="Calibri" w:hAnsi="Calibri"/>
                <w:color w:val="1E162B"/>
                <w:sz w:val="18"/>
              </w:rPr>
              <w:t>Track 2</w:t>
              <w:br/>
              <w:t>Journey Twin</w:t>
            </w:r>
          </w:p>
        </w:tc>
        <w:tc>
          <w:tcPr>
            <w:tcW w:type="dxa" w:w="1505"/>
            <w:shd w:val="clear" w:color="auto" w:fill="F9F5FF"/>
          </w:tcPr>
          <w:p>
            <w:pPr>
              <w:spacing w:before="28" w:after="28" w:line="276" w:lineRule="auto"/>
            </w:pPr>
            <w:r>
              <w:rPr>
                <w:rFonts w:ascii="Calibri" w:hAnsi="Calibri"/>
                <w:color w:val="1E162B"/>
                <w:sz w:val="18"/>
              </w:rPr>
              <w:t>Isolation Forest precision</w:t>
              <w:br/>
              <w:t>@ 500m deviation threshold</w:t>
            </w:r>
          </w:p>
        </w:tc>
        <w:tc>
          <w:tcPr>
            <w:tcW w:type="dxa" w:w="1505"/>
            <w:shd w:val="clear" w:color="auto" w:fill="F9F5FF"/>
          </w:tcPr>
          <w:p>
            <w:pPr>
              <w:spacing w:before="28" w:after="28" w:line="276" w:lineRule="auto"/>
            </w:pPr>
            <w:r>
              <w:rPr>
                <w:rFonts w:ascii="Calibri" w:hAnsi="Calibri"/>
                <w:color w:val="1E162B"/>
                <w:sz w:val="18"/>
              </w:rPr>
              <w:t>Simulated scenario</w:t>
              <w:br/>
              <w:t>demo functional</w:t>
            </w:r>
          </w:p>
        </w:tc>
        <w:tc>
          <w:tcPr>
            <w:tcW w:type="dxa" w:w="1505"/>
            <w:shd w:val="clear" w:color="auto" w:fill="F9F5FF"/>
          </w:tcPr>
          <w:p>
            <w:pPr>
              <w:spacing w:before="28" w:after="28" w:line="276" w:lineRule="auto"/>
            </w:pPr>
            <w:r>
              <w:rPr>
                <w:rFonts w:ascii="Calibri" w:hAnsi="Calibri"/>
                <w:color w:val="1E162B"/>
                <w:sz w:val="18"/>
              </w:rPr>
              <w:t>Precision ≥ 85%,</w:t>
              <w:br/>
              <w:t>Recall ≥ 90%</w:t>
            </w:r>
          </w:p>
        </w:tc>
        <w:tc>
          <w:tcPr>
            <w:tcW w:type="dxa" w:w="1505"/>
            <w:shd w:val="clear" w:color="auto" w:fill="F9F5FF"/>
          </w:tcPr>
          <w:p>
            <w:pPr>
              <w:spacing w:before="28" w:after="28" w:line="276" w:lineRule="auto"/>
            </w:pPr>
            <w:r>
              <w:rPr>
                <w:rFonts w:ascii="Calibri" w:hAnsi="Calibri"/>
                <w:color w:val="1E162B"/>
                <w:sz w:val="18"/>
              </w:rPr>
              <w:t>P ≥ 92%, R ≥ 95%</w:t>
            </w:r>
          </w:p>
        </w:tc>
        <w:tc>
          <w:tcPr>
            <w:tcW w:type="dxa" w:w="1505"/>
            <w:shd w:val="clear" w:color="auto" w:fill="F9F5FF"/>
          </w:tcPr>
          <w:p>
            <w:pPr>
              <w:spacing w:before="28" w:after="28" w:line="276" w:lineRule="auto"/>
            </w:pPr>
            <w:r>
              <w:rPr>
                <w:rFonts w:ascii="Calibri" w:hAnsi="Calibri"/>
                <w:color w:val="1E162B"/>
                <w:sz w:val="18"/>
              </w:rPr>
              <w:t>500 synthetic GPS trajectory samples; sklearn classification report</w:t>
            </w:r>
          </w:p>
        </w:tc>
      </w:tr>
      <w:tr>
        <w:tc>
          <w:tcPr>
            <w:tcW w:type="dxa" w:w="1505"/>
            <w:shd w:val="clear" w:color="auto" w:fill="FFFFFF"/>
          </w:tcPr>
          <w:p>
            <w:pPr>
              <w:spacing w:before="28" w:after="28" w:line="276" w:lineRule="auto"/>
            </w:pPr>
            <w:r>
              <w:rPr>
                <w:rFonts w:ascii="Calibri" w:hAnsi="Calibri"/>
                <w:color w:val="1E162B"/>
                <w:sz w:val="18"/>
              </w:rPr>
              <w:t>Track 4</w:t>
              <w:br/>
              <w:t>Community</w:t>
            </w:r>
          </w:p>
        </w:tc>
        <w:tc>
          <w:tcPr>
            <w:tcW w:type="dxa" w:w="1505"/>
            <w:shd w:val="clear" w:color="auto" w:fill="FFFFFF"/>
          </w:tcPr>
          <w:p>
            <w:pPr>
              <w:spacing w:before="28" w:after="28" w:line="276" w:lineRule="auto"/>
            </w:pPr>
            <w:r>
              <w:rPr>
                <w:rFonts w:ascii="Calibri" w:hAnsi="Calibri"/>
                <w:color w:val="1E162B"/>
                <w:sz w:val="18"/>
              </w:rPr>
              <w:t>Trust score Spearman ρ</w:t>
              <w:br/>
              <w:t>vs. ground-truth validity</w:t>
            </w:r>
          </w:p>
        </w:tc>
        <w:tc>
          <w:tcPr>
            <w:tcW w:type="dxa" w:w="1505"/>
            <w:shd w:val="clear" w:color="auto" w:fill="FFFFFF"/>
          </w:tcPr>
          <w:p>
            <w:pPr>
              <w:spacing w:before="28" w:after="28" w:line="276" w:lineRule="auto"/>
            </w:pPr>
            <w:r>
              <w:rPr>
                <w:rFonts w:ascii="Calibri" w:hAnsi="Calibri"/>
                <w:color w:val="1E162B"/>
                <w:sz w:val="18"/>
              </w:rPr>
              <w:t>Report display</w:t>
              <w:br/>
              <w:t>functional</w:t>
            </w:r>
          </w:p>
        </w:tc>
        <w:tc>
          <w:tcPr>
            <w:tcW w:type="dxa" w:w="1505"/>
            <w:shd w:val="clear" w:color="auto" w:fill="FFFFFF"/>
          </w:tcPr>
          <w:p>
            <w:pPr>
              <w:spacing w:before="28" w:after="28" w:line="276" w:lineRule="auto"/>
            </w:pPr>
            <w:r>
              <w:rPr>
                <w:rFonts w:ascii="Calibri" w:hAnsi="Calibri"/>
                <w:color w:val="1E162B"/>
                <w:sz w:val="18"/>
              </w:rPr>
              <w:t>Spearman ρ ≥ 0.72</w:t>
            </w:r>
          </w:p>
        </w:tc>
        <w:tc>
          <w:tcPr>
            <w:tcW w:type="dxa" w:w="1505"/>
            <w:shd w:val="clear" w:color="auto" w:fill="FFFFFF"/>
          </w:tcPr>
          <w:p>
            <w:pPr>
              <w:spacing w:before="28" w:after="28" w:line="276" w:lineRule="auto"/>
            </w:pPr>
            <w:r>
              <w:rPr>
                <w:rFonts w:ascii="Calibri" w:hAnsi="Calibri"/>
                <w:color w:val="1E162B"/>
                <w:sz w:val="18"/>
              </w:rPr>
              <w:t>Spearman ρ ≥ 0.80</w:t>
            </w:r>
          </w:p>
        </w:tc>
        <w:tc>
          <w:tcPr>
            <w:tcW w:type="dxa" w:w="1505"/>
            <w:shd w:val="clear" w:color="auto" w:fill="FFFFFF"/>
          </w:tcPr>
          <w:p>
            <w:pPr>
              <w:spacing w:before="28" w:after="28" w:line="276" w:lineRule="auto"/>
            </w:pPr>
            <w:r>
              <w:rPr>
                <w:rFonts w:ascii="Calibri" w:hAnsi="Calibri"/>
                <w:color w:val="1E162B"/>
                <w:sz w:val="18"/>
              </w:rPr>
              <w:t>Hold-out seeded report dataset from SafeCity API; RF output vs. human labels</w:t>
            </w:r>
          </w:p>
        </w:tc>
      </w:tr>
      <w:tr>
        <w:tc>
          <w:tcPr>
            <w:tcW w:type="dxa" w:w="1505"/>
            <w:shd w:val="clear" w:color="auto" w:fill="F9F5FF"/>
          </w:tcPr>
          <w:p>
            <w:pPr>
              <w:spacing w:before="28" w:after="28" w:line="276" w:lineRule="auto"/>
            </w:pPr>
            <w:r>
              <w:rPr>
                <w:rFonts w:ascii="Calibri" w:hAnsi="Calibri"/>
                <w:color w:val="1E162B"/>
                <w:sz w:val="18"/>
              </w:rPr>
              <w:t>Track 5</w:t>
              <w:br/>
              <w:t>AI Companion</w:t>
            </w:r>
          </w:p>
        </w:tc>
        <w:tc>
          <w:tcPr>
            <w:tcW w:type="dxa" w:w="1505"/>
            <w:shd w:val="clear" w:color="auto" w:fill="F9F5FF"/>
          </w:tcPr>
          <w:p>
            <w:pPr>
              <w:spacing w:before="28" w:after="28" w:line="276" w:lineRule="auto"/>
            </w:pPr>
            <w:r>
              <w:rPr>
                <w:rFonts w:ascii="Calibri" w:hAnsi="Calibri"/>
                <w:color w:val="1E162B"/>
                <w:sz w:val="18"/>
              </w:rPr>
              <w:t>Companion quality rating</w:t>
              <w:br/>
              <w:t>(contextual accuracy + safety-appropriateness)</w:t>
            </w:r>
          </w:p>
        </w:tc>
        <w:tc>
          <w:tcPr>
            <w:tcW w:type="dxa" w:w="1505"/>
            <w:shd w:val="clear" w:color="auto" w:fill="F9F5FF"/>
          </w:tcPr>
          <w:p>
            <w:pPr>
              <w:spacing w:before="28" w:after="28" w:line="276" w:lineRule="auto"/>
            </w:pPr>
            <w:r>
              <w:rPr>
                <w:rFonts w:ascii="Calibri" w:hAnsi="Calibri"/>
                <w:color w:val="1E162B"/>
                <w:sz w:val="18"/>
              </w:rPr>
              <w:t>Live Gemini 2.0</w:t>
              <w:br/>
              <w:t>companion functional</w:t>
            </w:r>
          </w:p>
        </w:tc>
        <w:tc>
          <w:tcPr>
            <w:tcW w:type="dxa" w:w="1505"/>
            <w:shd w:val="clear" w:color="auto" w:fill="F9F5FF"/>
          </w:tcPr>
          <w:p>
            <w:pPr>
              <w:spacing w:before="28" w:after="28" w:line="276" w:lineRule="auto"/>
            </w:pPr>
            <w:r>
              <w:rPr>
                <w:rFonts w:ascii="Calibri" w:hAnsi="Calibri"/>
                <w:color w:val="1E162B"/>
                <w:sz w:val="18"/>
              </w:rPr>
              <w:t>≥ 4.0 / 5.0 mean</w:t>
              <w:br/>
              <w:t>(20-judge panel,</w:t>
              <w:br/>
              <w:t>80 scenarios)</w:t>
            </w:r>
          </w:p>
        </w:tc>
        <w:tc>
          <w:tcPr>
            <w:tcW w:type="dxa" w:w="1505"/>
            <w:shd w:val="clear" w:color="auto" w:fill="F9F5FF"/>
          </w:tcPr>
          <w:p>
            <w:pPr>
              <w:spacing w:before="28" w:after="28" w:line="276" w:lineRule="auto"/>
            </w:pPr>
            <w:r>
              <w:rPr>
                <w:rFonts w:ascii="Calibri" w:hAnsi="Calibri"/>
                <w:color w:val="1E162B"/>
                <w:sz w:val="18"/>
              </w:rPr>
              <w:t>≥ 4.4 / 5.0</w:t>
            </w:r>
          </w:p>
        </w:tc>
        <w:tc>
          <w:tcPr>
            <w:tcW w:type="dxa" w:w="1505"/>
            <w:shd w:val="clear" w:color="auto" w:fill="F9F5FF"/>
          </w:tcPr>
          <w:p>
            <w:pPr>
              <w:spacing w:before="28" w:after="28" w:line="276" w:lineRule="auto"/>
            </w:pPr>
            <w:r>
              <w:rPr>
                <w:rFonts w:ascii="Calibri" w:hAnsi="Calibri"/>
                <w:color w:val="1E162B"/>
                <w:sz w:val="18"/>
              </w:rPr>
              <w:t>Human expert panel rating on scenario-specific safety queries</w:t>
            </w:r>
          </w:p>
        </w:tc>
      </w:tr>
    </w:tbl>
    <w:p/>
    <w:p>
      <w:pPr>
        <w:spacing w:before="100" w:after="40" w:line="276" w:lineRule="auto"/>
      </w:pPr>
      <w:r>
        <w:rPr>
          <w:rFonts w:ascii="Calibri" w:hAnsi="Calibri"/>
          <w:b/>
          <w:color w:val="7C3AED"/>
          <w:sz w:val="22"/>
        </w:rPr>
        <w:t>1.6  Stakeholder Mapping &amp; Engagement Plan</w:t>
      </w:r>
    </w:p>
    <w:p>
      <w:pPr>
        <w:spacing w:before="70" w:after="25" w:line="276" w:lineRule="auto"/>
      </w:pPr>
      <w:r>
        <w:rPr>
          <w:rFonts w:ascii="Calibri" w:hAnsi="Calibri"/>
          <w:b/>
          <w:color w:val="1E162B"/>
          <w:sz w:val="21"/>
        </w:rPr>
        <w:t>Primary Beneficiaries (End Users):</w:t>
      </w:r>
    </w:p>
    <w:p>
      <w:pPr>
        <w:pStyle w:val="ListBullet"/>
        <w:spacing w:before="0" w:after="28" w:line="276" w:lineRule="auto"/>
        <w:ind w:left="360"/>
      </w:pPr>
      <w:r>
        <w:rPr>
          <w:rFonts w:ascii="Calibri" w:hAnsi="Calibri"/>
          <w:color w:val="1E162B"/>
          <w:sz w:val="20"/>
        </w:rPr>
        <w:t>Working women commuters: 140 million daily urban transit users in India (MoRTH 2024). SafeHerAI's primary persona: a woman aged 18–38 using ride-hailing, metro, or auto-rickshaw for a 15–45 minute journey.</w:t>
      </w:r>
    </w:p>
    <w:p>
      <w:pPr>
        <w:pStyle w:val="ListBullet"/>
        <w:spacing w:before="0" w:after="28" w:line="276" w:lineRule="auto"/>
        <w:ind w:left="360"/>
      </w:pPr>
      <w:r>
        <w:rPr>
          <w:rFonts w:ascii="Calibri" w:hAnsi="Calibri"/>
          <w:color w:val="1E162B"/>
          <w:sz w:val="20"/>
        </w:rPr>
        <w:t>College students: 43 million women in Indian higher education (UGC 2024) — high tech-literacy, high vulnerability; natural early adopters through campus networks.</w:t>
      </w:r>
    </w:p>
    <w:p>
      <w:pPr>
        <w:spacing w:before="70" w:after="25" w:line="276" w:lineRule="auto"/>
      </w:pPr>
      <w:r>
        <w:rPr>
          <w:rFonts w:ascii="Calibri" w:hAnsi="Calibri"/>
          <w:b/>
          <w:color w:val="1E162B"/>
          <w:sz w:val="21"/>
        </w:rPr>
        <w:t>Commercial Customers (Revenue-Generating):</w:t>
      </w:r>
    </w:p>
    <w:p>
      <w:pPr>
        <w:pStyle w:val="ListBullet"/>
        <w:spacing w:before="0" w:after="28" w:line="276" w:lineRule="auto"/>
        <w:ind w:left="360"/>
      </w:pPr>
      <w:r>
        <w:rPr>
          <w:rFonts w:ascii="Calibri" w:hAnsi="Calibri"/>
          <w:color w:val="1E162B"/>
          <w:sz w:val="20"/>
        </w:rPr>
        <w:t>Universities and residential institutions: Campus safety subscription. This is the first paying customer archetype — explained fully in Section 3.</w:t>
      </w:r>
    </w:p>
    <w:p>
      <w:pPr>
        <w:pStyle w:val="ListBullet"/>
        <w:spacing w:before="0" w:after="28" w:line="276" w:lineRule="auto"/>
        <w:ind w:left="360"/>
      </w:pPr>
      <w:r>
        <w:rPr>
          <w:rFonts w:ascii="Calibri" w:hAnsi="Calibri"/>
          <w:color w:val="1E162B"/>
          <w:sz w:val="20"/>
        </w:rPr>
        <w:t>MSME transport operators: Auto-rickshaw unions, last-mile delivery companies, inter-city bus operators — SafeRide SDK per-trip licensing.</w:t>
      </w:r>
    </w:p>
    <w:p>
      <w:pPr>
        <w:pStyle w:val="ListBullet"/>
        <w:spacing w:before="0" w:after="28" w:line="276" w:lineRule="auto"/>
        <w:ind w:left="360"/>
      </w:pPr>
      <w:r>
        <w:rPr>
          <w:rFonts w:ascii="Calibri" w:hAnsi="Calibri"/>
          <w:color w:val="1E162B"/>
          <w:sz w:val="20"/>
        </w:rPr>
        <w:t>Corporates: Employee mobility safety subscription for women staff working late shifts.</w:t>
      </w:r>
    </w:p>
    <w:p>
      <w:pPr>
        <w:pStyle w:val="ListBullet"/>
        <w:spacing w:before="0" w:after="28" w:line="276" w:lineRule="auto"/>
        <w:ind w:left="360"/>
      </w:pPr>
      <w:r>
        <w:rPr>
          <w:rFonts w:ascii="Calibri" w:hAnsi="Calibri"/>
          <w:color w:val="1E162B"/>
          <w:sz w:val="20"/>
        </w:rPr>
        <w:t>Smart City authorities: Heatmap + alert API license on project basis.</w:t>
      </w:r>
    </w:p>
    <w:p>
      <w:pPr>
        <w:spacing w:before="70" w:after="25" w:line="276" w:lineRule="auto"/>
      </w:pPr>
      <w:r>
        <w:rPr>
          <w:rFonts w:ascii="Calibri" w:hAnsi="Calibri"/>
          <w:b/>
          <w:color w:val="1E162B"/>
          <w:sz w:val="21"/>
        </w:rPr>
        <w:t>Institutional Stakeholders (Enabling, Non-Paying):</w:t>
      </w:r>
    </w:p>
    <w:p>
      <w:pPr>
        <w:pStyle w:val="ListBullet"/>
        <w:spacing w:before="0" w:after="28" w:line="276" w:lineRule="auto"/>
        <w:ind w:left="360"/>
      </w:pPr>
      <w:r>
        <w:rPr>
          <w:rFonts w:ascii="Calibri" w:hAnsi="Calibri"/>
          <w:color w:val="1E162B"/>
          <w:sz w:val="20"/>
        </w:rPr>
        <w:t>Police departments / emergency services: Receive AI-generated FIR drafts and GPS-verified incident coordinates. Value delivered; no payment required.</w:t>
      </w:r>
    </w:p>
    <w:p>
      <w:pPr>
        <w:pStyle w:val="ListBullet"/>
        <w:spacing w:before="0" w:after="28" w:line="276" w:lineRule="auto"/>
        <w:ind w:left="360"/>
      </w:pPr>
      <w:r>
        <w:rPr>
          <w:rFonts w:ascii="Calibri" w:hAnsi="Calibri"/>
          <w:color w:val="1E162B"/>
          <w:sz w:val="20"/>
        </w:rPr>
        <w:t>Google AI: Gemini 2.5 Flash/Pro API — available through Google AI Studio developer tier.</w:t>
      </w:r>
    </w:p>
    <w:p>
      <w:pPr>
        <w:pStyle w:val="ListBullet"/>
        <w:spacing w:before="0" w:after="28" w:line="276" w:lineRule="auto"/>
        <w:ind w:left="360"/>
      </w:pPr>
      <w:r>
        <w:rPr>
          <w:rFonts w:ascii="Calibri" w:hAnsi="Calibri"/>
          <w:color w:val="1E162B"/>
          <w:sz w:val="20"/>
        </w:rPr>
        <w:t>OLA Maps: India-native routing and geocoding — available through developer portal.</w:t>
      </w:r>
    </w:p>
    <w:p>
      <w:pPr>
        <w:spacing w:before="70" w:after="25" w:line="276" w:lineRule="auto"/>
      </w:pPr>
      <w:r>
        <w:rPr>
          <w:rFonts w:ascii="Calibri" w:hAnsi="Calibri"/>
          <w:b/>
          <w:color w:val="1E162B"/>
          <w:sz w:val="21"/>
        </w:rPr>
        <w:t>External Dependencies:</w:t>
      </w:r>
    </w:p>
    <w:p>
      <w:pPr>
        <w:pStyle w:val="ListBullet"/>
        <w:spacing w:before="0" w:after="28" w:line="276" w:lineRule="auto"/>
        <w:ind w:left="360"/>
      </w:pPr>
      <w:r>
        <w:rPr>
          <w:rFonts w:ascii="Calibri" w:hAnsi="Calibri"/>
          <w:color w:val="1E162B"/>
          <w:sz w:val="20"/>
        </w:rPr>
        <w:t>NCRB 2024 data: Publicly available at ncrb.gov.in. No data-sharing agreement required.</w:t>
      </w:r>
    </w:p>
    <w:p>
      <w:pPr>
        <w:pStyle w:val="ListBullet"/>
        <w:spacing w:before="0" w:after="28" w:line="276" w:lineRule="auto"/>
        <w:ind w:left="360"/>
      </w:pPr>
      <w:r>
        <w:rPr>
          <w:rFonts w:ascii="Calibri" w:hAnsi="Calibri"/>
          <w:color w:val="1E162B"/>
          <w:sz w:val="20"/>
        </w:rPr>
        <w:t>OSM Overpass API: Open access. Used for street lighting and CCTV node density.</w:t>
      </w:r>
    </w:p>
    <w:p>
      <w:pPr>
        <w:pStyle w:val="ListBullet"/>
        <w:spacing w:before="0" w:after="28" w:line="276" w:lineRule="auto"/>
        <w:ind w:left="360"/>
      </w:pPr>
      <w:r>
        <w:rPr>
          <w:rFonts w:ascii="Calibri" w:hAnsi="Calibri"/>
          <w:color w:val="1E162B"/>
          <w:sz w:val="20"/>
        </w:rPr>
        <w:t>SafeCity API: Open registration. Used for community incident seeding.</w:t>
      </w:r>
    </w:p>
    <w:tbl>
      <w:tblPr>
        <w:tblStyle w:val="TableGrid"/>
        <w:tblW w:type="auto" w:w="0"/>
        <w:jc w:val="left"/>
        <w:tblLook w:firstColumn="1" w:firstRow="1" w:lastColumn="0" w:lastRow="0" w:noHBand="0" w:noVBand="1" w:val="04A0"/>
      </w:tblPr>
      <w:tblGrid>
        <w:gridCol w:w="9029"/>
      </w:tblGrid>
      <w:tr>
        <w:tc>
          <w:tcPr>
            <w:tcW w:type="dxa" w:w="9029"/>
            <w:shd w:val="clear" w:color="auto" w:fill="F3EEFF"/>
          </w:tcPr>
          <w:p>
            <w:pPr>
              <w:spacing w:before="40" w:after="40" w:line="276" w:lineRule="auto"/>
            </w:pPr>
            <w:r>
              <w:rPr>
                <w:rFonts w:ascii="Calibri" w:hAnsi="Calibri"/>
                <w:b/>
                <w:color w:val="7C3AED"/>
                <w:sz w:val="19"/>
              </w:rPr>
              <w:t xml:space="preserve">  ▶  Dependency Risk Note  </w:t>
            </w:r>
            <w:r>
              <w:rPr>
                <w:rFonts w:ascii="Calibri" w:hAnsi="Calibri"/>
                <w:color w:val="1E162B"/>
                <w:sz w:val="19"/>
              </w:rPr>
              <w:t>No third-party proprietary data licences, government approvals, or hardware partnerships are required to execute the 90-day pilot. All dependencies are either publicly available data, open APIs, or free-tier cloud services accessible with a developer account.</w:t>
            </w:r>
          </w:p>
        </w:tc>
      </w:tr>
    </w:tbl>
    <w:p/>
    <w:p>
      <w:r>
        <w:br w:type="page"/>
      </w:r>
    </w:p>
    <w:p>
      <w:pPr>
        <w:spacing w:before="180" w:after="80" w:line="276" w:lineRule="auto"/>
        <w:pBdr>
          <w:left w:val="single" w:sz="24" w:space="4" w:color="E11D74"/>
        </w:pBdr>
      </w:pPr>
      <w:r>
        <w:rPr>
          <w:rFonts w:ascii="Calibri" w:hAnsi="Calibri"/>
          <w:b/>
          <w:color w:val="E11D74"/>
          <w:sz w:val="27"/>
        </w:rPr>
        <w:t>2.  Technical Architecture &amp; Implementation Plan</w:t>
      </w:r>
    </w:p>
    <w:p>
      <w:pPr>
        <w:spacing w:before="100" w:after="40" w:line="276" w:lineRule="auto"/>
      </w:pPr>
      <w:r>
        <w:rPr>
          <w:rFonts w:ascii="Calibri" w:hAnsi="Calibri"/>
          <w:b/>
          <w:color w:val="7C3AED"/>
          <w:sz w:val="22"/>
        </w:rPr>
        <w:t>2.1  Architecture Design Principles</w:t>
      </w:r>
    </w:p>
    <w:p>
      <w:pPr>
        <w:spacing w:before="0" w:after="50" w:line="276" w:lineRule="auto"/>
      </w:pPr>
      <w:r>
        <w:rPr>
          <w:rFonts w:ascii="Calibri" w:hAnsi="Calibri"/>
          <w:color w:val="1E162B"/>
          <w:sz w:val="20"/>
        </w:rPr>
        <w:t>SafeHerAI's architecture is governed by three design principles that directly address the feasibility concerns a judge will raise:</w:t>
      </w:r>
    </w:p>
    <w:p>
      <w:pPr>
        <w:pStyle w:val="ListBullet"/>
        <w:spacing w:before="0" w:after="28" w:line="276" w:lineRule="auto"/>
        <w:ind w:left="360"/>
      </w:pPr>
      <w:r>
        <w:rPr>
          <w:rFonts w:ascii="Calibri" w:hAnsi="Calibri"/>
          <w:color w:val="1E162B"/>
          <w:sz w:val="20"/>
        </w:rPr>
        <w:t>Incremental deployability: Every track is independently functional. A university could deploy Track 1 (Safety Map) alone as a campus route safety tool without requiring Tracks 2–5. This is intentional — it makes the first paid deployment achievable in a single sprint.</w:t>
      </w:r>
    </w:p>
    <w:p>
      <w:pPr>
        <w:pStyle w:val="ListBullet"/>
        <w:spacing w:before="0" w:after="28" w:line="276" w:lineRule="auto"/>
        <w:ind w:left="360"/>
      </w:pPr>
      <w:r>
        <w:rPr>
          <w:rFonts w:ascii="Calibri" w:hAnsi="Calibri"/>
          <w:color w:val="1E162B"/>
          <w:sz w:val="20"/>
        </w:rPr>
        <w:t>No single point of failure: If the Gemini API is unreachable, the companion falls back to scripted safety guidance. If PostGIS is unavailable, the heatmap returns Redis-cached data. The LangGraph agent graph is the only non-redundant component and is deployed with container restart policies.</w:t>
      </w:r>
    </w:p>
    <w:p>
      <w:pPr>
        <w:pStyle w:val="ListBullet"/>
        <w:spacing w:before="0" w:after="28" w:line="276" w:lineRule="auto"/>
        <w:ind w:left="360"/>
      </w:pPr>
      <w:r>
        <w:rPr>
          <w:rFonts w:ascii="Calibri" w:hAnsi="Calibri"/>
          <w:color w:val="1E162B"/>
          <w:sz w:val="20"/>
        </w:rPr>
        <w:t>Data independence: The POC requires no live data streams, no proprietary sensor hardware, and no government API access. All pilot-phase inputs are synthetic or open-source.</w:t>
      </w:r>
    </w:p>
    <w:p>
      <w:pPr>
        <w:spacing w:before="100" w:after="40" w:line="276" w:lineRule="auto"/>
      </w:pPr>
      <w:r>
        <w:rPr>
          <w:rFonts w:ascii="Calibri" w:hAnsi="Calibri"/>
          <w:b/>
          <w:color w:val="7C3AED"/>
          <w:sz w:val="22"/>
        </w:rPr>
        <w:t>2.2  System Architecture</w:t>
      </w:r>
    </w:p>
    <w:p>
      <w:pPr>
        <w:spacing w:before="0" w:after="50" w:line="276" w:lineRule="auto"/>
      </w:pPr>
      <w:r>
        <w:rPr>
          <w:rFonts w:ascii="Calibri" w:hAnsi="Calibri"/>
          <w:color w:val="1E162B"/>
          <w:sz w:val="20"/>
        </w:rPr>
        <w:t>The system is a three-tier event-driven architecture: a cross-platform client layer (Flutter mobile + Next.js dashboard), an intelligence backend (FastAPI + LangGraph), and a spatial data layer (PostGIS + Redis). The AI Safety Brain is not a monolith — it is a LangGraph directed graph of 17 agent nodes, each responsible for a specific intelligence function, communicating through a shared Redis-backed journey state.</w:t>
      </w:r>
    </w:p>
    <w:p>
      <w:pPr>
        <w:spacing w:before="70" w:after="25" w:line="276" w:lineRule="auto"/>
      </w:pPr>
      <w:r>
        <w:rPr>
          <w:rFonts w:ascii="Calibri" w:hAnsi="Calibri"/>
          <w:b/>
          <w:color w:val="1E162B"/>
          <w:sz w:val="21"/>
        </w:rPr>
        <w:t>Architecture Flow (Journey Start → Journey End):</w:t>
      </w:r>
    </w:p>
    <w:p>
      <w:pPr>
        <w:pStyle w:val="ListBullet"/>
        <w:spacing w:before="0" w:after="28" w:line="276" w:lineRule="auto"/>
        <w:ind w:left="360"/>
      </w:pPr>
      <w:r>
        <w:rPr>
          <w:rFonts w:ascii="Calibri" w:hAnsi="Calibri"/>
          <w:color w:val="1E162B"/>
          <w:sz w:val="20"/>
        </w:rPr>
        <w:t>Journey Initiated: User opens Flutter app; planned route fetched from OLA Maps; route polyline stored in Redis as Journey Twin baseline.</w:t>
      </w:r>
    </w:p>
    <w:p>
      <w:pPr>
        <w:pStyle w:val="ListBullet"/>
        <w:spacing w:before="0" w:after="28" w:line="276" w:lineRule="auto"/>
        <w:ind w:left="360"/>
      </w:pPr>
      <w:r>
        <w:rPr>
          <w:rFonts w:ascii="Calibri" w:hAnsi="Calibri"/>
          <w:color w:val="1E162B"/>
          <w:sz w:val="20"/>
        </w:rPr>
        <w:t>Continuous Monitoring: Flutter streams GPS every 3 seconds via WebSocket. LangGraph nodes process each ping: GPS_INGESTION → TRAJECTORY_VALIDATOR → ANOMALY_SCORER.</w:t>
      </w:r>
    </w:p>
    <w:p>
      <w:pPr>
        <w:pStyle w:val="ListBullet"/>
        <w:spacing w:before="0" w:after="28" w:line="276" w:lineRule="auto"/>
        <w:ind w:left="360"/>
      </w:pPr>
      <w:r>
        <w:rPr>
          <w:rFonts w:ascii="Calibri" w:hAnsi="Calibri"/>
          <w:color w:val="1E162B"/>
          <w:sz w:val="20"/>
        </w:rPr>
        <w:t>Parallel Context Enrichment: Every 60 seconds, PostGIS queries community reports within 500m; H3 cell risk score loaded from materialised view; context injected into AI companion.</w:t>
      </w:r>
    </w:p>
    <w:p>
      <w:pPr>
        <w:pStyle w:val="ListBullet"/>
        <w:spacing w:before="0" w:after="28" w:line="276" w:lineRule="auto"/>
        <w:ind w:left="360"/>
      </w:pPr>
      <w:r>
        <w:rPr>
          <w:rFonts w:ascii="Calibri" w:hAnsi="Calibri"/>
          <w:color w:val="1E162B"/>
          <w:sz w:val="20"/>
        </w:rPr>
        <w:t>Escalation: Anomaly score &gt; 0.6 → THREAT_CONFIRMED node → GUARDIAN_ALERT (FCM push) + POLICE_DISPATCH (mock webhook) in parallel.</w:t>
      </w:r>
    </w:p>
    <w:p>
      <w:pPr>
        <w:pStyle w:val="ListBullet"/>
        <w:spacing w:before="0" w:after="28" w:line="276" w:lineRule="auto"/>
        <w:ind w:left="360"/>
      </w:pPr>
      <w:r>
        <w:rPr>
          <w:rFonts w:ascii="Calibri" w:hAnsi="Calibri"/>
          <w:color w:val="1E162B"/>
          <w:sz w:val="20"/>
        </w:rPr>
        <w:t>Journey End: Companion offers FIR draft generation if any distress was logged during journey.</w:t>
      </w:r>
    </w:p>
    <w:p>
      <w:pPr>
        <w:spacing w:before="100" w:after="40" w:line="276" w:lineRule="auto"/>
      </w:pPr>
      <w:r>
        <w:rPr>
          <w:rFonts w:ascii="Calibri" w:hAnsi="Calibri"/>
          <w:b/>
          <w:color w:val="7C3AED"/>
          <w:sz w:val="22"/>
        </w:rPr>
        <w:t>2.3  Track-by-Track Technical Design</w:t>
      </w:r>
    </w:p>
    <w:p>
      <w:pPr>
        <w:spacing w:before="70" w:after="25" w:line="276" w:lineRule="auto"/>
      </w:pPr>
      <w:r>
        <w:rPr>
          <w:rFonts w:ascii="Calibri" w:hAnsi="Calibri"/>
          <w:b/>
          <w:color w:val="1E162B"/>
          <w:sz w:val="21"/>
        </w:rPr>
        <w:t>Track 1 — AI Safety Map &amp; Counterfactual Routing (Primary Prototype)</w:t>
      </w:r>
    </w:p>
    <w:p>
      <w:pPr>
        <w:spacing w:before="0" w:after="50" w:line="276" w:lineRule="auto"/>
      </w:pPr>
      <w:r>
        <w:rPr>
          <w:rFonts w:ascii="Calibri" w:hAnsi="Calibri"/>
          <w:color w:val="1E162B"/>
          <w:sz w:val="20"/>
        </w:rPr>
        <w:t>This is SafeHerAI's most demonstrable and commercially deployable track. It is the foundation of the B2B campus safety subscription product.</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36" w:after="36" w:line="276" w:lineRule="auto"/>
            </w:pPr>
            <w:r>
              <w:rPr>
                <w:rFonts w:ascii="Calibri" w:hAnsi="Calibri"/>
                <w:b/>
                <w:color w:val="FFFFFF"/>
                <w:sz w:val="18"/>
              </w:rPr>
              <w:t>Component</w:t>
            </w:r>
          </w:p>
        </w:tc>
        <w:tc>
          <w:tcPr>
            <w:tcW w:type="dxa" w:w="3010"/>
            <w:shd w:val="clear" w:color="auto" w:fill="1E162B"/>
          </w:tcPr>
          <w:p>
            <w:pPr>
              <w:spacing w:before="36" w:after="36" w:line="276" w:lineRule="auto"/>
            </w:pPr>
            <w:r>
              <w:rPr>
                <w:rFonts w:ascii="Calibri" w:hAnsi="Calibri"/>
                <w:b/>
                <w:color w:val="FFFFFF"/>
                <w:sz w:val="18"/>
              </w:rPr>
              <w:t>Design Decision</w:t>
            </w:r>
          </w:p>
        </w:tc>
        <w:tc>
          <w:tcPr>
            <w:tcW w:type="dxa" w:w="3010"/>
            <w:shd w:val="clear" w:color="auto" w:fill="1E162B"/>
          </w:tcPr>
          <w:p>
            <w:pPr>
              <w:spacing w:before="36" w:after="36" w:line="276" w:lineRule="auto"/>
            </w:pPr>
            <w:r>
              <w:rPr>
                <w:rFonts w:ascii="Calibri" w:hAnsi="Calibri"/>
                <w:b/>
                <w:color w:val="FFFFFF"/>
                <w:sz w:val="18"/>
              </w:rPr>
              <w:t>Justification</w:t>
            </w:r>
          </w:p>
        </w:tc>
      </w:tr>
      <w:tr>
        <w:tc>
          <w:tcPr>
            <w:tcW w:type="dxa" w:w="3010"/>
            <w:shd w:val="clear" w:color="auto" w:fill="F9F5FF"/>
          </w:tcPr>
          <w:p>
            <w:pPr>
              <w:spacing w:before="28" w:after="28" w:line="276" w:lineRule="auto"/>
            </w:pPr>
            <w:r>
              <w:rPr>
                <w:rFonts w:ascii="Calibri" w:hAnsi="Calibri"/>
                <w:color w:val="1E162B"/>
                <w:sz w:val="18"/>
              </w:rPr>
              <w:t>Spatial indexing</w:t>
            </w:r>
          </w:p>
        </w:tc>
        <w:tc>
          <w:tcPr>
            <w:tcW w:type="dxa" w:w="3010"/>
            <w:shd w:val="clear" w:color="auto" w:fill="F9F5FF"/>
          </w:tcPr>
          <w:p>
            <w:pPr>
              <w:spacing w:before="28" w:after="28" w:line="276" w:lineRule="auto"/>
            </w:pPr>
            <w:r>
              <w:rPr>
                <w:rFonts w:ascii="Calibri" w:hAnsi="Calibri"/>
                <w:color w:val="1E162B"/>
                <w:sz w:val="18"/>
              </w:rPr>
              <w:t>Uber H3 hex grid, Resolution 9 (174m cells), Hyderabad coverage</w:t>
            </w:r>
          </w:p>
        </w:tc>
        <w:tc>
          <w:tcPr>
            <w:tcW w:type="dxa" w:w="3010"/>
            <w:shd w:val="clear" w:color="auto" w:fill="F9F5FF"/>
          </w:tcPr>
          <w:p>
            <w:pPr>
              <w:spacing w:before="28" w:after="28" w:line="276" w:lineRule="auto"/>
            </w:pPr>
            <w:r>
              <w:rPr>
                <w:rFonts w:ascii="Calibri" w:hAnsi="Calibri"/>
                <w:color w:val="1E162B"/>
                <w:sz w:val="18"/>
              </w:rPr>
              <w:t>Uniform cell area enables consistent risk aggregation; H3 is the industry standard for spatial analytics (Uber, Didi)</w:t>
            </w:r>
          </w:p>
        </w:tc>
      </w:tr>
      <w:tr>
        <w:tc>
          <w:tcPr>
            <w:tcW w:type="dxa" w:w="3010"/>
            <w:shd w:val="clear" w:color="auto" w:fill="FFFFFF"/>
          </w:tcPr>
          <w:p>
            <w:pPr>
              <w:spacing w:before="28" w:after="28" w:line="276" w:lineRule="auto"/>
            </w:pPr>
            <w:r>
              <w:rPr>
                <w:rFonts w:ascii="Calibri" w:hAnsi="Calibri"/>
                <w:color w:val="1E162B"/>
                <w:sz w:val="18"/>
              </w:rPr>
              <w:t>Risk model</w:t>
            </w:r>
          </w:p>
        </w:tc>
        <w:tc>
          <w:tcPr>
            <w:tcW w:type="dxa" w:w="3010"/>
            <w:shd w:val="clear" w:color="auto" w:fill="FFFFFF"/>
          </w:tcPr>
          <w:p>
            <w:pPr>
              <w:spacing w:before="28" w:after="28" w:line="276" w:lineRule="auto"/>
            </w:pPr>
            <w:r>
              <w:rPr>
                <w:rFonts w:ascii="Calibri" w:hAnsi="Calibri"/>
                <w:color w:val="1E162B"/>
                <w:sz w:val="18"/>
              </w:rPr>
              <w:t>XGBoost 2.0 on 4 tabular feature categories:</w:t>
              <w:br/>
              <w:t>(1) NCRB crime density</w:t>
              <w:br/>
              <w:t>(2) OSM lighting score</w:t>
              <w:br/>
              <w:t>(3) CCTV node density</w:t>
              <w:br/>
              <w:t>(4) Community report rolling 24h count</w:t>
            </w:r>
          </w:p>
        </w:tc>
        <w:tc>
          <w:tcPr>
            <w:tcW w:type="dxa" w:w="3010"/>
            <w:shd w:val="clear" w:color="auto" w:fill="FFFFFF"/>
          </w:tcPr>
          <w:p>
            <w:pPr>
              <w:spacing w:before="28" w:after="28" w:line="276" w:lineRule="auto"/>
            </w:pPr>
            <w:r>
              <w:rPr>
                <w:rFonts w:ascii="Calibri" w:hAnsi="Calibri"/>
                <w:color w:val="1E162B"/>
                <w:sz w:val="18"/>
              </w:rPr>
              <w:t>Tabular + tree ensemble: no deep learning dependency; SHAP-native for counterfactual explanation; trains in &lt; 2 minutes on available data</w:t>
            </w:r>
          </w:p>
        </w:tc>
      </w:tr>
      <w:tr>
        <w:tc>
          <w:tcPr>
            <w:tcW w:type="dxa" w:w="3010"/>
            <w:shd w:val="clear" w:color="auto" w:fill="F9F5FF"/>
          </w:tcPr>
          <w:p>
            <w:pPr>
              <w:spacing w:before="28" w:after="28" w:line="276" w:lineRule="auto"/>
            </w:pPr>
            <w:r>
              <w:rPr>
                <w:rFonts w:ascii="Calibri" w:hAnsi="Calibri"/>
                <w:color w:val="1E162B"/>
                <w:sz w:val="18"/>
              </w:rPr>
              <w:t>Routing</w:t>
            </w:r>
          </w:p>
        </w:tc>
        <w:tc>
          <w:tcPr>
            <w:tcW w:type="dxa" w:w="3010"/>
            <w:shd w:val="clear" w:color="auto" w:fill="F9F5FF"/>
          </w:tcPr>
          <w:p>
            <w:pPr>
              <w:spacing w:before="28" w:after="28" w:line="276" w:lineRule="auto"/>
            </w:pPr>
            <w:r>
              <w:rPr>
                <w:rFonts w:ascii="Calibri" w:hAnsi="Calibri"/>
                <w:color w:val="1E162B"/>
                <w:sz w:val="18"/>
              </w:rPr>
              <w:t>OLA Maps Directions API → 3 candidate routes per request</w:t>
            </w:r>
          </w:p>
        </w:tc>
        <w:tc>
          <w:tcPr>
            <w:tcW w:type="dxa" w:w="3010"/>
            <w:shd w:val="clear" w:color="auto" w:fill="F9F5FF"/>
          </w:tcPr>
          <w:p>
            <w:pPr>
              <w:spacing w:before="28" w:after="28" w:line="276" w:lineRule="auto"/>
            </w:pPr>
            <w:r>
              <w:rPr>
                <w:rFonts w:ascii="Calibri" w:hAnsi="Calibri"/>
                <w:color w:val="1E162B"/>
                <w:sz w:val="18"/>
              </w:rPr>
              <w:t>India-native road topology; India data residency compliance</w:t>
            </w:r>
          </w:p>
        </w:tc>
      </w:tr>
      <w:tr>
        <w:tc>
          <w:tcPr>
            <w:tcW w:type="dxa" w:w="3010"/>
            <w:shd w:val="clear" w:color="auto" w:fill="FFFFFF"/>
          </w:tcPr>
          <w:p>
            <w:pPr>
              <w:spacing w:before="28" w:after="28" w:line="276" w:lineRule="auto"/>
            </w:pPr>
            <w:r>
              <w:rPr>
                <w:rFonts w:ascii="Calibri" w:hAnsi="Calibri"/>
                <w:color w:val="1E162B"/>
                <w:sz w:val="18"/>
              </w:rPr>
              <w:t>Counterfactual engine</w:t>
            </w:r>
          </w:p>
        </w:tc>
        <w:tc>
          <w:tcPr>
            <w:tcW w:type="dxa" w:w="3010"/>
            <w:shd w:val="clear" w:color="auto" w:fill="FFFFFF"/>
          </w:tcPr>
          <w:p>
            <w:pPr>
              <w:spacing w:before="28" w:after="28" w:line="276" w:lineRule="auto"/>
            </w:pPr>
            <w:r>
              <w:rPr>
                <w:rFonts w:ascii="Calibri" w:hAnsi="Calibri"/>
                <w:color w:val="1E162B"/>
                <w:sz w:val="18"/>
              </w:rPr>
              <w:t>SHAP TreeExplainer → top-3 risk drivers per route → Gemini 2.5 Flash 2-sentence narrative</w:t>
            </w:r>
          </w:p>
        </w:tc>
        <w:tc>
          <w:tcPr>
            <w:tcW w:type="dxa" w:w="3010"/>
            <w:shd w:val="clear" w:color="auto" w:fill="FFFFFF"/>
          </w:tcPr>
          <w:p>
            <w:pPr>
              <w:spacing w:before="28" w:after="28" w:line="276" w:lineRule="auto"/>
            </w:pPr>
            <w:r>
              <w:rPr>
                <w:rFonts w:ascii="Calibri" w:hAnsi="Calibri"/>
                <w:color w:val="1E162B"/>
                <w:sz w:val="18"/>
              </w:rPr>
              <w:t>SHAP ensures factual explainability; Gemini translates to human language. User understands *why* Route A is safer, not just *that* it is.</w:t>
            </w:r>
          </w:p>
        </w:tc>
      </w:tr>
      <w:tr>
        <w:tc>
          <w:tcPr>
            <w:tcW w:type="dxa" w:w="3010"/>
            <w:shd w:val="clear" w:color="auto" w:fill="F9F5FF"/>
          </w:tcPr>
          <w:p>
            <w:pPr>
              <w:spacing w:before="28" w:after="28" w:line="276" w:lineRule="auto"/>
            </w:pPr>
            <w:r>
              <w:rPr>
                <w:rFonts w:ascii="Calibri" w:hAnsi="Calibri"/>
                <w:color w:val="1E162B"/>
                <w:sz w:val="18"/>
              </w:rPr>
              <w:t>Heatmap rendering</w:t>
            </w:r>
          </w:p>
        </w:tc>
        <w:tc>
          <w:tcPr>
            <w:tcW w:type="dxa" w:w="3010"/>
            <w:shd w:val="clear" w:color="auto" w:fill="F9F5FF"/>
          </w:tcPr>
          <w:p>
            <w:pPr>
              <w:spacing w:before="28" w:after="28" w:line="276" w:lineRule="auto"/>
            </w:pPr>
            <w:r>
              <w:rPr>
                <w:rFonts w:ascii="Calibri" w:hAnsi="Calibri"/>
                <w:color w:val="1E162B"/>
                <w:sz w:val="18"/>
              </w:rPr>
              <w:t>deck.gl HeatmapLayer (WebGL, GPU-accelerated) on Next.js dashboard</w:t>
            </w:r>
          </w:p>
        </w:tc>
        <w:tc>
          <w:tcPr>
            <w:tcW w:type="dxa" w:w="3010"/>
            <w:shd w:val="clear" w:color="auto" w:fill="F9F5FF"/>
          </w:tcPr>
          <w:p>
            <w:pPr>
              <w:spacing w:before="28" w:after="28" w:line="276" w:lineRule="auto"/>
            </w:pPr>
            <w:r>
              <w:rPr>
                <w:rFonts w:ascii="Calibri" w:hAnsi="Calibri"/>
                <w:color w:val="1E162B"/>
                <w:sz w:val="18"/>
              </w:rPr>
              <w:t>Google deprecated HeatmapLayer in Maps JS API 2025; deck.gl handles 100K+ hex cells at 60fps</w:t>
            </w:r>
          </w:p>
        </w:tc>
      </w:tr>
    </w:tbl>
    <w:p/>
    <w:p>
      <w:pPr>
        <w:spacing w:before="70" w:after="25" w:line="276" w:lineRule="auto"/>
      </w:pPr>
      <w:r>
        <w:rPr>
          <w:rFonts w:ascii="Calibri" w:hAnsi="Calibri"/>
          <w:b/>
          <w:color w:val="1E162B"/>
          <w:sz w:val="21"/>
        </w:rPr>
        <w:t>Track 2 — Journey Digital Twin &amp; Deviation Detection (Primary Prototype)</w:t>
      </w:r>
    </w:p>
    <w:p>
      <w:pPr>
        <w:spacing w:before="0" w:after="50" w:line="276" w:lineRule="auto"/>
      </w:pPr>
      <w:r>
        <w:rPr>
          <w:rFonts w:ascii="Calibri" w:hAnsi="Calibri"/>
          <w:color w:val="1E162B"/>
          <w:sz w:val="20"/>
        </w:rPr>
        <w:t>The Journey Digital Twin is SafeHerAI's most technically novel contribution. No existing women's safety app maintains a server-side, continuously updated simulation of a ride in progress.</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36" w:after="36" w:line="276" w:lineRule="auto"/>
            </w:pPr>
            <w:r>
              <w:rPr>
                <w:rFonts w:ascii="Calibri" w:hAnsi="Calibri"/>
                <w:b/>
                <w:color w:val="FFFFFF"/>
                <w:sz w:val="18"/>
              </w:rPr>
              <w:t>Component</w:t>
            </w:r>
          </w:p>
        </w:tc>
        <w:tc>
          <w:tcPr>
            <w:tcW w:type="dxa" w:w="3010"/>
            <w:shd w:val="clear" w:color="auto" w:fill="1E162B"/>
          </w:tcPr>
          <w:p>
            <w:pPr>
              <w:spacing w:before="36" w:after="36" w:line="276" w:lineRule="auto"/>
            </w:pPr>
            <w:r>
              <w:rPr>
                <w:rFonts w:ascii="Calibri" w:hAnsi="Calibri"/>
                <w:b/>
                <w:color w:val="FFFFFF"/>
                <w:sz w:val="18"/>
              </w:rPr>
              <w:t>Design Decision</w:t>
            </w:r>
          </w:p>
        </w:tc>
        <w:tc>
          <w:tcPr>
            <w:tcW w:type="dxa" w:w="3010"/>
            <w:shd w:val="clear" w:color="auto" w:fill="1E162B"/>
          </w:tcPr>
          <w:p>
            <w:pPr>
              <w:spacing w:before="36" w:after="36" w:line="276" w:lineRule="auto"/>
            </w:pPr>
            <w:r>
              <w:rPr>
                <w:rFonts w:ascii="Calibri" w:hAnsi="Calibri"/>
                <w:b/>
                <w:color w:val="FFFFFF"/>
                <w:sz w:val="18"/>
              </w:rPr>
              <w:t>Justification</w:t>
            </w:r>
          </w:p>
        </w:tc>
      </w:tr>
      <w:tr>
        <w:tc>
          <w:tcPr>
            <w:tcW w:type="dxa" w:w="3010"/>
            <w:shd w:val="clear" w:color="auto" w:fill="F9F5FF"/>
          </w:tcPr>
          <w:p>
            <w:pPr>
              <w:spacing w:before="28" w:after="28" w:line="276" w:lineRule="auto"/>
            </w:pPr>
            <w:r>
              <w:rPr>
                <w:rFonts w:ascii="Calibri" w:hAnsi="Calibri"/>
                <w:color w:val="1E162B"/>
                <w:sz w:val="18"/>
              </w:rPr>
              <w:t>Journey state</w:t>
            </w:r>
          </w:p>
        </w:tc>
        <w:tc>
          <w:tcPr>
            <w:tcW w:type="dxa" w:w="3010"/>
            <w:shd w:val="clear" w:color="auto" w:fill="F9F5FF"/>
          </w:tcPr>
          <w:p>
            <w:pPr>
              <w:spacing w:before="28" w:after="28" w:line="276" w:lineRule="auto"/>
            </w:pPr>
            <w:r>
              <w:rPr>
                <w:rFonts w:ascii="Calibri" w:hAnsi="Calibri"/>
                <w:color w:val="1E162B"/>
                <w:sz w:val="18"/>
              </w:rPr>
              <w:t>Redis Hash per session_id; stores planned route polyline, expected waypoints, timing</w:t>
            </w:r>
          </w:p>
        </w:tc>
        <w:tc>
          <w:tcPr>
            <w:tcW w:type="dxa" w:w="3010"/>
            <w:shd w:val="clear" w:color="auto" w:fill="F9F5FF"/>
          </w:tcPr>
          <w:p>
            <w:pPr>
              <w:spacing w:before="28" w:after="28" w:line="276" w:lineRule="auto"/>
            </w:pPr>
            <w:r>
              <w:rPr>
                <w:rFonts w:ascii="Calibri" w:hAnsi="Calibri"/>
                <w:color w:val="1E162B"/>
                <w:sz w:val="18"/>
              </w:rPr>
              <w:t>Sub-millisecond read latency; session isolation; automatic TTL expiry</w:t>
            </w:r>
          </w:p>
        </w:tc>
      </w:tr>
      <w:tr>
        <w:tc>
          <w:tcPr>
            <w:tcW w:type="dxa" w:w="3010"/>
            <w:shd w:val="clear" w:color="auto" w:fill="FFFFFF"/>
          </w:tcPr>
          <w:p>
            <w:pPr>
              <w:spacing w:before="28" w:after="28" w:line="276" w:lineRule="auto"/>
            </w:pPr>
            <w:r>
              <w:rPr>
                <w:rFonts w:ascii="Calibri" w:hAnsi="Calibri"/>
                <w:color w:val="1E162B"/>
                <w:sz w:val="18"/>
              </w:rPr>
              <w:t>Anomaly detector</w:t>
            </w:r>
          </w:p>
        </w:tc>
        <w:tc>
          <w:tcPr>
            <w:tcW w:type="dxa" w:w="3010"/>
            <w:shd w:val="clear" w:color="auto" w:fill="FFFFFF"/>
          </w:tcPr>
          <w:p>
            <w:pPr>
              <w:spacing w:before="28" w:after="28" w:line="276" w:lineRule="auto"/>
            </w:pPr>
            <w:r>
              <w:rPr>
                <w:rFonts w:ascii="Calibri" w:hAnsi="Calibri"/>
                <w:color w:val="1E162B"/>
                <w:sz w:val="18"/>
              </w:rPr>
              <w:t>Isolation Forest on 5 engineered GPS features:</w:t>
              <w:br/>
              <w:t>(1) dist_from_route_m (haversine)</w:t>
              <w:br/>
              <w:t>(2) speed_delta_kmh</w:t>
              <w:br/>
              <w:t>(3) heading_change_deg</w:t>
              <w:br/>
              <w:t>(4) stop_duration_s</w:t>
              <w:br/>
              <w:t>(5) safe_POIs_in_200m</w:t>
            </w:r>
          </w:p>
        </w:tc>
        <w:tc>
          <w:tcPr>
            <w:tcW w:type="dxa" w:w="3010"/>
            <w:shd w:val="clear" w:color="auto" w:fill="FFFFFF"/>
          </w:tcPr>
          <w:p>
            <w:pPr>
              <w:spacing w:before="28" w:after="28" w:line="276" w:lineRule="auto"/>
            </w:pPr>
            <w:r>
              <w:rPr>
                <w:rFonts w:ascii="Calibri" w:hAnsi="Calibri"/>
                <w:color w:val="1E162B"/>
                <w:sz w:val="18"/>
              </w:rPr>
              <w:t>Unsupervised — requires no labelled 'anomalous ride' training data. Fast (&lt; 5ms inference per ping). Works from day 1 without historical data.</w:t>
            </w:r>
          </w:p>
        </w:tc>
      </w:tr>
      <w:tr>
        <w:tc>
          <w:tcPr>
            <w:tcW w:type="dxa" w:w="3010"/>
            <w:shd w:val="clear" w:color="auto" w:fill="F9F5FF"/>
          </w:tcPr>
          <w:p>
            <w:pPr>
              <w:spacing w:before="28" w:after="28" w:line="276" w:lineRule="auto"/>
            </w:pPr>
            <w:r>
              <w:rPr>
                <w:rFonts w:ascii="Calibri" w:hAnsi="Calibri"/>
                <w:color w:val="1E162B"/>
                <w:sz w:val="18"/>
              </w:rPr>
              <w:t>Confirmation layer</w:t>
            </w:r>
          </w:p>
        </w:tc>
        <w:tc>
          <w:tcPr>
            <w:tcW w:type="dxa" w:w="3010"/>
            <w:shd w:val="clear" w:color="auto" w:fill="F9F5FF"/>
          </w:tcPr>
          <w:p>
            <w:pPr>
              <w:spacing w:before="28" w:after="28" w:line="276" w:lineRule="auto"/>
            </w:pPr>
            <w:r>
              <w:rPr>
                <w:rFonts w:ascii="Calibri" w:hAnsi="Calibri"/>
                <w:color w:val="1E162B"/>
                <w:sz w:val="18"/>
              </w:rPr>
              <w:t>DTW (Dynamic Time Warping) on last 30-point GPS window vs. planned trajectory</w:t>
            </w:r>
          </w:p>
        </w:tc>
        <w:tc>
          <w:tcPr>
            <w:tcW w:type="dxa" w:w="3010"/>
            <w:shd w:val="clear" w:color="auto" w:fill="F9F5FF"/>
          </w:tcPr>
          <w:p>
            <w:pPr>
              <w:spacing w:before="28" w:after="28" w:line="276" w:lineRule="auto"/>
            </w:pPr>
            <w:r>
              <w:rPr>
                <w:rFonts w:ascii="Calibri" w:hAnsi="Calibri"/>
                <w:color w:val="1E162B"/>
                <w:sz w:val="18"/>
              </w:rPr>
              <w:t>Reduces false positives from GPS noise (±5m Android GPS); only confirms anomalies with sustained trajectory divergence</w:t>
            </w:r>
          </w:p>
        </w:tc>
      </w:tr>
      <w:tr>
        <w:tc>
          <w:tcPr>
            <w:tcW w:type="dxa" w:w="3010"/>
            <w:shd w:val="clear" w:color="auto" w:fill="FFFFFF"/>
          </w:tcPr>
          <w:p>
            <w:pPr>
              <w:spacing w:before="28" w:after="28" w:line="276" w:lineRule="auto"/>
            </w:pPr>
            <w:r>
              <w:rPr>
                <w:rFonts w:ascii="Calibri" w:hAnsi="Calibri"/>
                <w:color w:val="1E162B"/>
                <w:sz w:val="18"/>
              </w:rPr>
              <w:t>Escalation graph</w:t>
            </w:r>
          </w:p>
        </w:tc>
        <w:tc>
          <w:tcPr>
            <w:tcW w:type="dxa" w:w="3010"/>
            <w:shd w:val="clear" w:color="auto" w:fill="FFFFFF"/>
          </w:tcPr>
          <w:p>
            <w:pPr>
              <w:spacing w:before="28" w:after="28" w:line="276" w:lineRule="auto"/>
            </w:pPr>
            <w:r>
              <w:rPr>
                <w:rFonts w:ascii="Calibri" w:hAnsi="Calibri"/>
                <w:color w:val="1E162B"/>
                <w:sz w:val="18"/>
              </w:rPr>
              <w:t>LangGraph 5-node directed graph:</w:t>
              <w:br/>
              <w:t>GPS_INGESTION → TRAJECTORY_VALIDATOR → ANOMALY_SCORER → [SOFT_ALERT | THREAT_CONFIRMED] → [GUARDIAN_FCM | POLICE_WEBHOOK]</w:t>
            </w:r>
          </w:p>
        </w:tc>
        <w:tc>
          <w:tcPr>
            <w:tcW w:type="dxa" w:w="3010"/>
            <w:shd w:val="clear" w:color="auto" w:fill="FFFFFF"/>
          </w:tcPr>
          <w:p>
            <w:pPr>
              <w:spacing w:before="28" w:after="28" w:line="276" w:lineRule="auto"/>
            </w:pPr>
            <w:r>
              <w:rPr>
                <w:rFonts w:ascii="Calibri" w:hAnsi="Calibri"/>
                <w:color w:val="1E162B"/>
                <w:sz w:val="18"/>
              </w:rPr>
              <w:t>Deterministic, auditable routing. Every decision logged in LangSmith for full observability. No probabilistic 'maybe escalate'.</w:t>
            </w:r>
          </w:p>
        </w:tc>
      </w:tr>
    </w:tbl>
    <w:p/>
    <w:p>
      <w:pPr>
        <w:spacing w:before="70" w:after="25" w:line="276" w:lineRule="auto"/>
      </w:pPr>
      <w:r>
        <w:rPr>
          <w:rFonts w:ascii="Calibri" w:hAnsi="Calibri"/>
          <w:b/>
          <w:color w:val="1E162B"/>
          <w:sz w:val="21"/>
        </w:rPr>
        <w:t>Track 4 — Community Safety Sentinel (Supporting Intelligence)</w:t>
      </w:r>
    </w:p>
    <w:p>
      <w:pPr>
        <w:spacing w:before="0" w:after="50" w:line="276" w:lineRule="auto"/>
      </w:pPr>
      <w:r>
        <w:rPr>
          <w:rFonts w:ascii="Calibri" w:hAnsi="Calibri"/>
          <w:color w:val="1E162B"/>
          <w:sz w:val="20"/>
        </w:rPr>
        <w:t>Community data closes the gap between static historical crime statistics and live, on-the-ground hazard awareness. It is also the key feedback mechanism that improves the Track 1 heatmap over time.</w:t>
      </w:r>
    </w:p>
    <w:p>
      <w:pPr>
        <w:pStyle w:val="ListBullet"/>
        <w:spacing w:before="0" w:after="28" w:line="276" w:lineRule="auto"/>
        <w:ind w:left="360"/>
      </w:pPr>
      <w:r>
        <w:rPr>
          <w:rFonts w:ascii="Calibri" w:hAnsi="Calibri"/>
          <w:color w:val="1E162B"/>
          <w:sz w:val="20"/>
        </w:rPr>
        <w:t>Report ingestion: Redis Streams → Celery async worker → Gemini 2.5 Flash spam/relevance classifier → Random Forest trust scorer.</w:t>
      </w:r>
    </w:p>
    <w:p>
      <w:pPr>
        <w:pStyle w:val="ListBullet"/>
        <w:spacing w:before="0" w:after="28" w:line="276" w:lineRule="auto"/>
        <w:ind w:left="360"/>
      </w:pPr>
      <w:r>
        <w:rPr>
          <w:rFonts w:ascii="Calibri" w:hAnsi="Calibri"/>
          <w:color w:val="1E162B"/>
          <w:sz w:val="20"/>
        </w:rPr>
        <w:t>Trust scoring features: account age, GPS distance to incident, consensus density (PostGIS ST_DWithin count in 500m/24h window), historical accuracy, text coherence score.</w:t>
      </w:r>
    </w:p>
    <w:p>
      <w:pPr>
        <w:pStyle w:val="ListBullet"/>
        <w:spacing w:before="0" w:after="28" w:line="276" w:lineRule="auto"/>
        <w:ind w:left="360"/>
      </w:pPr>
      <w:r>
        <w:rPr>
          <w:rFonts w:ascii="Calibri" w:hAnsi="Calibri"/>
          <w:color w:val="1E162B"/>
          <w:sz w:val="20"/>
        </w:rPr>
        <w:t>Spatial consensus: PostGIS ST_ClusterDBSCAN (ε=500m, min_pts=2) clusters verified reports into hazard zones. Materialised view refreshed every 5 minutes.</w:t>
      </w:r>
    </w:p>
    <w:p>
      <w:pPr>
        <w:pStyle w:val="ListBullet"/>
        <w:spacing w:before="0" w:after="28" w:line="276" w:lineRule="auto"/>
        <w:ind w:left="360"/>
      </w:pPr>
      <w:r>
        <w:rPr>
          <w:rFonts w:ascii="Calibri" w:hAnsi="Calibri"/>
          <w:color w:val="1E162B"/>
          <w:sz w:val="20"/>
        </w:rPr>
        <w:t>Privacy: SHA-256 hashed device fingerprint as anonymous ID. Raw device ID never stored. DPDPA-compliant data minimisation.</w:t>
      </w:r>
    </w:p>
    <w:p>
      <w:pPr>
        <w:spacing w:before="70" w:after="25" w:line="276" w:lineRule="auto"/>
      </w:pPr>
      <w:r>
        <w:rPr>
          <w:rFonts w:ascii="Calibri" w:hAnsi="Calibri"/>
          <w:b/>
          <w:color w:val="1E162B"/>
          <w:sz w:val="21"/>
        </w:rPr>
        <w:t>Track 5 — AI Safety Companion &amp; Grievance Engine (Supporting Intelligence)</w:t>
      </w:r>
    </w:p>
    <w:p>
      <w:pPr>
        <w:spacing w:before="0" w:after="50" w:line="276" w:lineRule="auto"/>
      </w:pPr>
      <w:r>
        <w:rPr>
          <w:rFonts w:ascii="Calibri" w:hAnsi="Calibri"/>
          <w:color w:val="1E162B"/>
          <w:sz w:val="20"/>
        </w:rPr>
        <w:t>The AI companion is the most visible differentiator in a demo. But it is also the most important for the grievance bottleneck — 89% of harassment incidents go unreported partly because the complaint filing process is cognitively and emotionally exhausting.</w:t>
      </w:r>
    </w:p>
    <w:p>
      <w:pPr>
        <w:pStyle w:val="ListBullet"/>
        <w:spacing w:before="0" w:after="28" w:line="276" w:lineRule="auto"/>
        <w:ind w:left="360"/>
      </w:pPr>
      <w:r>
        <w:rPr>
          <w:rFonts w:ascii="Calibri" w:hAnsi="Calibri"/>
          <w:color w:val="1E162B"/>
          <w:sz w:val="20"/>
        </w:rPr>
        <w:t>Companion: Gemini 2.5 Flash with per-turn context injection (live risk score, GPS zone, journey twin status, community alerts, guardian count). SSE token streaming for &lt; 500ms first-token latency. Google Search grounding for live police station lookup.</w:t>
      </w:r>
    </w:p>
    <w:p>
      <w:pPr>
        <w:pStyle w:val="ListBullet"/>
        <w:spacing w:before="0" w:after="28" w:line="276" w:lineRule="auto"/>
        <w:ind w:left="360"/>
      </w:pPr>
      <w:r>
        <w:rPr>
          <w:rFonts w:ascii="Calibri" w:hAnsi="Calibri"/>
          <w:color w:val="1E162B"/>
          <w:sz w:val="20"/>
        </w:rPr>
        <w:t>Grievance engine: Gemini 2.5 Pro with structured JSON schema output. Analyses conversation history → generates formal FIR-style document with BNS section mapping. Output labelled 'AI-assisted draft for human review' — not a legally admissible document.</w:t>
      </w:r>
    </w:p>
    <w:p>
      <w:pPr>
        <w:pStyle w:val="ListBullet"/>
        <w:spacing w:before="0" w:after="28" w:line="276" w:lineRule="auto"/>
        <w:ind w:left="360"/>
      </w:pPr>
      <w:r>
        <w:rPr>
          <w:rFonts w:ascii="Calibri" w:hAnsi="Calibri"/>
          <w:color w:val="1E162B"/>
          <w:sz w:val="20"/>
        </w:rPr>
        <w:t>Memory: Redis sliding 20-turn window per session. Conversation resumes seamlessly after connectivity loss.</w:t>
      </w:r>
    </w:p>
    <w:p>
      <w:pPr>
        <w:spacing w:before="100" w:after="40" w:line="276" w:lineRule="auto"/>
      </w:pPr>
      <w:r>
        <w:rPr>
          <w:rFonts w:ascii="Calibri" w:hAnsi="Calibri"/>
          <w:b/>
          <w:color w:val="7C3AED"/>
          <w:sz w:val="22"/>
        </w:rPr>
        <w:t>2.4  Technology Stack Summary</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Layer</w:t>
            </w:r>
          </w:p>
        </w:tc>
        <w:tc>
          <w:tcPr>
            <w:tcW w:type="dxa" w:w="2257"/>
            <w:shd w:val="clear" w:color="auto" w:fill="1E162B"/>
          </w:tcPr>
          <w:p>
            <w:pPr>
              <w:spacing w:before="36" w:after="36" w:line="276" w:lineRule="auto"/>
            </w:pPr>
            <w:r>
              <w:rPr>
                <w:rFonts w:ascii="Calibri" w:hAnsi="Calibri"/>
                <w:b/>
                <w:color w:val="FFFFFF"/>
                <w:sz w:val="18"/>
              </w:rPr>
              <w:t>Technology</w:t>
            </w:r>
          </w:p>
        </w:tc>
        <w:tc>
          <w:tcPr>
            <w:tcW w:type="dxa" w:w="2257"/>
            <w:shd w:val="clear" w:color="auto" w:fill="1E162B"/>
          </w:tcPr>
          <w:p>
            <w:pPr>
              <w:spacing w:before="36" w:after="36" w:line="276" w:lineRule="auto"/>
            </w:pPr>
            <w:r>
              <w:rPr>
                <w:rFonts w:ascii="Calibri" w:hAnsi="Calibri"/>
                <w:b/>
                <w:color w:val="FFFFFF"/>
                <w:sz w:val="18"/>
              </w:rPr>
              <w:t>Version</w:t>
            </w:r>
          </w:p>
        </w:tc>
        <w:tc>
          <w:tcPr>
            <w:tcW w:type="dxa" w:w="2257"/>
            <w:shd w:val="clear" w:color="auto" w:fill="1E162B"/>
          </w:tcPr>
          <w:p>
            <w:pPr>
              <w:spacing w:before="36" w:after="36" w:line="276" w:lineRule="auto"/>
            </w:pPr>
            <w:r>
              <w:rPr>
                <w:rFonts w:ascii="Calibri" w:hAnsi="Calibri"/>
                <w:b/>
                <w:color w:val="FFFFFF"/>
                <w:sz w:val="18"/>
              </w:rPr>
              <w:t>Maturity Signal</w:t>
            </w:r>
          </w:p>
        </w:tc>
      </w:tr>
      <w:tr>
        <w:tc>
          <w:tcPr>
            <w:tcW w:type="dxa" w:w="2257"/>
            <w:shd w:val="clear" w:color="auto" w:fill="F9F5FF"/>
          </w:tcPr>
          <w:p>
            <w:pPr>
              <w:spacing w:before="28" w:after="28" w:line="276" w:lineRule="auto"/>
            </w:pPr>
            <w:r>
              <w:rPr>
                <w:rFonts w:ascii="Calibri" w:hAnsi="Calibri"/>
                <w:color w:val="1E162B"/>
                <w:sz w:val="18"/>
              </w:rPr>
              <w:t>Mobile App</w:t>
            </w:r>
          </w:p>
        </w:tc>
        <w:tc>
          <w:tcPr>
            <w:tcW w:type="dxa" w:w="2257"/>
            <w:shd w:val="clear" w:color="auto" w:fill="F9F5FF"/>
          </w:tcPr>
          <w:p>
            <w:pPr>
              <w:spacing w:before="28" w:after="28" w:line="276" w:lineRule="auto"/>
            </w:pPr>
            <w:r>
              <w:rPr>
                <w:rFonts w:ascii="Calibri" w:hAnsi="Calibri"/>
                <w:color w:val="1E162B"/>
                <w:sz w:val="18"/>
              </w:rPr>
              <w:t>Flutter + Riverpod</w:t>
            </w:r>
          </w:p>
        </w:tc>
        <w:tc>
          <w:tcPr>
            <w:tcW w:type="dxa" w:w="2257"/>
            <w:shd w:val="clear" w:color="auto" w:fill="F9F5FF"/>
          </w:tcPr>
          <w:p>
            <w:pPr>
              <w:spacing w:before="28" w:after="28" w:line="276" w:lineRule="auto"/>
            </w:pPr>
            <w:r>
              <w:rPr>
                <w:rFonts w:ascii="Calibri" w:hAnsi="Calibri"/>
                <w:color w:val="1E162B"/>
                <w:sz w:val="18"/>
              </w:rPr>
              <w:t>3.22 / 2.5</w:t>
            </w:r>
          </w:p>
        </w:tc>
        <w:tc>
          <w:tcPr>
            <w:tcW w:type="dxa" w:w="2257"/>
            <w:shd w:val="clear" w:color="auto" w:fill="F9F5FF"/>
          </w:tcPr>
          <w:p>
            <w:pPr>
              <w:spacing w:before="28" w:after="28" w:line="276" w:lineRule="auto"/>
            </w:pPr>
            <w:r>
              <w:rPr>
                <w:rFonts w:ascii="Calibri" w:hAnsi="Calibri"/>
                <w:color w:val="1E162B"/>
                <w:sz w:val="18"/>
              </w:rPr>
              <w:t>Used by Google, Alibaba in production</w:t>
            </w:r>
          </w:p>
        </w:tc>
      </w:tr>
      <w:tr>
        <w:tc>
          <w:tcPr>
            <w:tcW w:type="dxa" w:w="2257"/>
            <w:shd w:val="clear" w:color="auto" w:fill="FFFFFF"/>
          </w:tcPr>
          <w:p>
            <w:pPr>
              <w:spacing w:before="28" w:after="28" w:line="276" w:lineRule="auto"/>
            </w:pPr>
            <w:r>
              <w:rPr>
                <w:rFonts w:ascii="Calibri" w:hAnsi="Calibri"/>
                <w:color w:val="1E162B"/>
                <w:sz w:val="18"/>
              </w:rPr>
              <w:t>Web Dashboard</w:t>
            </w:r>
          </w:p>
        </w:tc>
        <w:tc>
          <w:tcPr>
            <w:tcW w:type="dxa" w:w="2257"/>
            <w:shd w:val="clear" w:color="auto" w:fill="FFFFFF"/>
          </w:tcPr>
          <w:p>
            <w:pPr>
              <w:spacing w:before="28" w:after="28" w:line="276" w:lineRule="auto"/>
            </w:pPr>
            <w:r>
              <w:rPr>
                <w:rFonts w:ascii="Calibri" w:hAnsi="Calibri"/>
                <w:color w:val="1E162B"/>
                <w:sz w:val="18"/>
              </w:rPr>
              <w:t>Next.js + App Router</w:t>
            </w:r>
          </w:p>
        </w:tc>
        <w:tc>
          <w:tcPr>
            <w:tcW w:type="dxa" w:w="2257"/>
            <w:shd w:val="clear" w:color="auto" w:fill="FFFFFF"/>
          </w:tcPr>
          <w:p>
            <w:pPr>
              <w:spacing w:before="28" w:after="28" w:line="276" w:lineRule="auto"/>
            </w:pPr>
            <w:r>
              <w:rPr>
                <w:rFonts w:ascii="Calibri" w:hAnsi="Calibri"/>
                <w:color w:val="1E162B"/>
                <w:sz w:val="18"/>
              </w:rPr>
              <w:t>15.0</w:t>
            </w:r>
          </w:p>
        </w:tc>
        <w:tc>
          <w:tcPr>
            <w:tcW w:type="dxa" w:w="2257"/>
            <w:shd w:val="clear" w:color="auto" w:fill="FFFFFF"/>
          </w:tcPr>
          <w:p>
            <w:pPr>
              <w:spacing w:before="28" w:after="28" w:line="276" w:lineRule="auto"/>
            </w:pPr>
            <w:r>
              <w:rPr>
                <w:rFonts w:ascii="Calibri" w:hAnsi="Calibri"/>
                <w:color w:val="1E162B"/>
                <w:sz w:val="18"/>
              </w:rPr>
              <w:t>Used by Vercel, Netflix, TikTok</w:t>
            </w:r>
          </w:p>
        </w:tc>
      </w:tr>
      <w:tr>
        <w:tc>
          <w:tcPr>
            <w:tcW w:type="dxa" w:w="2257"/>
            <w:shd w:val="clear" w:color="auto" w:fill="F9F5FF"/>
          </w:tcPr>
          <w:p>
            <w:pPr>
              <w:spacing w:before="28" w:after="28" w:line="276" w:lineRule="auto"/>
            </w:pPr>
            <w:r>
              <w:rPr>
                <w:rFonts w:ascii="Calibri" w:hAnsi="Calibri"/>
                <w:color w:val="1E162B"/>
                <w:sz w:val="18"/>
              </w:rPr>
              <w:t>Map + Heatmap</w:t>
            </w:r>
          </w:p>
        </w:tc>
        <w:tc>
          <w:tcPr>
            <w:tcW w:type="dxa" w:w="2257"/>
            <w:shd w:val="clear" w:color="auto" w:fill="F9F5FF"/>
          </w:tcPr>
          <w:p>
            <w:pPr>
              <w:spacing w:before="28" w:after="28" w:line="276" w:lineRule="auto"/>
            </w:pPr>
            <w:r>
              <w:rPr>
                <w:rFonts w:ascii="Calibri" w:hAnsi="Calibri"/>
                <w:color w:val="1E162B"/>
                <w:sz w:val="18"/>
              </w:rPr>
              <w:t>Mapbox GL JS + deck.gl</w:t>
            </w:r>
          </w:p>
        </w:tc>
        <w:tc>
          <w:tcPr>
            <w:tcW w:type="dxa" w:w="2257"/>
            <w:shd w:val="clear" w:color="auto" w:fill="F9F5FF"/>
          </w:tcPr>
          <w:p>
            <w:pPr>
              <w:spacing w:before="28" w:after="28" w:line="276" w:lineRule="auto"/>
            </w:pPr>
            <w:r>
              <w:rPr>
                <w:rFonts w:ascii="Calibri" w:hAnsi="Calibri"/>
                <w:color w:val="1E162B"/>
                <w:sz w:val="18"/>
              </w:rPr>
              <w:t>3.6 / 9.0</w:t>
            </w:r>
          </w:p>
        </w:tc>
        <w:tc>
          <w:tcPr>
            <w:tcW w:type="dxa" w:w="2257"/>
            <w:shd w:val="clear" w:color="auto" w:fill="F9F5FF"/>
          </w:tcPr>
          <w:p>
            <w:pPr>
              <w:spacing w:before="28" w:after="28" w:line="276" w:lineRule="auto"/>
            </w:pPr>
            <w:r>
              <w:rPr>
                <w:rFonts w:ascii="Calibri" w:hAnsi="Calibri"/>
                <w:color w:val="1E162B"/>
                <w:sz w:val="18"/>
              </w:rPr>
              <w:t>Uber open-source; used by Apple Maps, NYC DOT</w:t>
            </w:r>
          </w:p>
        </w:tc>
      </w:tr>
      <w:tr>
        <w:tc>
          <w:tcPr>
            <w:tcW w:type="dxa" w:w="2257"/>
            <w:shd w:val="clear" w:color="auto" w:fill="FFFFFF"/>
          </w:tcPr>
          <w:p>
            <w:pPr>
              <w:spacing w:before="28" w:after="28" w:line="276" w:lineRule="auto"/>
            </w:pPr>
            <w:r>
              <w:rPr>
                <w:rFonts w:ascii="Calibri" w:hAnsi="Calibri"/>
                <w:color w:val="1E162B"/>
                <w:sz w:val="18"/>
              </w:rPr>
              <w:t>Routing</w:t>
            </w:r>
          </w:p>
        </w:tc>
        <w:tc>
          <w:tcPr>
            <w:tcW w:type="dxa" w:w="2257"/>
            <w:shd w:val="clear" w:color="auto" w:fill="FFFFFF"/>
          </w:tcPr>
          <w:p>
            <w:pPr>
              <w:spacing w:before="28" w:after="28" w:line="276" w:lineRule="auto"/>
            </w:pPr>
            <w:r>
              <w:rPr>
                <w:rFonts w:ascii="Calibri" w:hAnsi="Calibri"/>
                <w:color w:val="1E162B"/>
                <w:sz w:val="18"/>
              </w:rPr>
              <w:t>OLA Maps Directions API</w:t>
            </w:r>
          </w:p>
        </w:tc>
        <w:tc>
          <w:tcPr>
            <w:tcW w:type="dxa" w:w="2257"/>
            <w:shd w:val="clear" w:color="auto" w:fill="FFFFFF"/>
          </w:tcPr>
          <w:p>
            <w:pPr>
              <w:spacing w:before="28" w:after="28" w:line="276" w:lineRule="auto"/>
            </w:pPr>
            <w:r>
              <w:rPr>
                <w:rFonts w:ascii="Calibri" w:hAnsi="Calibri"/>
                <w:color w:val="1E162B"/>
                <w:sz w:val="18"/>
              </w:rPr>
              <w:t>v1</w:t>
            </w:r>
          </w:p>
        </w:tc>
        <w:tc>
          <w:tcPr>
            <w:tcW w:type="dxa" w:w="2257"/>
            <w:shd w:val="clear" w:color="auto" w:fill="FFFFFF"/>
          </w:tcPr>
          <w:p>
            <w:pPr>
              <w:spacing w:before="28" w:after="28" w:line="276" w:lineRule="auto"/>
            </w:pPr>
            <w:r>
              <w:rPr>
                <w:rFonts w:ascii="Calibri" w:hAnsi="Calibri"/>
                <w:color w:val="1E162B"/>
                <w:sz w:val="18"/>
              </w:rPr>
              <w:t>India-native; 100M+ routes/day</w:t>
            </w:r>
          </w:p>
        </w:tc>
      </w:tr>
      <w:tr>
        <w:tc>
          <w:tcPr>
            <w:tcW w:type="dxa" w:w="2257"/>
            <w:shd w:val="clear" w:color="auto" w:fill="F9F5FF"/>
          </w:tcPr>
          <w:p>
            <w:pPr>
              <w:spacing w:before="28" w:after="28" w:line="276" w:lineRule="auto"/>
            </w:pPr>
            <w:r>
              <w:rPr>
                <w:rFonts w:ascii="Calibri" w:hAnsi="Calibri"/>
                <w:color w:val="1E162B"/>
                <w:sz w:val="18"/>
              </w:rPr>
              <w:t>Backend API</w:t>
            </w:r>
          </w:p>
        </w:tc>
        <w:tc>
          <w:tcPr>
            <w:tcW w:type="dxa" w:w="2257"/>
            <w:shd w:val="clear" w:color="auto" w:fill="F9F5FF"/>
          </w:tcPr>
          <w:p>
            <w:pPr>
              <w:spacing w:before="28" w:after="28" w:line="276" w:lineRule="auto"/>
            </w:pPr>
            <w:r>
              <w:rPr>
                <w:rFonts w:ascii="Calibri" w:hAnsi="Calibri"/>
                <w:color w:val="1E162B"/>
                <w:sz w:val="18"/>
              </w:rPr>
              <w:t>FastAPI + Uvicorn</w:t>
            </w:r>
          </w:p>
        </w:tc>
        <w:tc>
          <w:tcPr>
            <w:tcW w:type="dxa" w:w="2257"/>
            <w:shd w:val="clear" w:color="auto" w:fill="F9F5FF"/>
          </w:tcPr>
          <w:p>
            <w:pPr>
              <w:spacing w:before="28" w:after="28" w:line="276" w:lineRule="auto"/>
            </w:pPr>
            <w:r>
              <w:rPr>
                <w:rFonts w:ascii="Calibri" w:hAnsi="Calibri"/>
                <w:color w:val="1E162B"/>
                <w:sz w:val="18"/>
              </w:rPr>
              <w:t>0.115 / 0.30</w:t>
            </w:r>
          </w:p>
        </w:tc>
        <w:tc>
          <w:tcPr>
            <w:tcW w:type="dxa" w:w="2257"/>
            <w:shd w:val="clear" w:color="auto" w:fill="F9F5FF"/>
          </w:tcPr>
          <w:p>
            <w:pPr>
              <w:spacing w:before="28" w:after="28" w:line="276" w:lineRule="auto"/>
            </w:pPr>
            <w:r>
              <w:rPr>
                <w:rFonts w:ascii="Calibri" w:hAnsi="Calibri"/>
                <w:color w:val="1E162B"/>
                <w:sz w:val="18"/>
              </w:rPr>
              <w:t>Used by Uber, Netflix, Microsoft</w:t>
            </w:r>
          </w:p>
        </w:tc>
      </w:tr>
      <w:tr>
        <w:tc>
          <w:tcPr>
            <w:tcW w:type="dxa" w:w="2257"/>
            <w:shd w:val="clear" w:color="auto" w:fill="FFFFFF"/>
          </w:tcPr>
          <w:p>
            <w:pPr>
              <w:spacing w:before="28" w:after="28" w:line="276" w:lineRule="auto"/>
            </w:pPr>
            <w:r>
              <w:rPr>
                <w:rFonts w:ascii="Calibri" w:hAnsi="Calibri"/>
                <w:color w:val="1E162B"/>
                <w:sz w:val="18"/>
              </w:rPr>
              <w:t>Agent Graph</w:t>
            </w:r>
          </w:p>
        </w:tc>
        <w:tc>
          <w:tcPr>
            <w:tcW w:type="dxa" w:w="2257"/>
            <w:shd w:val="clear" w:color="auto" w:fill="FFFFFF"/>
          </w:tcPr>
          <w:p>
            <w:pPr>
              <w:spacing w:before="28" w:after="28" w:line="276" w:lineRule="auto"/>
            </w:pPr>
            <w:r>
              <w:rPr>
                <w:rFonts w:ascii="Calibri" w:hAnsi="Calibri"/>
                <w:color w:val="1E162B"/>
                <w:sz w:val="18"/>
              </w:rPr>
              <w:t>LangGraph</w:t>
            </w:r>
          </w:p>
        </w:tc>
        <w:tc>
          <w:tcPr>
            <w:tcW w:type="dxa" w:w="2257"/>
            <w:shd w:val="clear" w:color="auto" w:fill="FFFFFF"/>
          </w:tcPr>
          <w:p>
            <w:pPr>
              <w:spacing w:before="28" w:after="28" w:line="276" w:lineRule="auto"/>
            </w:pPr>
            <w:r>
              <w:rPr>
                <w:rFonts w:ascii="Calibri" w:hAnsi="Calibri"/>
                <w:color w:val="1E162B"/>
                <w:sz w:val="18"/>
              </w:rPr>
              <w:t>0.2.28</w:t>
            </w:r>
          </w:p>
        </w:tc>
        <w:tc>
          <w:tcPr>
            <w:tcW w:type="dxa" w:w="2257"/>
            <w:shd w:val="clear" w:color="auto" w:fill="FFFFFF"/>
          </w:tcPr>
          <w:p>
            <w:pPr>
              <w:spacing w:before="28" w:after="28" w:line="276" w:lineRule="auto"/>
            </w:pPr>
            <w:r>
              <w:rPr>
                <w:rFonts w:ascii="Calibri" w:hAnsi="Calibri"/>
                <w:color w:val="1E162B"/>
                <w:sz w:val="18"/>
              </w:rPr>
              <w:t>Used by Klarna, Elastic, LinkedIn</w:t>
            </w:r>
          </w:p>
        </w:tc>
      </w:tr>
      <w:tr>
        <w:tc>
          <w:tcPr>
            <w:tcW w:type="dxa" w:w="2257"/>
            <w:shd w:val="clear" w:color="auto" w:fill="F9F5FF"/>
          </w:tcPr>
          <w:p>
            <w:pPr>
              <w:spacing w:before="28" w:after="28" w:line="276" w:lineRule="auto"/>
            </w:pPr>
            <w:r>
              <w:rPr>
                <w:rFonts w:ascii="Calibri" w:hAnsi="Calibri"/>
                <w:color w:val="1E162B"/>
                <w:sz w:val="18"/>
              </w:rPr>
              <w:t>Spatial DB</w:t>
            </w:r>
          </w:p>
        </w:tc>
        <w:tc>
          <w:tcPr>
            <w:tcW w:type="dxa" w:w="2257"/>
            <w:shd w:val="clear" w:color="auto" w:fill="F9F5FF"/>
          </w:tcPr>
          <w:p>
            <w:pPr>
              <w:spacing w:before="28" w:after="28" w:line="276" w:lineRule="auto"/>
            </w:pPr>
            <w:r>
              <w:rPr>
                <w:rFonts w:ascii="Calibri" w:hAnsi="Calibri"/>
                <w:color w:val="1E162B"/>
                <w:sz w:val="18"/>
              </w:rPr>
              <w:t>PostgreSQL 16 + PostGIS 3.4</w:t>
            </w:r>
          </w:p>
        </w:tc>
        <w:tc>
          <w:tcPr>
            <w:tcW w:type="dxa" w:w="2257"/>
            <w:shd w:val="clear" w:color="auto" w:fill="F9F5FF"/>
          </w:tcPr>
          <w:p>
            <w:pPr>
              <w:spacing w:before="28" w:after="28" w:line="276" w:lineRule="auto"/>
            </w:pPr>
            <w:r>
              <w:rPr>
                <w:rFonts w:ascii="Calibri" w:hAnsi="Calibri"/>
                <w:color w:val="1E162B"/>
                <w:sz w:val="18"/>
              </w:rPr>
              <w:t>16 / 3.4</w:t>
            </w:r>
          </w:p>
        </w:tc>
        <w:tc>
          <w:tcPr>
            <w:tcW w:type="dxa" w:w="2257"/>
            <w:shd w:val="clear" w:color="auto" w:fill="F9F5FF"/>
          </w:tcPr>
          <w:p>
            <w:pPr>
              <w:spacing w:before="28" w:after="28" w:line="276" w:lineRule="auto"/>
            </w:pPr>
            <w:r>
              <w:rPr>
                <w:rFonts w:ascii="Calibri" w:hAnsi="Calibri"/>
                <w:color w:val="1E162B"/>
                <w:sz w:val="18"/>
              </w:rPr>
              <w:t>ISO SQL spatial standard; used by Mapbox, ESRI</w:t>
            </w:r>
          </w:p>
        </w:tc>
      </w:tr>
      <w:tr>
        <w:tc>
          <w:tcPr>
            <w:tcW w:type="dxa" w:w="2257"/>
            <w:shd w:val="clear" w:color="auto" w:fill="FFFFFF"/>
          </w:tcPr>
          <w:p>
            <w:pPr>
              <w:spacing w:before="28" w:after="28" w:line="276" w:lineRule="auto"/>
            </w:pPr>
            <w:r>
              <w:rPr>
                <w:rFonts w:ascii="Calibri" w:hAnsi="Calibri"/>
                <w:color w:val="1E162B"/>
                <w:sz w:val="18"/>
              </w:rPr>
              <w:t>Spatial Index</w:t>
            </w:r>
          </w:p>
        </w:tc>
        <w:tc>
          <w:tcPr>
            <w:tcW w:type="dxa" w:w="2257"/>
            <w:shd w:val="clear" w:color="auto" w:fill="FFFFFF"/>
          </w:tcPr>
          <w:p>
            <w:pPr>
              <w:spacing w:before="28" w:after="28" w:line="276" w:lineRule="auto"/>
            </w:pPr>
            <w:r>
              <w:rPr>
                <w:rFonts w:ascii="Calibri" w:hAnsi="Calibri"/>
                <w:color w:val="1E162B"/>
                <w:sz w:val="18"/>
              </w:rPr>
              <w:t>H3 (Uber Hexagonal)</w:t>
            </w:r>
          </w:p>
        </w:tc>
        <w:tc>
          <w:tcPr>
            <w:tcW w:type="dxa" w:w="2257"/>
            <w:shd w:val="clear" w:color="auto" w:fill="FFFFFF"/>
          </w:tcPr>
          <w:p>
            <w:pPr>
              <w:spacing w:before="28" w:after="28" w:line="276" w:lineRule="auto"/>
            </w:pPr>
            <w:r>
              <w:rPr>
                <w:rFonts w:ascii="Calibri" w:hAnsi="Calibri"/>
                <w:color w:val="1E162B"/>
                <w:sz w:val="18"/>
              </w:rPr>
              <w:t>3.7.7</w:t>
            </w:r>
          </w:p>
        </w:tc>
        <w:tc>
          <w:tcPr>
            <w:tcW w:type="dxa" w:w="2257"/>
            <w:shd w:val="clear" w:color="auto" w:fill="FFFFFF"/>
          </w:tcPr>
          <w:p>
            <w:pPr>
              <w:spacing w:before="28" w:after="28" w:line="276" w:lineRule="auto"/>
            </w:pPr>
            <w:r>
              <w:rPr>
                <w:rFonts w:ascii="Calibri" w:hAnsi="Calibri"/>
                <w:color w:val="1E162B"/>
                <w:sz w:val="18"/>
              </w:rPr>
              <w:t>Open-sourced by Uber 2018; global standard</w:t>
            </w:r>
          </w:p>
        </w:tc>
      </w:tr>
      <w:tr>
        <w:tc>
          <w:tcPr>
            <w:tcW w:type="dxa" w:w="2257"/>
            <w:shd w:val="clear" w:color="auto" w:fill="F9F5FF"/>
          </w:tcPr>
          <w:p>
            <w:pPr>
              <w:spacing w:before="28" w:after="28" w:line="276" w:lineRule="auto"/>
            </w:pPr>
            <w:r>
              <w:rPr>
                <w:rFonts w:ascii="Calibri" w:hAnsi="Calibri"/>
                <w:color w:val="1E162B"/>
                <w:sz w:val="18"/>
              </w:rPr>
              <w:t>Cache / Queue</w:t>
            </w:r>
          </w:p>
        </w:tc>
        <w:tc>
          <w:tcPr>
            <w:tcW w:type="dxa" w:w="2257"/>
            <w:shd w:val="clear" w:color="auto" w:fill="F9F5FF"/>
          </w:tcPr>
          <w:p>
            <w:pPr>
              <w:spacing w:before="28" w:after="28" w:line="276" w:lineRule="auto"/>
            </w:pPr>
            <w:r>
              <w:rPr>
                <w:rFonts w:ascii="Calibri" w:hAnsi="Calibri"/>
                <w:color w:val="1E162B"/>
                <w:sz w:val="18"/>
              </w:rPr>
              <w:t>Redis 7.4</w:t>
            </w:r>
          </w:p>
        </w:tc>
        <w:tc>
          <w:tcPr>
            <w:tcW w:type="dxa" w:w="2257"/>
            <w:shd w:val="clear" w:color="auto" w:fill="F9F5FF"/>
          </w:tcPr>
          <w:p>
            <w:pPr>
              <w:spacing w:before="28" w:after="28" w:line="276" w:lineRule="auto"/>
            </w:pPr>
            <w:r>
              <w:rPr>
                <w:rFonts w:ascii="Calibri" w:hAnsi="Calibri"/>
                <w:color w:val="1E162B"/>
                <w:sz w:val="18"/>
              </w:rPr>
              <w:t>7.4</w:t>
            </w:r>
          </w:p>
        </w:tc>
        <w:tc>
          <w:tcPr>
            <w:tcW w:type="dxa" w:w="2257"/>
            <w:shd w:val="clear" w:color="auto" w:fill="F9F5FF"/>
          </w:tcPr>
          <w:p>
            <w:pPr>
              <w:spacing w:before="28" w:after="28" w:line="276" w:lineRule="auto"/>
            </w:pPr>
            <w:r>
              <w:rPr>
                <w:rFonts w:ascii="Calibri" w:hAnsi="Calibri"/>
                <w:color w:val="1E162B"/>
                <w:sz w:val="18"/>
              </w:rPr>
              <w:t>Used by Twitter, GitHub, Airbnb</w:t>
            </w:r>
          </w:p>
        </w:tc>
      </w:tr>
      <w:tr>
        <w:tc>
          <w:tcPr>
            <w:tcW w:type="dxa" w:w="2257"/>
            <w:shd w:val="clear" w:color="auto" w:fill="FFFFFF"/>
          </w:tcPr>
          <w:p>
            <w:pPr>
              <w:spacing w:before="28" w:after="28" w:line="276" w:lineRule="auto"/>
            </w:pPr>
            <w:r>
              <w:rPr>
                <w:rFonts w:ascii="Calibri" w:hAnsi="Calibri"/>
                <w:color w:val="1E162B"/>
                <w:sz w:val="18"/>
              </w:rPr>
              <w:t>Task Workers</w:t>
            </w:r>
          </w:p>
        </w:tc>
        <w:tc>
          <w:tcPr>
            <w:tcW w:type="dxa" w:w="2257"/>
            <w:shd w:val="clear" w:color="auto" w:fill="FFFFFF"/>
          </w:tcPr>
          <w:p>
            <w:pPr>
              <w:spacing w:before="28" w:after="28" w:line="276" w:lineRule="auto"/>
            </w:pPr>
            <w:r>
              <w:rPr>
                <w:rFonts w:ascii="Calibri" w:hAnsi="Calibri"/>
                <w:color w:val="1E162B"/>
                <w:sz w:val="18"/>
              </w:rPr>
              <w:t>Celery + Redis broker</w:t>
            </w:r>
          </w:p>
        </w:tc>
        <w:tc>
          <w:tcPr>
            <w:tcW w:type="dxa" w:w="2257"/>
            <w:shd w:val="clear" w:color="auto" w:fill="FFFFFF"/>
          </w:tcPr>
          <w:p>
            <w:pPr>
              <w:spacing w:before="28" w:after="28" w:line="276" w:lineRule="auto"/>
            </w:pPr>
            <w:r>
              <w:rPr>
                <w:rFonts w:ascii="Calibri" w:hAnsi="Calibri"/>
                <w:color w:val="1E162B"/>
                <w:sz w:val="18"/>
              </w:rPr>
              <w:t>5.4</w:t>
            </w:r>
          </w:p>
        </w:tc>
        <w:tc>
          <w:tcPr>
            <w:tcW w:type="dxa" w:w="2257"/>
            <w:shd w:val="clear" w:color="auto" w:fill="FFFFFF"/>
          </w:tcPr>
          <w:p>
            <w:pPr>
              <w:spacing w:before="28" w:after="28" w:line="276" w:lineRule="auto"/>
            </w:pPr>
            <w:r>
              <w:rPr>
                <w:rFonts w:ascii="Calibri" w:hAnsi="Calibri"/>
                <w:color w:val="1E162B"/>
                <w:sz w:val="18"/>
              </w:rPr>
              <w:t>Used by Instagram, Zapier</w:t>
            </w:r>
          </w:p>
        </w:tc>
      </w:tr>
      <w:tr>
        <w:tc>
          <w:tcPr>
            <w:tcW w:type="dxa" w:w="2257"/>
            <w:shd w:val="clear" w:color="auto" w:fill="F9F5FF"/>
          </w:tcPr>
          <w:p>
            <w:pPr>
              <w:spacing w:before="28" w:after="28" w:line="276" w:lineRule="auto"/>
            </w:pPr>
            <w:r>
              <w:rPr>
                <w:rFonts w:ascii="Calibri" w:hAnsi="Calibri"/>
                <w:color w:val="1E162B"/>
                <w:sz w:val="18"/>
              </w:rPr>
              <w:t>Risk ML</w:t>
            </w:r>
          </w:p>
        </w:tc>
        <w:tc>
          <w:tcPr>
            <w:tcW w:type="dxa" w:w="2257"/>
            <w:shd w:val="clear" w:color="auto" w:fill="F9F5FF"/>
          </w:tcPr>
          <w:p>
            <w:pPr>
              <w:spacing w:before="28" w:after="28" w:line="276" w:lineRule="auto"/>
            </w:pPr>
            <w:r>
              <w:rPr>
                <w:rFonts w:ascii="Calibri" w:hAnsi="Calibri"/>
                <w:color w:val="1E162B"/>
                <w:sz w:val="18"/>
              </w:rPr>
              <w:t>XGBoost 2.0</w:t>
            </w:r>
          </w:p>
        </w:tc>
        <w:tc>
          <w:tcPr>
            <w:tcW w:type="dxa" w:w="2257"/>
            <w:shd w:val="clear" w:color="auto" w:fill="F9F5FF"/>
          </w:tcPr>
          <w:p>
            <w:pPr>
              <w:spacing w:before="28" w:after="28" w:line="276" w:lineRule="auto"/>
            </w:pPr>
            <w:r>
              <w:rPr>
                <w:rFonts w:ascii="Calibri" w:hAnsi="Calibri"/>
                <w:color w:val="1E162B"/>
                <w:sz w:val="18"/>
              </w:rPr>
              <w:t>2.0.3</w:t>
            </w:r>
          </w:p>
        </w:tc>
        <w:tc>
          <w:tcPr>
            <w:tcW w:type="dxa" w:w="2257"/>
            <w:shd w:val="clear" w:color="auto" w:fill="F9F5FF"/>
          </w:tcPr>
          <w:p>
            <w:pPr>
              <w:spacing w:before="28" w:after="28" w:line="276" w:lineRule="auto"/>
            </w:pPr>
            <w:r>
              <w:rPr>
                <w:rFonts w:ascii="Calibri" w:hAnsi="Calibri"/>
                <w:color w:val="1E162B"/>
                <w:sz w:val="18"/>
              </w:rPr>
              <w:t>Default choice for tabular ML at Google, Amazon</w:t>
            </w:r>
          </w:p>
        </w:tc>
      </w:tr>
      <w:tr>
        <w:tc>
          <w:tcPr>
            <w:tcW w:type="dxa" w:w="2257"/>
            <w:shd w:val="clear" w:color="auto" w:fill="FFFFFF"/>
          </w:tcPr>
          <w:p>
            <w:pPr>
              <w:spacing w:before="28" w:after="28" w:line="276" w:lineRule="auto"/>
            </w:pPr>
            <w:r>
              <w:rPr>
                <w:rFonts w:ascii="Calibri" w:hAnsi="Calibri"/>
                <w:color w:val="1E162B"/>
                <w:sz w:val="18"/>
              </w:rPr>
              <w:t>Anomaly ML</w:t>
            </w:r>
          </w:p>
        </w:tc>
        <w:tc>
          <w:tcPr>
            <w:tcW w:type="dxa" w:w="2257"/>
            <w:shd w:val="clear" w:color="auto" w:fill="FFFFFF"/>
          </w:tcPr>
          <w:p>
            <w:pPr>
              <w:spacing w:before="28" w:after="28" w:line="276" w:lineRule="auto"/>
            </w:pPr>
            <w:r>
              <w:rPr>
                <w:rFonts w:ascii="Calibri" w:hAnsi="Calibri"/>
                <w:color w:val="1E162B"/>
                <w:sz w:val="18"/>
              </w:rPr>
              <w:t>Isolation Forest + DTW</w:t>
            </w:r>
          </w:p>
        </w:tc>
        <w:tc>
          <w:tcPr>
            <w:tcW w:type="dxa" w:w="2257"/>
            <w:shd w:val="clear" w:color="auto" w:fill="FFFFFF"/>
          </w:tcPr>
          <w:p>
            <w:pPr>
              <w:spacing w:before="28" w:after="28" w:line="276" w:lineRule="auto"/>
            </w:pPr>
            <w:r>
              <w:rPr>
                <w:rFonts w:ascii="Calibri" w:hAnsi="Calibri"/>
                <w:color w:val="1E162B"/>
                <w:sz w:val="18"/>
              </w:rPr>
              <w:t>sklearn 1.5 / dtaidistance 2.3</w:t>
            </w:r>
          </w:p>
        </w:tc>
        <w:tc>
          <w:tcPr>
            <w:tcW w:type="dxa" w:w="2257"/>
            <w:shd w:val="clear" w:color="auto" w:fill="FFFFFF"/>
          </w:tcPr>
          <w:p>
            <w:pPr>
              <w:spacing w:before="28" w:after="28" w:line="276" w:lineRule="auto"/>
            </w:pPr>
            <w:r>
              <w:rPr>
                <w:rFonts w:ascii="Calibri" w:hAnsi="Calibri"/>
                <w:color w:val="1E162B"/>
                <w:sz w:val="18"/>
              </w:rPr>
              <w:t>Production anomaly detection at Ola, Uber</w:t>
            </w:r>
          </w:p>
        </w:tc>
      </w:tr>
      <w:tr>
        <w:tc>
          <w:tcPr>
            <w:tcW w:type="dxa" w:w="2257"/>
            <w:shd w:val="clear" w:color="auto" w:fill="F9F5FF"/>
          </w:tcPr>
          <w:p>
            <w:pPr>
              <w:spacing w:before="28" w:after="28" w:line="276" w:lineRule="auto"/>
            </w:pPr>
            <w:r>
              <w:rPr>
                <w:rFonts w:ascii="Calibri" w:hAnsi="Calibri"/>
                <w:color w:val="1E162B"/>
                <w:sz w:val="18"/>
              </w:rPr>
              <w:t>Explainability</w:t>
            </w:r>
          </w:p>
        </w:tc>
        <w:tc>
          <w:tcPr>
            <w:tcW w:type="dxa" w:w="2257"/>
            <w:shd w:val="clear" w:color="auto" w:fill="F9F5FF"/>
          </w:tcPr>
          <w:p>
            <w:pPr>
              <w:spacing w:before="28" w:after="28" w:line="276" w:lineRule="auto"/>
            </w:pPr>
            <w:r>
              <w:rPr>
                <w:rFonts w:ascii="Calibri" w:hAnsi="Calibri"/>
                <w:color w:val="1E162B"/>
                <w:sz w:val="18"/>
              </w:rPr>
              <w:t>SHAP TreeExplainer</w:t>
            </w:r>
          </w:p>
        </w:tc>
        <w:tc>
          <w:tcPr>
            <w:tcW w:type="dxa" w:w="2257"/>
            <w:shd w:val="clear" w:color="auto" w:fill="F9F5FF"/>
          </w:tcPr>
          <w:p>
            <w:pPr>
              <w:spacing w:before="28" w:after="28" w:line="276" w:lineRule="auto"/>
            </w:pPr>
            <w:r>
              <w:rPr>
                <w:rFonts w:ascii="Calibri" w:hAnsi="Calibri"/>
                <w:color w:val="1E162B"/>
                <w:sz w:val="18"/>
              </w:rPr>
              <w:t>0.46</w:t>
            </w:r>
          </w:p>
        </w:tc>
        <w:tc>
          <w:tcPr>
            <w:tcW w:type="dxa" w:w="2257"/>
            <w:shd w:val="clear" w:color="auto" w:fill="F9F5FF"/>
          </w:tcPr>
          <w:p>
            <w:pPr>
              <w:spacing w:before="28" w:after="28" w:line="276" w:lineRule="auto"/>
            </w:pPr>
            <w:r>
              <w:rPr>
                <w:rFonts w:ascii="Calibri" w:hAnsi="Calibri"/>
                <w:color w:val="1E162B"/>
                <w:sz w:val="18"/>
              </w:rPr>
              <w:t>Industry standard; SHAP paper cited 15,000+×</w:t>
            </w:r>
          </w:p>
        </w:tc>
      </w:tr>
      <w:tr>
        <w:tc>
          <w:tcPr>
            <w:tcW w:type="dxa" w:w="2257"/>
            <w:shd w:val="clear" w:color="auto" w:fill="FFFFFF"/>
          </w:tcPr>
          <w:p>
            <w:pPr>
              <w:spacing w:before="28" w:after="28" w:line="276" w:lineRule="auto"/>
            </w:pPr>
            <w:r>
              <w:rPr>
                <w:rFonts w:ascii="Calibri" w:hAnsi="Calibri"/>
                <w:color w:val="1E162B"/>
                <w:sz w:val="18"/>
              </w:rPr>
              <w:t>AI Companion</w:t>
            </w:r>
          </w:p>
        </w:tc>
        <w:tc>
          <w:tcPr>
            <w:tcW w:type="dxa" w:w="2257"/>
            <w:shd w:val="clear" w:color="auto" w:fill="FFFFFF"/>
          </w:tcPr>
          <w:p>
            <w:pPr>
              <w:spacing w:before="28" w:after="28" w:line="276" w:lineRule="auto"/>
            </w:pPr>
            <w:r>
              <w:rPr>
                <w:rFonts w:ascii="Calibri" w:hAnsi="Calibri"/>
                <w:color w:val="1E162B"/>
                <w:sz w:val="18"/>
              </w:rPr>
              <w:t>Gemini 2.5 Flash + Pro</w:t>
            </w:r>
          </w:p>
        </w:tc>
        <w:tc>
          <w:tcPr>
            <w:tcW w:type="dxa" w:w="2257"/>
            <w:shd w:val="clear" w:color="auto" w:fill="FFFFFF"/>
          </w:tcPr>
          <w:p>
            <w:pPr>
              <w:spacing w:before="28" w:after="28" w:line="276" w:lineRule="auto"/>
            </w:pPr>
            <w:r>
              <w:rPr>
                <w:rFonts w:ascii="Calibri" w:hAnsi="Calibri"/>
                <w:color w:val="1E162B"/>
                <w:sz w:val="18"/>
              </w:rPr>
              <w:t>google-genai 1.x</w:t>
            </w:r>
          </w:p>
        </w:tc>
        <w:tc>
          <w:tcPr>
            <w:tcW w:type="dxa" w:w="2257"/>
            <w:shd w:val="clear" w:color="auto" w:fill="FFFFFF"/>
          </w:tcPr>
          <w:p>
            <w:pPr>
              <w:spacing w:before="28" w:after="28" w:line="276" w:lineRule="auto"/>
            </w:pPr>
            <w:r>
              <w:rPr>
                <w:rFonts w:ascii="Calibri" w:hAnsi="Calibri"/>
                <w:color w:val="1E162B"/>
                <w:sz w:val="18"/>
              </w:rPr>
              <w:t>Google production API; 1M token context</w:t>
            </w:r>
          </w:p>
        </w:tc>
      </w:tr>
      <w:tr>
        <w:tc>
          <w:tcPr>
            <w:tcW w:type="dxa" w:w="2257"/>
            <w:shd w:val="clear" w:color="auto" w:fill="F9F5FF"/>
          </w:tcPr>
          <w:p>
            <w:pPr>
              <w:spacing w:before="28" w:after="28" w:line="276" w:lineRule="auto"/>
            </w:pPr>
            <w:r>
              <w:rPr>
                <w:rFonts w:ascii="Calibri" w:hAnsi="Calibri"/>
                <w:color w:val="1E162B"/>
                <w:sz w:val="18"/>
              </w:rPr>
              <w:t>Streaming</w:t>
            </w:r>
          </w:p>
        </w:tc>
        <w:tc>
          <w:tcPr>
            <w:tcW w:type="dxa" w:w="2257"/>
            <w:shd w:val="clear" w:color="auto" w:fill="F9F5FF"/>
          </w:tcPr>
          <w:p>
            <w:pPr>
              <w:spacing w:before="28" w:after="28" w:line="276" w:lineRule="auto"/>
            </w:pPr>
            <w:r>
              <w:rPr>
                <w:rFonts w:ascii="Calibri" w:hAnsi="Calibri"/>
                <w:color w:val="1E162B"/>
                <w:sz w:val="18"/>
              </w:rPr>
              <w:t>SSE via sse-starlette</w:t>
            </w:r>
          </w:p>
        </w:tc>
        <w:tc>
          <w:tcPr>
            <w:tcW w:type="dxa" w:w="2257"/>
            <w:shd w:val="clear" w:color="auto" w:fill="F9F5FF"/>
          </w:tcPr>
          <w:p>
            <w:pPr>
              <w:spacing w:before="28" w:after="28" w:line="276" w:lineRule="auto"/>
            </w:pPr>
            <w:r>
              <w:rPr>
                <w:rFonts w:ascii="Calibri" w:hAnsi="Calibri"/>
                <w:color w:val="1E162B"/>
                <w:sz w:val="18"/>
              </w:rPr>
              <w:t>2.1.3</w:t>
            </w:r>
          </w:p>
        </w:tc>
        <w:tc>
          <w:tcPr>
            <w:tcW w:type="dxa" w:w="2257"/>
            <w:shd w:val="clear" w:color="auto" w:fill="F9F5FF"/>
          </w:tcPr>
          <w:p>
            <w:pPr>
              <w:spacing w:before="28" w:after="28" w:line="276" w:lineRule="auto"/>
            </w:pPr>
            <w:r>
              <w:rPr>
                <w:rFonts w:ascii="Calibri" w:hAnsi="Calibri"/>
                <w:color w:val="1E162B"/>
                <w:sz w:val="18"/>
              </w:rPr>
              <w:t>Standard protocol; works with any HTTP client</w:t>
            </w:r>
          </w:p>
        </w:tc>
      </w:tr>
      <w:tr>
        <w:tc>
          <w:tcPr>
            <w:tcW w:type="dxa" w:w="2257"/>
            <w:shd w:val="clear" w:color="auto" w:fill="FFFFFF"/>
          </w:tcPr>
          <w:p>
            <w:pPr>
              <w:spacing w:before="28" w:after="28" w:line="276" w:lineRule="auto"/>
            </w:pPr>
            <w:r>
              <w:rPr>
                <w:rFonts w:ascii="Calibri" w:hAnsi="Calibri"/>
                <w:color w:val="1E162B"/>
                <w:sz w:val="18"/>
              </w:rPr>
              <w:t>Notifications</w:t>
            </w:r>
          </w:p>
        </w:tc>
        <w:tc>
          <w:tcPr>
            <w:tcW w:type="dxa" w:w="2257"/>
            <w:shd w:val="clear" w:color="auto" w:fill="FFFFFF"/>
          </w:tcPr>
          <w:p>
            <w:pPr>
              <w:spacing w:before="28" w:after="28" w:line="276" w:lineRule="auto"/>
            </w:pPr>
            <w:r>
              <w:rPr>
                <w:rFonts w:ascii="Calibri" w:hAnsi="Calibri"/>
                <w:color w:val="1E162B"/>
                <w:sz w:val="18"/>
              </w:rPr>
              <w:t>Firebase Cloud Messaging</w:t>
            </w:r>
          </w:p>
        </w:tc>
        <w:tc>
          <w:tcPr>
            <w:tcW w:type="dxa" w:w="2257"/>
            <w:shd w:val="clear" w:color="auto" w:fill="FFFFFF"/>
          </w:tcPr>
          <w:p>
            <w:pPr>
              <w:spacing w:before="28" w:after="28" w:line="276" w:lineRule="auto"/>
            </w:pPr>
            <w:r>
              <w:rPr>
                <w:rFonts w:ascii="Calibri" w:hAnsi="Calibri"/>
                <w:color w:val="1E162B"/>
                <w:sz w:val="18"/>
              </w:rPr>
              <w:t>Admin SDK 6.x</w:t>
            </w:r>
          </w:p>
        </w:tc>
        <w:tc>
          <w:tcPr>
            <w:tcW w:type="dxa" w:w="2257"/>
            <w:shd w:val="clear" w:color="auto" w:fill="FFFFFF"/>
          </w:tcPr>
          <w:p>
            <w:pPr>
              <w:spacing w:before="28" w:after="28" w:line="276" w:lineRule="auto"/>
            </w:pPr>
            <w:r>
              <w:rPr>
                <w:rFonts w:ascii="Calibri" w:hAnsi="Calibri"/>
                <w:color w:val="1E162B"/>
                <w:sz w:val="18"/>
              </w:rPr>
              <w:t>Used by 4B+ apps globally; Google infrastructure</w:t>
            </w:r>
          </w:p>
        </w:tc>
      </w:tr>
    </w:tbl>
    <w:p/>
    <w:p>
      <w:pPr>
        <w:spacing w:before="100" w:after="40" w:line="276" w:lineRule="auto"/>
      </w:pPr>
      <w:r>
        <w:rPr>
          <w:rFonts w:ascii="Calibri" w:hAnsi="Calibri"/>
          <w:b/>
          <w:color w:val="7C3AED"/>
          <w:sz w:val="22"/>
        </w:rPr>
        <w:t>2.5  Development Roadmap &amp; Milestones</w:t>
      </w:r>
    </w:p>
    <w:p>
      <w:pPr>
        <w:spacing w:before="0" w:after="50" w:line="276" w:lineRule="auto"/>
      </w:pPr>
      <w:r>
        <w:rPr>
          <w:rFonts w:ascii="Calibri" w:hAnsi="Calibri"/>
          <w:color w:val="1E162B"/>
          <w:sz w:val="20"/>
        </w:rPr>
        <w:t>The roadmap is structured so that Track 1 + Track 2 are fully validated by M3, before any work begins on M4 (client polish and dashboard). A judge can evaluate core prototype value at M3 without waiting for M5.</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Milestone</w:t>
            </w:r>
          </w:p>
        </w:tc>
        <w:tc>
          <w:tcPr>
            <w:tcW w:type="dxa" w:w="2257"/>
            <w:shd w:val="clear" w:color="auto" w:fill="1E162B"/>
          </w:tcPr>
          <w:p>
            <w:pPr>
              <w:spacing w:before="36" w:after="36" w:line="276" w:lineRule="auto"/>
            </w:pPr>
            <w:r>
              <w:rPr>
                <w:rFonts w:ascii="Calibri" w:hAnsi="Calibri"/>
                <w:b/>
                <w:color w:val="FFFFFF"/>
                <w:sz w:val="18"/>
              </w:rPr>
              <w:t>Duration</w:t>
            </w:r>
          </w:p>
        </w:tc>
        <w:tc>
          <w:tcPr>
            <w:tcW w:type="dxa" w:w="2257"/>
            <w:shd w:val="clear" w:color="auto" w:fill="1E162B"/>
          </w:tcPr>
          <w:p>
            <w:pPr>
              <w:spacing w:before="36" w:after="36" w:line="276" w:lineRule="auto"/>
            </w:pPr>
            <w:r>
              <w:rPr>
                <w:rFonts w:ascii="Calibri" w:hAnsi="Calibri"/>
                <w:b/>
                <w:color w:val="FFFFFF"/>
                <w:sz w:val="18"/>
              </w:rPr>
              <w:t>Primary Deliverable</w:t>
            </w:r>
          </w:p>
        </w:tc>
        <w:tc>
          <w:tcPr>
            <w:tcW w:type="dxa" w:w="2257"/>
            <w:shd w:val="clear" w:color="auto" w:fill="1E162B"/>
          </w:tcPr>
          <w:p>
            <w:pPr>
              <w:spacing w:before="36" w:after="36" w:line="276" w:lineRule="auto"/>
            </w:pPr>
            <w:r>
              <w:rPr>
                <w:rFonts w:ascii="Calibri" w:hAnsi="Calibri"/>
                <w:b/>
                <w:color w:val="FFFFFF"/>
                <w:sz w:val="18"/>
              </w:rPr>
              <w:t>Quality Gate (Pass/Fail)</w:t>
            </w:r>
          </w:p>
        </w:tc>
      </w:tr>
      <w:tr>
        <w:tc>
          <w:tcPr>
            <w:tcW w:type="dxa" w:w="2257"/>
            <w:shd w:val="clear" w:color="auto" w:fill="F9F5FF"/>
          </w:tcPr>
          <w:p>
            <w:pPr>
              <w:spacing w:before="28" w:after="28" w:line="276" w:lineRule="auto"/>
            </w:pPr>
            <w:r>
              <w:rPr>
                <w:rFonts w:ascii="Calibri" w:hAnsi="Calibri"/>
                <w:color w:val="1E162B"/>
                <w:sz w:val="18"/>
              </w:rPr>
              <w:t>M1</w:t>
              <w:br/>
              <w:t>Foundation</w:t>
            </w:r>
          </w:p>
        </w:tc>
        <w:tc>
          <w:tcPr>
            <w:tcW w:type="dxa" w:w="2257"/>
            <w:shd w:val="clear" w:color="auto" w:fill="F9F5FF"/>
          </w:tcPr>
          <w:p>
            <w:pPr>
              <w:spacing w:before="28" w:after="28" w:line="276" w:lineRule="auto"/>
            </w:pPr>
            <w:r>
              <w:rPr>
                <w:rFonts w:ascii="Calibri" w:hAnsi="Calibri"/>
                <w:color w:val="1E162B"/>
                <w:sz w:val="18"/>
              </w:rPr>
              <w:t>Weeks 1–2</w:t>
            </w:r>
          </w:p>
        </w:tc>
        <w:tc>
          <w:tcPr>
            <w:tcW w:type="dxa" w:w="2257"/>
            <w:shd w:val="clear" w:color="auto" w:fill="F9F5FF"/>
          </w:tcPr>
          <w:p>
            <w:pPr>
              <w:spacing w:before="28" w:after="28" w:line="276" w:lineRule="auto"/>
            </w:pPr>
            <w:r>
              <w:rPr>
                <w:rFonts w:ascii="Calibri" w:hAnsi="Calibri"/>
                <w:color w:val="1E162B"/>
                <w:sz w:val="18"/>
              </w:rPr>
              <w:t>PostgreSQL + PostGIS live; H3 grid seeded for Hyderabad (5,000+ cells); Redis configured; NCRB + OSM data ingested; Docker Compose full-stack healthy.</w:t>
            </w:r>
          </w:p>
        </w:tc>
        <w:tc>
          <w:tcPr>
            <w:tcW w:type="dxa" w:w="2257"/>
            <w:shd w:val="clear" w:color="auto" w:fill="F9F5FF"/>
          </w:tcPr>
          <w:p>
            <w:pPr>
              <w:spacing w:before="28" w:after="28" w:line="276" w:lineRule="auto"/>
            </w:pPr>
            <w:r>
              <w:rPr>
                <w:rFonts w:ascii="Calibri" w:hAnsi="Calibri"/>
                <w:color w:val="1E162B"/>
                <w:sz w:val="18"/>
              </w:rPr>
              <w:t>PostGIS spatial query returns H3 cells within a bounding box in &lt; 200ms. All containers healthy in Docker Compose.</w:t>
            </w:r>
          </w:p>
        </w:tc>
      </w:tr>
      <w:tr>
        <w:tc>
          <w:tcPr>
            <w:tcW w:type="dxa" w:w="2257"/>
            <w:shd w:val="clear" w:color="auto" w:fill="FFFFFF"/>
          </w:tcPr>
          <w:p>
            <w:pPr>
              <w:spacing w:before="28" w:after="28" w:line="276" w:lineRule="auto"/>
            </w:pPr>
            <w:r>
              <w:rPr>
                <w:rFonts w:ascii="Calibri" w:hAnsi="Calibri"/>
                <w:color w:val="1E162B"/>
                <w:sz w:val="18"/>
              </w:rPr>
              <w:t>M2</w:t>
              <w:br/>
              <w:t>Track 1 + 2</w:t>
              <w:br/>
              <w:t>Core AI</w:t>
            </w:r>
          </w:p>
        </w:tc>
        <w:tc>
          <w:tcPr>
            <w:tcW w:type="dxa" w:w="2257"/>
            <w:shd w:val="clear" w:color="auto" w:fill="FFFFFF"/>
          </w:tcPr>
          <w:p>
            <w:pPr>
              <w:spacing w:before="28" w:after="28" w:line="276" w:lineRule="auto"/>
            </w:pPr>
            <w:r>
              <w:rPr>
                <w:rFonts w:ascii="Calibri" w:hAnsi="Calibri"/>
                <w:color w:val="1E162B"/>
                <w:sz w:val="18"/>
              </w:rPr>
              <w:t>Weeks 3–5</w:t>
            </w:r>
          </w:p>
        </w:tc>
        <w:tc>
          <w:tcPr>
            <w:tcW w:type="dxa" w:w="2257"/>
            <w:shd w:val="clear" w:color="auto" w:fill="FFFFFF"/>
          </w:tcPr>
          <w:p>
            <w:pPr>
              <w:spacing w:before="28" w:after="28" w:line="276" w:lineRule="auto"/>
            </w:pPr>
            <w:r>
              <w:rPr>
                <w:rFonts w:ascii="Calibri" w:hAnsi="Calibri"/>
                <w:color w:val="1E162B"/>
                <w:sz w:val="18"/>
              </w:rPr>
              <w:t>XGBoost risk model trained and serving; SHAP counterfactual API functional; FastAPI WebSocket endpoint live; Isolation Forest + DTW detector implemented; LangGraph 5-node graph handles all 4 scenario states.</w:t>
            </w:r>
          </w:p>
        </w:tc>
        <w:tc>
          <w:tcPr>
            <w:tcW w:type="dxa" w:w="2257"/>
            <w:shd w:val="clear" w:color="auto" w:fill="FFFFFF"/>
          </w:tcPr>
          <w:p>
            <w:pPr>
              <w:spacing w:before="28" w:after="28" w:line="276" w:lineRule="auto"/>
            </w:pPr>
            <w:r>
              <w:rPr>
                <w:rFonts w:ascii="Calibri" w:hAnsi="Calibri"/>
                <w:color w:val="1E162B"/>
                <w:sz w:val="18"/>
              </w:rPr>
              <w:t>XGBoost AUC ≥ 0.78 on hold-out test. Isolation Forest correctly flags synthetic 500m deviation with precision ≥ 80%. LangGraph graph executes DEVIATION and DISTRESS scenarios end-to-end without exception.</w:t>
            </w:r>
          </w:p>
        </w:tc>
      </w:tr>
      <w:tr>
        <w:tc>
          <w:tcPr>
            <w:tcW w:type="dxa" w:w="2257"/>
            <w:shd w:val="clear" w:color="auto" w:fill="F9F5FF"/>
          </w:tcPr>
          <w:p>
            <w:pPr>
              <w:spacing w:before="28" w:after="28" w:line="276" w:lineRule="auto"/>
            </w:pPr>
            <w:r>
              <w:rPr>
                <w:rFonts w:ascii="Calibri" w:hAnsi="Calibri"/>
                <w:color w:val="1E162B"/>
                <w:sz w:val="18"/>
              </w:rPr>
              <w:t>M3</w:t>
              <w:br/>
              <w:t>Tracks 4 + 5</w:t>
              <w:br/>
              <w:t>Supporting AI</w:t>
            </w:r>
          </w:p>
        </w:tc>
        <w:tc>
          <w:tcPr>
            <w:tcW w:type="dxa" w:w="2257"/>
            <w:shd w:val="clear" w:color="auto" w:fill="F9F5FF"/>
          </w:tcPr>
          <w:p>
            <w:pPr>
              <w:spacing w:before="28" w:after="28" w:line="276" w:lineRule="auto"/>
            </w:pPr>
            <w:r>
              <w:rPr>
                <w:rFonts w:ascii="Calibri" w:hAnsi="Calibri"/>
                <w:color w:val="1E162B"/>
                <w:sz w:val="18"/>
              </w:rPr>
              <w:t>Weeks 6–8</w:t>
            </w:r>
          </w:p>
        </w:tc>
        <w:tc>
          <w:tcPr>
            <w:tcW w:type="dxa" w:w="2257"/>
            <w:shd w:val="clear" w:color="auto" w:fill="F9F5FF"/>
          </w:tcPr>
          <w:p>
            <w:pPr>
              <w:spacing w:before="28" w:after="28" w:line="276" w:lineRule="auto"/>
            </w:pPr>
            <w:r>
              <w:rPr>
                <w:rFonts w:ascii="Calibri" w:hAnsi="Calibri"/>
                <w:color w:val="1E162B"/>
                <w:sz w:val="18"/>
              </w:rPr>
              <w:t>Redis Streams report pipeline live; Celery trust scoring worker functional; DBSCAN materialised view refreshing; Gemini 2.5 Flash SSE companion live; FIR draft generator producing structured JSON output.</w:t>
            </w:r>
          </w:p>
        </w:tc>
        <w:tc>
          <w:tcPr>
            <w:tcW w:type="dxa" w:w="2257"/>
            <w:shd w:val="clear" w:color="auto" w:fill="F9F5FF"/>
          </w:tcPr>
          <w:p>
            <w:pPr>
              <w:spacing w:before="28" w:after="28" w:line="276" w:lineRule="auto"/>
            </w:pPr>
            <w:r>
              <w:rPr>
                <w:rFonts w:ascii="Calibri" w:hAnsi="Calibri"/>
                <w:color w:val="1E162B"/>
                <w:sz w:val="18"/>
              </w:rPr>
              <w:t>Trust scorer Spearman ρ ≥ 0.70 on seeded validation set. Gemini first-token latency &lt; 800ms. FIR draft JSON validates against output schema on 20 test inputs. DBSCAN clusters form correctly from 50+ seeded reports.</w:t>
            </w:r>
          </w:p>
        </w:tc>
      </w:tr>
      <w:tr>
        <w:tc>
          <w:tcPr>
            <w:tcW w:type="dxa" w:w="2257"/>
            <w:shd w:val="clear" w:color="auto" w:fill="FFFFFF"/>
          </w:tcPr>
          <w:p>
            <w:pPr>
              <w:spacing w:before="28" w:after="28" w:line="276" w:lineRule="auto"/>
            </w:pPr>
            <w:r>
              <w:rPr>
                <w:rFonts w:ascii="Calibri" w:hAnsi="Calibri"/>
                <w:color w:val="1E162B"/>
                <w:sz w:val="18"/>
              </w:rPr>
              <w:t>M4</w:t>
              <w:br/>
              <w:t>Client</w:t>
              <w:br/>
              <w:t>Applications</w:t>
            </w:r>
          </w:p>
        </w:tc>
        <w:tc>
          <w:tcPr>
            <w:tcW w:type="dxa" w:w="2257"/>
            <w:shd w:val="clear" w:color="auto" w:fill="FFFFFF"/>
          </w:tcPr>
          <w:p>
            <w:pPr>
              <w:spacing w:before="28" w:after="28" w:line="276" w:lineRule="auto"/>
            </w:pPr>
            <w:r>
              <w:rPr>
                <w:rFonts w:ascii="Calibri" w:hAnsi="Calibri"/>
                <w:color w:val="1E162B"/>
                <w:sz w:val="18"/>
              </w:rPr>
              <w:t>Weeks 9–11</w:t>
            </w:r>
          </w:p>
        </w:tc>
        <w:tc>
          <w:tcPr>
            <w:tcW w:type="dxa" w:w="2257"/>
            <w:shd w:val="clear" w:color="auto" w:fill="FFFFFF"/>
          </w:tcPr>
          <w:p>
            <w:pPr>
              <w:spacing w:before="28" w:after="28" w:line="276" w:lineRule="auto"/>
            </w:pPr>
            <w:r>
              <w:rPr>
                <w:rFonts w:ascii="Calibri" w:hAnsi="Calibri"/>
                <w:color w:val="1E162B"/>
                <w:sz w:val="18"/>
              </w:rPr>
              <w:t>Flutter app: live GPS streaming, risk display, SOS, SSE chat. Next.js dashboard: deck.gl heatmap, agent feed, community map, companion panel.</w:t>
            </w:r>
          </w:p>
        </w:tc>
        <w:tc>
          <w:tcPr>
            <w:tcW w:type="dxa" w:w="2257"/>
            <w:shd w:val="clear" w:color="auto" w:fill="FFFFFF"/>
          </w:tcPr>
          <w:p>
            <w:pPr>
              <w:spacing w:before="28" w:after="28" w:line="276" w:lineRule="auto"/>
            </w:pPr>
            <w:r>
              <w:rPr>
                <w:rFonts w:ascii="Calibri" w:hAnsi="Calibri"/>
                <w:color w:val="1E162B"/>
                <w:sz w:val="18"/>
              </w:rPr>
              <w:t>Flutter GPS WebSocket round-trip &lt; 500ms on 4G. deck.gl renders 10,000 H3 cells at ≥ 30fps. All 4 demo scenarios (NORMAL / DEVIATION / DISTRESS / COMMUNITY_ALERT) execute end-to-end.</w:t>
            </w:r>
          </w:p>
        </w:tc>
      </w:tr>
      <w:tr>
        <w:tc>
          <w:tcPr>
            <w:tcW w:type="dxa" w:w="2257"/>
            <w:shd w:val="clear" w:color="auto" w:fill="F9F5FF"/>
          </w:tcPr>
          <w:p>
            <w:pPr>
              <w:spacing w:before="28" w:after="28" w:line="276" w:lineRule="auto"/>
            </w:pPr>
            <w:r>
              <w:rPr>
                <w:rFonts w:ascii="Calibri" w:hAnsi="Calibri"/>
                <w:color w:val="1E162B"/>
                <w:sz w:val="18"/>
              </w:rPr>
              <w:t>M5</w:t>
              <w:br/>
              <w:t>Validation</w:t>
              <w:br/>
              <w:t>&amp; Submission</w:t>
            </w:r>
          </w:p>
        </w:tc>
        <w:tc>
          <w:tcPr>
            <w:tcW w:type="dxa" w:w="2257"/>
            <w:shd w:val="clear" w:color="auto" w:fill="F9F5FF"/>
          </w:tcPr>
          <w:p>
            <w:pPr>
              <w:spacing w:before="28" w:after="28" w:line="276" w:lineRule="auto"/>
            </w:pPr>
            <w:r>
              <w:rPr>
                <w:rFonts w:ascii="Calibri" w:hAnsi="Calibri"/>
                <w:color w:val="1E162B"/>
                <w:sz w:val="18"/>
              </w:rPr>
              <w:t>Weeks 12–13</w:t>
            </w:r>
          </w:p>
        </w:tc>
        <w:tc>
          <w:tcPr>
            <w:tcW w:type="dxa" w:w="2257"/>
            <w:shd w:val="clear" w:color="auto" w:fill="F9F5FF"/>
          </w:tcPr>
          <w:p>
            <w:pPr>
              <w:spacing w:before="28" w:after="28" w:line="276" w:lineRule="auto"/>
            </w:pPr>
            <w:r>
              <w:rPr>
                <w:rFonts w:ascii="Calibri" w:hAnsi="Calibri"/>
                <w:color w:val="1E162B"/>
                <w:sz w:val="18"/>
              </w:rPr>
              <w:t>User study (50 journeys; 20-judge panel for companion); performance benchmarking vs. OKRs; documentation; demo video; submission package.</w:t>
            </w:r>
          </w:p>
        </w:tc>
        <w:tc>
          <w:tcPr>
            <w:tcW w:type="dxa" w:w="2257"/>
            <w:shd w:val="clear" w:color="auto" w:fill="F9F5FF"/>
          </w:tcPr>
          <w:p>
            <w:pPr>
              <w:spacing w:before="28" w:after="28" w:line="276" w:lineRule="auto"/>
            </w:pPr>
            <w:r>
              <w:rPr>
                <w:rFonts w:ascii="Calibri" w:hAnsi="Calibri"/>
                <w:color w:val="1E162B"/>
                <w:sz w:val="18"/>
              </w:rPr>
              <w:t>All 5 OKRs at or above pilot target threshold. Demo video ≤ 5 min shows live scenario switching. Submission package complete.</w:t>
            </w:r>
          </w:p>
        </w:tc>
      </w:tr>
    </w:tbl>
    <w:p/>
    <w:p>
      <w:r>
        <w:br w:type="page"/>
      </w:r>
    </w:p>
    <w:p>
      <w:pPr>
        <w:spacing w:before="180" w:after="80" w:line="276" w:lineRule="auto"/>
        <w:pBdr>
          <w:left w:val="single" w:sz="24" w:space="4" w:color="E11D74"/>
        </w:pBdr>
      </w:pPr>
      <w:r>
        <w:rPr>
          <w:rFonts w:ascii="Calibri" w:hAnsi="Calibri"/>
          <w:b/>
          <w:color w:val="E11D74"/>
          <w:sz w:val="27"/>
        </w:rPr>
        <w:t>3.  Commercial Strategy &amp; Revenue Model</w:t>
      </w:r>
    </w:p>
    <w:p>
      <w:pPr>
        <w:spacing w:before="0" w:after="50" w:line="276" w:lineRule="auto"/>
      </w:pPr>
      <w:r>
        <w:rPr>
          <w:rFonts w:ascii="Calibri" w:hAnsi="Calibri"/>
          <w:color w:val="1E162B"/>
          <w:sz w:val="20"/>
        </w:rPr>
        <w:t>A safety platform without a commercial path is a grant-dependent charity. SafeHerAI is designed as a B2B/B2G safety intelligence platform from the ground up — with a clear first paying customer, an explicit revenue model, and a defensible reason why the primary customers will pay rather than build internally.</w:t>
      </w:r>
    </w:p>
    <w:p>
      <w:pPr>
        <w:spacing w:before="100" w:after="40" w:line="276" w:lineRule="auto"/>
      </w:pPr>
      <w:r>
        <w:rPr>
          <w:rFonts w:ascii="Calibri" w:hAnsi="Calibri"/>
          <w:b/>
          <w:color w:val="7C3AED"/>
          <w:sz w:val="22"/>
        </w:rPr>
        <w:t>3.1  The Business Model — B2B/B2G Safety Intelligence Platform</w:t>
      </w:r>
    </w:p>
    <w:p>
      <w:pPr>
        <w:spacing w:before="0" w:after="50" w:line="276" w:lineRule="auto"/>
      </w:pPr>
      <w:r>
        <w:rPr>
          <w:rFonts w:ascii="Calibri" w:hAnsi="Calibri"/>
          <w:color w:val="1E162B"/>
          <w:sz w:val="20"/>
        </w:rPr>
        <w:t>SafeHerAI is not a B2C consumer app. The lessons of the Indian women's safety app market are clear: consumer apps struggle with monetisation, low retention, and viral distribution barriers (cultural stigma around discussing safety). SafeHerAI's strategy is to be infrastructure — sold to institutions that have a legal, reputational, or contractual duty of care to the women in their ecosystem.</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1806"/>
            <w:shd w:val="clear" w:color="auto" w:fill="1E162B"/>
          </w:tcPr>
          <w:p>
            <w:pPr>
              <w:spacing w:before="36" w:after="36" w:line="276" w:lineRule="auto"/>
            </w:pPr>
            <w:r>
              <w:rPr>
                <w:rFonts w:ascii="Calibri" w:hAnsi="Calibri"/>
                <w:b/>
                <w:color w:val="FFFFFF"/>
                <w:sz w:val="18"/>
              </w:rPr>
              <w:t>Customer Segment</w:t>
            </w:r>
          </w:p>
        </w:tc>
        <w:tc>
          <w:tcPr>
            <w:tcW w:type="dxa" w:w="1806"/>
            <w:shd w:val="clear" w:color="auto" w:fill="1E162B"/>
          </w:tcPr>
          <w:p>
            <w:pPr>
              <w:spacing w:before="36" w:after="36" w:line="276" w:lineRule="auto"/>
            </w:pPr>
            <w:r>
              <w:rPr>
                <w:rFonts w:ascii="Calibri" w:hAnsi="Calibri"/>
                <w:b/>
                <w:color w:val="FFFFFF"/>
                <w:sz w:val="18"/>
              </w:rPr>
              <w:t>Primary Offering</w:t>
            </w:r>
          </w:p>
        </w:tc>
        <w:tc>
          <w:tcPr>
            <w:tcW w:type="dxa" w:w="1806"/>
            <w:shd w:val="clear" w:color="auto" w:fill="1E162B"/>
          </w:tcPr>
          <w:p>
            <w:pPr>
              <w:spacing w:before="36" w:after="36" w:line="276" w:lineRule="auto"/>
            </w:pPr>
            <w:r>
              <w:rPr>
                <w:rFonts w:ascii="Calibri" w:hAnsi="Calibri"/>
                <w:b/>
                <w:color w:val="FFFFFF"/>
                <w:sz w:val="18"/>
              </w:rPr>
              <w:t>Why They Pay</w:t>
            </w:r>
          </w:p>
        </w:tc>
        <w:tc>
          <w:tcPr>
            <w:tcW w:type="dxa" w:w="1806"/>
            <w:shd w:val="clear" w:color="auto" w:fill="1E162B"/>
          </w:tcPr>
          <w:p>
            <w:pPr>
              <w:spacing w:before="36" w:after="36" w:line="276" w:lineRule="auto"/>
            </w:pPr>
            <w:r>
              <w:rPr>
                <w:rFonts w:ascii="Calibri" w:hAnsi="Calibri"/>
                <w:b/>
                <w:color w:val="FFFFFF"/>
                <w:sz w:val="18"/>
              </w:rPr>
              <w:t>Pricing Model</w:t>
            </w:r>
          </w:p>
        </w:tc>
        <w:tc>
          <w:tcPr>
            <w:tcW w:type="dxa" w:w="1806"/>
            <w:shd w:val="clear" w:color="auto" w:fill="1E162B"/>
          </w:tcPr>
          <w:p>
            <w:pPr>
              <w:spacing w:before="36" w:after="36" w:line="276" w:lineRule="auto"/>
            </w:pPr>
            <w:r>
              <w:rPr>
                <w:rFonts w:ascii="Calibri" w:hAnsi="Calibri"/>
                <w:b/>
                <w:color w:val="FFFFFF"/>
                <w:sz w:val="18"/>
              </w:rPr>
              <w:t>Target ARR per Customer</w:t>
            </w:r>
          </w:p>
        </w:tc>
      </w:tr>
      <w:tr>
        <w:tc>
          <w:tcPr>
            <w:tcW w:type="dxa" w:w="1806"/>
            <w:shd w:val="clear" w:color="auto" w:fill="F9F5FF"/>
          </w:tcPr>
          <w:p>
            <w:pPr>
              <w:spacing w:before="28" w:after="28" w:line="276" w:lineRule="auto"/>
            </w:pPr>
            <w:r>
              <w:rPr>
                <w:rFonts w:ascii="Calibri" w:hAnsi="Calibri"/>
                <w:color w:val="1E162B"/>
                <w:sz w:val="18"/>
              </w:rPr>
              <w:t>Universities &amp;</w:t>
              <w:br/>
              <w:t>Residential Colleges</w:t>
            </w:r>
          </w:p>
        </w:tc>
        <w:tc>
          <w:tcPr>
            <w:tcW w:type="dxa" w:w="1806"/>
            <w:shd w:val="clear" w:color="auto" w:fill="F9F5FF"/>
          </w:tcPr>
          <w:p>
            <w:pPr>
              <w:spacing w:before="28" w:after="28" w:line="276" w:lineRule="auto"/>
            </w:pPr>
            <w:r>
              <w:rPr>
                <w:rFonts w:ascii="Calibri" w:hAnsi="Calibri"/>
                <w:color w:val="1E162B"/>
                <w:sz w:val="18"/>
              </w:rPr>
              <w:t>Campus Safety Platform: Track 1 (safe route map of campus &amp; adjacent city); Track 2 (safe commute monitoring for students); Track 5 (AI grievance companion); anonymised campus risk dashboard for security team.</w:t>
            </w:r>
          </w:p>
        </w:tc>
        <w:tc>
          <w:tcPr>
            <w:tcW w:type="dxa" w:w="1806"/>
            <w:shd w:val="clear" w:color="auto" w:fill="F9F5FF"/>
          </w:tcPr>
          <w:p>
            <w:pPr>
              <w:spacing w:before="28" w:after="28" w:line="276" w:lineRule="auto"/>
            </w:pPr>
            <w:r>
              <w:rPr>
                <w:rFonts w:ascii="Calibri" w:hAnsi="Calibri"/>
                <w:color w:val="1E162B"/>
                <w:sz w:val="18"/>
              </w:rPr>
              <w:t>Statutory duty of care under UGC anti-sexual harassment guidelines. Reputational risk of campus incidents. NAAC accreditation criteria include safety infrastructure.</w:t>
            </w:r>
          </w:p>
        </w:tc>
        <w:tc>
          <w:tcPr>
            <w:tcW w:type="dxa" w:w="1806"/>
            <w:shd w:val="clear" w:color="auto" w:fill="F9F5FF"/>
          </w:tcPr>
          <w:p>
            <w:pPr>
              <w:spacing w:before="28" w:after="28" w:line="276" w:lineRule="auto"/>
            </w:pPr>
            <w:r>
              <w:rPr>
                <w:rFonts w:ascii="Calibri" w:hAnsi="Calibri"/>
                <w:color w:val="1E162B"/>
                <w:sz w:val="18"/>
              </w:rPr>
              <w:t>SaaS: ₹50–150/student/year based on institution size. 2,000-student college = ₹1–3 lakh/year.</w:t>
            </w:r>
          </w:p>
        </w:tc>
        <w:tc>
          <w:tcPr>
            <w:tcW w:type="dxa" w:w="1806"/>
            <w:shd w:val="clear" w:color="auto" w:fill="F9F5FF"/>
          </w:tcPr>
          <w:p>
            <w:pPr>
              <w:spacing w:before="28" w:after="28" w:line="276" w:lineRule="auto"/>
            </w:pPr>
            <w:r>
              <w:rPr>
                <w:rFonts w:ascii="Calibri" w:hAnsi="Calibri"/>
                <w:color w:val="1E162B"/>
                <w:sz w:val="18"/>
              </w:rPr>
              <w:t>₹1.5 – 4.5 lakh</w:t>
            </w:r>
          </w:p>
        </w:tc>
      </w:tr>
      <w:tr>
        <w:tc>
          <w:tcPr>
            <w:tcW w:type="dxa" w:w="1806"/>
            <w:shd w:val="clear" w:color="auto" w:fill="FFFFFF"/>
          </w:tcPr>
          <w:p>
            <w:pPr>
              <w:spacing w:before="28" w:after="28" w:line="276" w:lineRule="auto"/>
            </w:pPr>
            <w:r>
              <w:rPr>
                <w:rFonts w:ascii="Calibri" w:hAnsi="Calibri"/>
                <w:color w:val="1E162B"/>
                <w:sz w:val="18"/>
              </w:rPr>
              <w:t>MSME Transport</w:t>
              <w:br/>
              <w:t>Operators &amp; Aggregators</w:t>
            </w:r>
          </w:p>
        </w:tc>
        <w:tc>
          <w:tcPr>
            <w:tcW w:type="dxa" w:w="1806"/>
            <w:shd w:val="clear" w:color="auto" w:fill="FFFFFF"/>
          </w:tcPr>
          <w:p>
            <w:pPr>
              <w:spacing w:before="28" w:after="28" w:line="276" w:lineRule="auto"/>
            </w:pPr>
            <w:r>
              <w:rPr>
                <w:rFonts w:ascii="Calibri" w:hAnsi="Calibri"/>
                <w:color w:val="1E162B"/>
                <w:sz w:val="18"/>
              </w:rPr>
              <w:t>SafeRide SDK: Track 2 (Journey Digital Twin + deviation detection) as a white-label API embedded in operator's existing driver app. Track 5 (AI companion) for passenger-facing module.</w:t>
            </w:r>
          </w:p>
        </w:tc>
        <w:tc>
          <w:tcPr>
            <w:tcW w:type="dxa" w:w="1806"/>
            <w:shd w:val="clear" w:color="auto" w:fill="FFFFFF"/>
          </w:tcPr>
          <w:p>
            <w:pPr>
              <w:spacing w:before="28" w:after="28" w:line="276" w:lineRule="auto"/>
            </w:pPr>
            <w:r>
              <w:rPr>
                <w:rFonts w:ascii="Calibri" w:hAnsi="Calibri"/>
                <w:color w:val="1E162B"/>
                <w:sz w:val="18"/>
              </w:rPr>
              <w:t>PoSH Act compliance for on-vehicle harassment. Platform liability risk under aggregator regulation. Competitive differentiation (safety as marketing).</w:t>
            </w:r>
          </w:p>
        </w:tc>
        <w:tc>
          <w:tcPr>
            <w:tcW w:type="dxa" w:w="1806"/>
            <w:shd w:val="clear" w:color="auto" w:fill="FFFFFF"/>
          </w:tcPr>
          <w:p>
            <w:pPr>
              <w:spacing w:before="28" w:after="28" w:line="276" w:lineRule="auto"/>
            </w:pPr>
            <w:r>
              <w:rPr>
                <w:rFonts w:ascii="Calibri" w:hAnsi="Calibri"/>
                <w:color w:val="1E162B"/>
                <w:sz w:val="18"/>
              </w:rPr>
              <w:t>Per-trip: ₹0.50–1.50 per completed trip with safety monitoring active. 10,000 trips/month = ₹5,000–15,000/month.</w:t>
            </w:r>
          </w:p>
        </w:tc>
        <w:tc>
          <w:tcPr>
            <w:tcW w:type="dxa" w:w="1806"/>
            <w:shd w:val="clear" w:color="auto" w:fill="FFFFFF"/>
          </w:tcPr>
          <w:p>
            <w:pPr>
              <w:spacing w:before="28" w:after="28" w:line="276" w:lineRule="auto"/>
            </w:pPr>
            <w:r>
              <w:rPr>
                <w:rFonts w:ascii="Calibri" w:hAnsi="Calibri"/>
                <w:color w:val="1E162B"/>
                <w:sz w:val="18"/>
              </w:rPr>
              <w:t>₹60,000 – 1,80,000</w:t>
            </w:r>
          </w:p>
        </w:tc>
      </w:tr>
      <w:tr>
        <w:tc>
          <w:tcPr>
            <w:tcW w:type="dxa" w:w="1806"/>
            <w:shd w:val="clear" w:color="auto" w:fill="F9F5FF"/>
          </w:tcPr>
          <w:p>
            <w:pPr>
              <w:spacing w:before="28" w:after="28" w:line="276" w:lineRule="auto"/>
            </w:pPr>
            <w:r>
              <w:rPr>
                <w:rFonts w:ascii="Calibri" w:hAnsi="Calibri"/>
                <w:color w:val="1E162B"/>
                <w:sz w:val="18"/>
              </w:rPr>
              <w:t>Corporates</w:t>
              <w:br/>
              <w:t>(IT, BPO, Manufacturing)</w:t>
            </w:r>
          </w:p>
        </w:tc>
        <w:tc>
          <w:tcPr>
            <w:tcW w:type="dxa" w:w="1806"/>
            <w:shd w:val="clear" w:color="auto" w:fill="F9F5FF"/>
          </w:tcPr>
          <w:p>
            <w:pPr>
              <w:spacing w:before="28" w:after="28" w:line="276" w:lineRule="auto"/>
            </w:pPr>
            <w:r>
              <w:rPr>
                <w:rFonts w:ascii="Calibri" w:hAnsi="Calibri"/>
                <w:color w:val="1E162B"/>
                <w:sz w:val="18"/>
              </w:rPr>
              <w:t>Employee Mobility Safety: Track 1 + 2 for women employees on night shifts or late-office travel. Guardian dashboard for HR/security teams.</w:t>
            </w:r>
          </w:p>
        </w:tc>
        <w:tc>
          <w:tcPr>
            <w:tcW w:type="dxa" w:w="1806"/>
            <w:shd w:val="clear" w:color="auto" w:fill="F9F5FF"/>
          </w:tcPr>
          <w:p>
            <w:pPr>
              <w:spacing w:before="28" w:after="28" w:line="276" w:lineRule="auto"/>
            </w:pPr>
            <w:r>
              <w:rPr>
                <w:rFonts w:ascii="Calibri" w:hAnsi="Calibri"/>
                <w:color w:val="1E162B"/>
                <w:sz w:val="18"/>
              </w:rPr>
              <w:t>Companies with &gt; 50 employees have mandatory POSH committee obligations. ESG reporting requires safety metrics. Women talent retention competitive pressure.</w:t>
            </w:r>
          </w:p>
        </w:tc>
        <w:tc>
          <w:tcPr>
            <w:tcW w:type="dxa" w:w="1806"/>
            <w:shd w:val="clear" w:color="auto" w:fill="F9F5FF"/>
          </w:tcPr>
          <w:p>
            <w:pPr>
              <w:spacing w:before="28" w:after="28" w:line="276" w:lineRule="auto"/>
            </w:pPr>
            <w:r>
              <w:rPr>
                <w:rFonts w:ascii="Calibri" w:hAnsi="Calibri"/>
                <w:color w:val="1E162B"/>
                <w:sz w:val="18"/>
              </w:rPr>
              <w:t>Per seat: ₹1,000–3,000/year per covered female employee. 200-employee company = ₹2–6 lakh/year.</w:t>
            </w:r>
          </w:p>
        </w:tc>
        <w:tc>
          <w:tcPr>
            <w:tcW w:type="dxa" w:w="1806"/>
            <w:shd w:val="clear" w:color="auto" w:fill="F9F5FF"/>
          </w:tcPr>
          <w:p>
            <w:pPr>
              <w:spacing w:before="28" w:after="28" w:line="276" w:lineRule="auto"/>
            </w:pPr>
            <w:r>
              <w:rPr>
                <w:rFonts w:ascii="Calibri" w:hAnsi="Calibri"/>
                <w:color w:val="1E162B"/>
                <w:sz w:val="18"/>
              </w:rPr>
              <w:t>₹2 – 6 lakh</w:t>
            </w:r>
          </w:p>
        </w:tc>
      </w:tr>
      <w:tr>
        <w:tc>
          <w:tcPr>
            <w:tcW w:type="dxa" w:w="1806"/>
            <w:shd w:val="clear" w:color="auto" w:fill="FFFFFF"/>
          </w:tcPr>
          <w:p>
            <w:pPr>
              <w:spacing w:before="28" w:after="28" w:line="276" w:lineRule="auto"/>
            </w:pPr>
            <w:r>
              <w:rPr>
                <w:rFonts w:ascii="Calibri" w:hAnsi="Calibri"/>
                <w:color w:val="1E162B"/>
                <w:sz w:val="18"/>
              </w:rPr>
              <w:t>Smart City PMUs &amp;</w:t>
              <w:br/>
              <w:t>State Governments</w:t>
            </w:r>
          </w:p>
        </w:tc>
        <w:tc>
          <w:tcPr>
            <w:tcW w:type="dxa" w:w="1806"/>
            <w:shd w:val="clear" w:color="auto" w:fill="FFFFFF"/>
          </w:tcPr>
          <w:p>
            <w:pPr>
              <w:spacing w:before="28" w:after="28" w:line="276" w:lineRule="auto"/>
            </w:pPr>
            <w:r>
              <w:rPr>
                <w:rFonts w:ascii="Calibri" w:hAnsi="Calibri"/>
                <w:color w:val="1E162B"/>
                <w:sz w:val="18"/>
              </w:rPr>
              <w:t>City Safety Intelligence API: anonymised, aggregated heatmap data + community alert layer as an API license. Track 1 serves as a public safety data feed for city control rooms.</w:t>
            </w:r>
          </w:p>
        </w:tc>
        <w:tc>
          <w:tcPr>
            <w:tcW w:type="dxa" w:w="1806"/>
            <w:shd w:val="clear" w:color="auto" w:fill="FFFFFF"/>
          </w:tcPr>
          <w:p>
            <w:pPr>
              <w:spacing w:before="28" w:after="28" w:line="276" w:lineRule="auto"/>
            </w:pPr>
            <w:r>
              <w:rPr>
                <w:rFonts w:ascii="Calibri" w:hAnsi="Calibri"/>
                <w:color w:val="1E162B"/>
                <w:sz w:val="18"/>
              </w:rPr>
              <w:t>Nirbhaya Fund mandated expenditure on women's safety infrastructure. Smart City Mission KPIs include safety metrics. Low build cost relative to alternatives.</w:t>
            </w:r>
          </w:p>
        </w:tc>
        <w:tc>
          <w:tcPr>
            <w:tcW w:type="dxa" w:w="1806"/>
            <w:shd w:val="clear" w:color="auto" w:fill="FFFFFF"/>
          </w:tcPr>
          <w:p>
            <w:pPr>
              <w:spacing w:before="28" w:after="28" w:line="276" w:lineRule="auto"/>
            </w:pPr>
            <w:r>
              <w:rPr>
                <w:rFonts w:ascii="Calibri" w:hAnsi="Calibri"/>
                <w:color w:val="1E162B"/>
                <w:sz w:val="18"/>
              </w:rPr>
              <w:t>API license: ₹5–20 lakh/year per city, depending on data volume and integration depth.</w:t>
            </w:r>
          </w:p>
        </w:tc>
        <w:tc>
          <w:tcPr>
            <w:tcW w:type="dxa" w:w="1806"/>
            <w:shd w:val="clear" w:color="auto" w:fill="FFFFFF"/>
          </w:tcPr>
          <w:p>
            <w:pPr>
              <w:spacing w:before="28" w:after="28" w:line="276" w:lineRule="auto"/>
            </w:pPr>
            <w:r>
              <w:rPr>
                <w:rFonts w:ascii="Calibri" w:hAnsi="Calibri"/>
                <w:color w:val="1E162B"/>
                <w:sz w:val="18"/>
              </w:rPr>
              <w:t>₹5 – 20 lakh</w:t>
            </w:r>
          </w:p>
        </w:tc>
      </w:tr>
    </w:tbl>
    <w:p/>
    <w:p>
      <w:pPr>
        <w:spacing w:before="100" w:after="40" w:line="276" w:lineRule="auto"/>
      </w:pPr>
      <w:r>
        <w:rPr>
          <w:rFonts w:ascii="Calibri" w:hAnsi="Calibri"/>
          <w:b/>
          <w:color w:val="7C3AED"/>
          <w:sz w:val="22"/>
        </w:rPr>
        <w:t>3.2  First Paying Customer — The Campus Deployment</w:t>
      </w:r>
    </w:p>
    <w:p>
      <w:pPr>
        <w:spacing w:before="0" w:after="50" w:line="276" w:lineRule="auto"/>
      </w:pPr>
      <w:r>
        <w:rPr>
          <w:rFonts w:ascii="Calibri" w:hAnsi="Calibri"/>
          <w:color w:val="1E162B"/>
          <w:sz w:val="20"/>
        </w:rPr>
        <w:t>The first paying customer is a university or residential college. This is chosen deliberately for three strategic reasons:</w:t>
      </w:r>
    </w:p>
    <w:p>
      <w:pPr>
        <w:pStyle w:val="ListBullet"/>
        <w:spacing w:before="0" w:after="28" w:line="276" w:lineRule="auto"/>
        <w:ind w:left="360"/>
      </w:pPr>
      <w:r>
        <w:rPr>
          <w:rFonts w:ascii="Calibri" w:hAnsi="Calibri"/>
          <w:color w:val="1E162B"/>
          <w:sz w:val="20"/>
        </w:rPr>
        <w:t>Direct access: VIT-AP University is the institutional base for this project. A campus pilot can begin immediately, providing real user data, real feedback, and a real reference customer.</w:t>
      </w:r>
    </w:p>
    <w:p>
      <w:pPr>
        <w:pStyle w:val="ListBullet"/>
        <w:spacing w:before="0" w:after="28" w:line="276" w:lineRule="auto"/>
        <w:ind w:left="360"/>
      </w:pPr>
      <w:r>
        <w:rPr>
          <w:rFonts w:ascii="Calibri" w:hAnsi="Calibri"/>
          <w:color w:val="1E162B"/>
          <w:sz w:val="20"/>
        </w:rPr>
        <w:t>Low regulatory friction: No government approval or state police integration required for a campus deployment. Track 1 + Track 5 alone deliver sufficient value for a campus safety subscription.</w:t>
      </w:r>
    </w:p>
    <w:p>
      <w:pPr>
        <w:pStyle w:val="ListBullet"/>
        <w:spacing w:before="0" w:after="28" w:line="276" w:lineRule="auto"/>
        <w:ind w:left="360"/>
      </w:pPr>
      <w:r>
        <w:rPr>
          <w:rFonts w:ascii="Calibri" w:hAnsi="Calibri"/>
          <w:color w:val="1E162B"/>
          <w:sz w:val="20"/>
        </w:rPr>
        <w:t>Clear decision-maker: The Vice Chancellor or Registrar can sign a safety technology contract without a lengthy procurement process. The NAAC compliance narrative creates urgency.</w:t>
      </w:r>
    </w:p>
    <w:p>
      <w:pPr>
        <w:spacing w:before="0" w:after="50" w:line="276" w:lineRule="auto"/>
      </w:pPr>
      <w:r>
        <w:rPr>
          <w:rFonts w:ascii="Calibri" w:hAnsi="Calibri"/>
          <w:color w:val="1E162B"/>
          <w:sz w:val="20"/>
        </w:rPr>
        <w:t>Proposed campus deployment configuration:</w:t>
      </w:r>
    </w:p>
    <w:p>
      <w:pPr>
        <w:pStyle w:val="ListBullet"/>
        <w:spacing w:before="0" w:after="28" w:line="276" w:lineRule="auto"/>
        <w:ind w:left="360"/>
      </w:pPr>
      <w:r>
        <w:rPr>
          <w:rFonts w:ascii="Calibri" w:hAnsi="Calibri"/>
          <w:color w:val="1E162B"/>
          <w:sz w:val="20"/>
        </w:rPr>
        <w:t>Track 1: H3 risk map covers 5km radius around campus, seeded with OSM data and campus-reported incidents.</w:t>
      </w:r>
    </w:p>
    <w:p>
      <w:pPr>
        <w:pStyle w:val="ListBullet"/>
        <w:spacing w:before="0" w:after="28" w:line="276" w:lineRule="auto"/>
        <w:ind w:left="360"/>
      </w:pPr>
      <w:r>
        <w:rPr>
          <w:rFonts w:ascii="Calibri" w:hAnsi="Calibri"/>
          <w:color w:val="1E162B"/>
          <w:sz w:val="20"/>
        </w:rPr>
        <w:t>Track 2 (Lite): Journey twin monitoring for student-shared safe commute groups — no ride-hailing integration required.</w:t>
      </w:r>
    </w:p>
    <w:p>
      <w:pPr>
        <w:pStyle w:val="ListBullet"/>
        <w:spacing w:before="0" w:after="28" w:line="276" w:lineRule="auto"/>
        <w:ind w:left="360"/>
      </w:pPr>
      <w:r>
        <w:rPr>
          <w:rFonts w:ascii="Calibri" w:hAnsi="Calibri"/>
          <w:color w:val="1E162B"/>
          <w:sz w:val="20"/>
        </w:rPr>
        <w:t>Track 5: AI companion available 24/7 for students; grievance FIR draft generation linked to campus POSH committee.</w:t>
      </w:r>
    </w:p>
    <w:p>
      <w:pPr>
        <w:pStyle w:val="ListBullet"/>
        <w:spacing w:before="0" w:after="28" w:line="276" w:lineRule="auto"/>
        <w:ind w:left="360"/>
      </w:pPr>
      <w:r>
        <w:rPr>
          <w:rFonts w:ascii="Calibri" w:hAnsi="Calibri"/>
          <w:color w:val="1E162B"/>
          <w:sz w:val="20"/>
        </w:rPr>
        <w:t>Dashboard: Anonymised campus risk heatmap for security team; daily hazard zone alert digest.</w:t>
      </w:r>
    </w:p>
    <w:p>
      <w:pPr>
        <w:spacing w:before="100" w:after="40" w:line="276" w:lineRule="auto"/>
      </w:pPr>
      <w:r>
        <w:rPr>
          <w:rFonts w:ascii="Calibri" w:hAnsi="Calibri"/>
          <w:b/>
          <w:color w:val="7C3AED"/>
          <w:sz w:val="22"/>
        </w:rPr>
        <w:t>3.3  Why Would a Ride-Hailing Platform Buy Instead of Build?</w:t>
      </w:r>
    </w:p>
    <w:p>
      <w:pPr>
        <w:spacing w:before="0" w:after="50" w:line="276" w:lineRule="auto"/>
      </w:pPr>
      <w:r>
        <w:rPr>
          <w:rFonts w:ascii="Calibri" w:hAnsi="Calibri"/>
          <w:color w:val="1E162B"/>
          <w:sz w:val="20"/>
        </w:rPr>
        <w:t>This is the critical judge question for the MSME transport SDK segment. The honest answer is: they might build it eventually, but SafeHerAI gets there faster, more cheaply, and with better data.</w:t>
      </w:r>
    </w:p>
    <w:p>
      <w:pPr>
        <w:pStyle w:val="ListBullet"/>
        <w:spacing w:before="0" w:after="28" w:line="276" w:lineRule="auto"/>
        <w:ind w:left="360"/>
      </w:pPr>
      <w:r>
        <w:rPr>
          <w:rFonts w:ascii="Calibri" w:hAnsi="Calibri"/>
          <w:color w:val="1E162B"/>
          <w:sz w:val="20"/>
        </w:rPr>
        <w:t>Speed: Ola and Uber have safety teams, but they are focused on driver vetting and trip sharing — not AI trajectory anomaly detection with multi-channel escalation. Building SafeHerAI's Journey Digital Twin in-house would require 12–18 months of ML engineering time.</w:t>
      </w:r>
    </w:p>
    <w:p>
      <w:pPr>
        <w:pStyle w:val="ListBullet"/>
        <w:spacing w:before="0" w:after="28" w:line="276" w:lineRule="auto"/>
        <w:ind w:left="360"/>
      </w:pPr>
      <w:r>
        <w:rPr>
          <w:rFonts w:ascii="Calibri" w:hAnsi="Calibri"/>
          <w:color w:val="1E162B"/>
          <w:sz w:val="20"/>
        </w:rPr>
        <w:t>Data advantage: SafeHerAI's community safety data (Track 4) feeds the Journey Twin's contextual awareness. A ride-hailing platform building in-house would not have this cross-product data layer.</w:t>
      </w:r>
    </w:p>
    <w:p>
      <w:pPr>
        <w:pStyle w:val="ListBullet"/>
        <w:spacing w:before="0" w:after="28" w:line="276" w:lineRule="auto"/>
        <w:ind w:left="360"/>
      </w:pPr>
      <w:r>
        <w:rPr>
          <w:rFonts w:ascii="Calibri" w:hAnsi="Calibri"/>
          <w:color w:val="1E162B"/>
          <w:sz w:val="20"/>
        </w:rPr>
        <w:t>Liability insulation: An independent, third-party safety monitoring SDK creates documented evidence of duty-of-care compliance — more valuable than an internally built system that can be accused of conflict of interest.</w:t>
      </w:r>
    </w:p>
    <w:p>
      <w:pPr>
        <w:pStyle w:val="ListBullet"/>
        <w:spacing w:before="0" w:after="28" w:line="276" w:lineRule="auto"/>
        <w:ind w:left="360"/>
      </w:pPr>
      <w:r>
        <w:rPr>
          <w:rFonts w:ascii="Calibri" w:hAnsi="Calibri"/>
          <w:color w:val="1E162B"/>
          <w:sz w:val="20"/>
        </w:rPr>
        <w:t>Cost: SafeHerAI's per-trip pricing (₹0.50–1.50) is far cheaper than the engineering cost of building and maintaining a comparable system internally.</w:t>
      </w:r>
    </w:p>
    <w:p>
      <w:pPr>
        <w:spacing w:before="100" w:after="40" w:line="276" w:lineRule="auto"/>
      </w:pPr>
      <w:r>
        <w:rPr>
          <w:rFonts w:ascii="Calibri" w:hAnsi="Calibri"/>
          <w:b/>
          <w:color w:val="7C3AED"/>
          <w:sz w:val="22"/>
        </w:rPr>
        <w:t>3.4  Unit Economics &amp; Path to Viability</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Metric</w:t>
            </w:r>
          </w:p>
        </w:tc>
        <w:tc>
          <w:tcPr>
            <w:tcW w:type="dxa" w:w="2257"/>
            <w:shd w:val="clear" w:color="auto" w:fill="1E162B"/>
          </w:tcPr>
          <w:p>
            <w:pPr>
              <w:spacing w:before="36" w:after="36" w:line="276" w:lineRule="auto"/>
            </w:pPr>
            <w:r>
              <w:rPr>
                <w:rFonts w:ascii="Calibri" w:hAnsi="Calibri"/>
                <w:b/>
                <w:color w:val="FFFFFF"/>
                <w:sz w:val="18"/>
              </w:rPr>
              <w:t>Year 1 (Campus Pilot)</w:t>
            </w:r>
          </w:p>
        </w:tc>
        <w:tc>
          <w:tcPr>
            <w:tcW w:type="dxa" w:w="2257"/>
            <w:shd w:val="clear" w:color="auto" w:fill="1E162B"/>
          </w:tcPr>
          <w:p>
            <w:pPr>
              <w:spacing w:before="36" w:after="36" w:line="276" w:lineRule="auto"/>
            </w:pPr>
            <w:r>
              <w:rPr>
                <w:rFonts w:ascii="Calibri" w:hAnsi="Calibri"/>
                <w:b/>
                <w:color w:val="FFFFFF"/>
                <w:sz w:val="18"/>
              </w:rPr>
              <w:t>Year 2 (5 Campuses + 2 MSME Operators)</w:t>
            </w:r>
          </w:p>
        </w:tc>
        <w:tc>
          <w:tcPr>
            <w:tcW w:type="dxa" w:w="2257"/>
            <w:shd w:val="clear" w:color="auto" w:fill="1E162B"/>
          </w:tcPr>
          <w:p>
            <w:pPr>
              <w:spacing w:before="36" w:after="36" w:line="276" w:lineRule="auto"/>
            </w:pPr>
            <w:r>
              <w:rPr>
                <w:rFonts w:ascii="Calibri" w:hAnsi="Calibri"/>
                <w:b/>
                <w:color w:val="FFFFFF"/>
                <w:sz w:val="18"/>
              </w:rPr>
              <w:t>Year 3 (20 Campuses + 10 MSME + 2 Corporates)</w:t>
            </w:r>
          </w:p>
        </w:tc>
      </w:tr>
      <w:tr>
        <w:tc>
          <w:tcPr>
            <w:tcW w:type="dxa" w:w="2257"/>
            <w:shd w:val="clear" w:color="auto" w:fill="F9F5FF"/>
          </w:tcPr>
          <w:p>
            <w:pPr>
              <w:spacing w:before="28" w:after="28" w:line="276" w:lineRule="auto"/>
            </w:pPr>
            <w:r>
              <w:rPr>
                <w:rFonts w:ascii="Calibri" w:hAnsi="Calibri"/>
                <w:color w:val="1E162B"/>
                <w:sz w:val="18"/>
              </w:rPr>
              <w:t>Customers</w:t>
            </w:r>
          </w:p>
        </w:tc>
        <w:tc>
          <w:tcPr>
            <w:tcW w:type="dxa" w:w="2257"/>
            <w:shd w:val="clear" w:color="auto" w:fill="F9F5FF"/>
          </w:tcPr>
          <w:p>
            <w:pPr>
              <w:spacing w:before="28" w:after="28" w:line="276" w:lineRule="auto"/>
            </w:pPr>
            <w:r>
              <w:rPr>
                <w:rFonts w:ascii="Calibri" w:hAnsi="Calibri"/>
                <w:color w:val="1E162B"/>
                <w:sz w:val="18"/>
              </w:rPr>
              <w:t>1 campus</w:t>
              <w:br/>
              <w:t>(2,000 students)</w:t>
            </w:r>
          </w:p>
        </w:tc>
        <w:tc>
          <w:tcPr>
            <w:tcW w:type="dxa" w:w="2257"/>
            <w:shd w:val="clear" w:color="auto" w:fill="F9F5FF"/>
          </w:tcPr>
          <w:p>
            <w:pPr>
              <w:spacing w:before="28" w:after="28" w:line="276" w:lineRule="auto"/>
            </w:pPr>
            <w:r>
              <w:rPr>
                <w:rFonts w:ascii="Calibri" w:hAnsi="Calibri"/>
                <w:color w:val="1E162B"/>
                <w:sz w:val="18"/>
              </w:rPr>
              <w:t>5 campuses + 2 MSME operators</w:t>
            </w:r>
          </w:p>
        </w:tc>
        <w:tc>
          <w:tcPr>
            <w:tcW w:type="dxa" w:w="2257"/>
            <w:shd w:val="clear" w:color="auto" w:fill="F9F5FF"/>
          </w:tcPr>
          <w:p>
            <w:pPr>
              <w:spacing w:before="28" w:after="28" w:line="276" w:lineRule="auto"/>
            </w:pPr>
            <w:r>
              <w:rPr>
                <w:rFonts w:ascii="Calibri" w:hAnsi="Calibri"/>
                <w:color w:val="1E162B"/>
                <w:sz w:val="18"/>
              </w:rPr>
              <w:t>20 campuses + 10 operators + 2 corporates</w:t>
            </w:r>
          </w:p>
        </w:tc>
      </w:tr>
      <w:tr>
        <w:tc>
          <w:tcPr>
            <w:tcW w:type="dxa" w:w="2257"/>
            <w:shd w:val="clear" w:color="auto" w:fill="FFFFFF"/>
          </w:tcPr>
          <w:p>
            <w:pPr>
              <w:spacing w:before="28" w:after="28" w:line="276" w:lineRule="auto"/>
            </w:pPr>
            <w:r>
              <w:rPr>
                <w:rFonts w:ascii="Calibri" w:hAnsi="Calibri"/>
                <w:color w:val="1E162B"/>
                <w:sz w:val="18"/>
              </w:rPr>
              <w:t>Annual Revenue</w:t>
            </w:r>
          </w:p>
        </w:tc>
        <w:tc>
          <w:tcPr>
            <w:tcW w:type="dxa" w:w="2257"/>
            <w:shd w:val="clear" w:color="auto" w:fill="FFFFFF"/>
          </w:tcPr>
          <w:p>
            <w:pPr>
              <w:spacing w:before="28" w:after="28" w:line="276" w:lineRule="auto"/>
            </w:pPr>
            <w:r>
              <w:rPr>
                <w:rFonts w:ascii="Calibri" w:hAnsi="Calibri"/>
                <w:color w:val="1E162B"/>
                <w:sz w:val="18"/>
              </w:rPr>
              <w:t>₹3 lakh</w:t>
              <w:br/>
              <w:t>(@ ₹150/student/year)</w:t>
            </w:r>
          </w:p>
        </w:tc>
        <w:tc>
          <w:tcPr>
            <w:tcW w:type="dxa" w:w="2257"/>
            <w:shd w:val="clear" w:color="auto" w:fill="FFFFFF"/>
          </w:tcPr>
          <w:p>
            <w:pPr>
              <w:spacing w:before="28" w:after="28" w:line="276" w:lineRule="auto"/>
            </w:pPr>
            <w:r>
              <w:rPr>
                <w:rFonts w:ascii="Calibri" w:hAnsi="Calibri"/>
                <w:color w:val="1E162B"/>
                <w:sz w:val="18"/>
              </w:rPr>
              <w:t>₹22 lakh</w:t>
            </w:r>
          </w:p>
        </w:tc>
        <w:tc>
          <w:tcPr>
            <w:tcW w:type="dxa" w:w="2257"/>
            <w:shd w:val="clear" w:color="auto" w:fill="FFFFFF"/>
          </w:tcPr>
          <w:p>
            <w:pPr>
              <w:spacing w:before="28" w:after="28" w:line="276" w:lineRule="auto"/>
            </w:pPr>
            <w:r>
              <w:rPr>
                <w:rFonts w:ascii="Calibri" w:hAnsi="Calibri"/>
                <w:color w:val="1E162B"/>
                <w:sz w:val="18"/>
              </w:rPr>
              <w:t>₹1.2 crore</w:t>
            </w:r>
          </w:p>
        </w:tc>
      </w:tr>
      <w:tr>
        <w:tc>
          <w:tcPr>
            <w:tcW w:type="dxa" w:w="2257"/>
            <w:shd w:val="clear" w:color="auto" w:fill="F9F5FF"/>
          </w:tcPr>
          <w:p>
            <w:pPr>
              <w:spacing w:before="28" w:after="28" w:line="276" w:lineRule="auto"/>
            </w:pPr>
            <w:r>
              <w:rPr>
                <w:rFonts w:ascii="Calibri" w:hAnsi="Calibri"/>
                <w:color w:val="1E162B"/>
                <w:sz w:val="18"/>
              </w:rPr>
              <w:t>Primary Cost</w:t>
            </w:r>
          </w:p>
        </w:tc>
        <w:tc>
          <w:tcPr>
            <w:tcW w:type="dxa" w:w="2257"/>
            <w:shd w:val="clear" w:color="auto" w:fill="F9F5FF"/>
          </w:tcPr>
          <w:p>
            <w:pPr>
              <w:spacing w:before="28" w:after="28" w:line="276" w:lineRule="auto"/>
            </w:pPr>
            <w:r>
              <w:rPr>
                <w:rFonts w:ascii="Calibri" w:hAnsi="Calibri"/>
                <w:color w:val="1E162B"/>
                <w:sz w:val="18"/>
              </w:rPr>
              <w:t>Cloud infrastructure (GCP):</w:t>
              <w:br/>
              <w:t>~₹15,000/month</w:t>
            </w:r>
          </w:p>
        </w:tc>
        <w:tc>
          <w:tcPr>
            <w:tcW w:type="dxa" w:w="2257"/>
            <w:shd w:val="clear" w:color="auto" w:fill="F9F5FF"/>
          </w:tcPr>
          <w:p>
            <w:pPr>
              <w:spacing w:before="28" w:after="28" w:line="276" w:lineRule="auto"/>
            </w:pPr>
            <w:r>
              <w:rPr>
                <w:rFonts w:ascii="Calibri" w:hAnsi="Calibri"/>
                <w:color w:val="1E162B"/>
                <w:sz w:val="18"/>
              </w:rPr>
              <w:t>Scaled Cloud Run + Cloud SQL:</w:t>
              <w:br/>
              <w:t>~₹60,000/month</w:t>
            </w:r>
          </w:p>
        </w:tc>
        <w:tc>
          <w:tcPr>
            <w:tcW w:type="dxa" w:w="2257"/>
            <w:shd w:val="clear" w:color="auto" w:fill="F9F5FF"/>
          </w:tcPr>
          <w:p>
            <w:pPr>
              <w:spacing w:before="28" w:after="28" w:line="276" w:lineRule="auto"/>
            </w:pPr>
            <w:r>
              <w:rPr>
                <w:rFonts w:ascii="Calibri" w:hAnsi="Calibri"/>
                <w:color w:val="1E162B"/>
                <w:sz w:val="18"/>
              </w:rPr>
              <w:t>Engineering team (2 FTE):</w:t>
              <w:br/>
              <w:t>~₹30 lakh/year</w:t>
            </w:r>
          </w:p>
        </w:tc>
      </w:tr>
      <w:tr>
        <w:tc>
          <w:tcPr>
            <w:tcW w:type="dxa" w:w="2257"/>
            <w:shd w:val="clear" w:color="auto" w:fill="FFFFFF"/>
          </w:tcPr>
          <w:p>
            <w:pPr>
              <w:spacing w:before="28" w:after="28" w:line="276" w:lineRule="auto"/>
            </w:pPr>
            <w:r>
              <w:rPr>
                <w:rFonts w:ascii="Calibri" w:hAnsi="Calibri"/>
                <w:color w:val="1E162B"/>
                <w:sz w:val="18"/>
              </w:rPr>
              <w:t>Gross Margin</w:t>
            </w:r>
          </w:p>
        </w:tc>
        <w:tc>
          <w:tcPr>
            <w:tcW w:type="dxa" w:w="2257"/>
            <w:shd w:val="clear" w:color="auto" w:fill="FFFFFF"/>
          </w:tcPr>
          <w:p>
            <w:pPr>
              <w:spacing w:before="28" w:after="28" w:line="276" w:lineRule="auto"/>
            </w:pPr>
            <w:r>
              <w:rPr>
                <w:rFonts w:ascii="Calibri" w:hAnsi="Calibri"/>
                <w:color w:val="1E162B"/>
                <w:sz w:val="18"/>
              </w:rPr>
              <w:t>~70%</w:t>
              <w:br/>
              <w:t>(infrastructure-heavy, staff-light)</w:t>
            </w:r>
          </w:p>
        </w:tc>
        <w:tc>
          <w:tcPr>
            <w:tcW w:type="dxa" w:w="2257"/>
            <w:shd w:val="clear" w:color="auto" w:fill="FFFFFF"/>
          </w:tcPr>
          <w:p>
            <w:pPr>
              <w:spacing w:before="28" w:after="28" w:line="276" w:lineRule="auto"/>
            </w:pPr>
            <w:r>
              <w:rPr>
                <w:rFonts w:ascii="Calibri" w:hAnsi="Calibri"/>
                <w:color w:val="1E162B"/>
                <w:sz w:val="18"/>
              </w:rPr>
              <w:t>~65%</w:t>
            </w:r>
          </w:p>
        </w:tc>
        <w:tc>
          <w:tcPr>
            <w:tcW w:type="dxa" w:w="2257"/>
            <w:shd w:val="clear" w:color="auto" w:fill="FFFFFF"/>
          </w:tcPr>
          <w:p>
            <w:pPr>
              <w:spacing w:before="28" w:after="28" w:line="276" w:lineRule="auto"/>
            </w:pPr>
            <w:r>
              <w:rPr>
                <w:rFonts w:ascii="Calibri" w:hAnsi="Calibri"/>
                <w:color w:val="1E162B"/>
                <w:sz w:val="18"/>
              </w:rPr>
              <w:t>~60% (team cost growing)</w:t>
            </w:r>
          </w:p>
        </w:tc>
      </w:tr>
      <w:tr>
        <w:tc>
          <w:tcPr>
            <w:tcW w:type="dxa" w:w="2257"/>
            <w:shd w:val="clear" w:color="auto" w:fill="F9F5FF"/>
          </w:tcPr>
          <w:p>
            <w:pPr>
              <w:spacing w:before="28" w:after="28" w:line="276" w:lineRule="auto"/>
            </w:pPr>
            <w:r>
              <w:rPr>
                <w:rFonts w:ascii="Calibri" w:hAnsi="Calibri"/>
                <w:color w:val="1E162B"/>
                <w:sz w:val="18"/>
              </w:rPr>
              <w:t>Key Activity</w:t>
            </w:r>
          </w:p>
        </w:tc>
        <w:tc>
          <w:tcPr>
            <w:tcW w:type="dxa" w:w="2257"/>
            <w:shd w:val="clear" w:color="auto" w:fill="F9F5FF"/>
          </w:tcPr>
          <w:p>
            <w:pPr>
              <w:spacing w:before="28" w:after="28" w:line="276" w:lineRule="auto"/>
            </w:pPr>
            <w:r>
              <w:rPr>
                <w:rFonts w:ascii="Calibri" w:hAnsi="Calibri"/>
                <w:color w:val="1E162B"/>
                <w:sz w:val="18"/>
              </w:rPr>
              <w:t>Proof-of-concept → campus reference</w:t>
            </w:r>
          </w:p>
        </w:tc>
        <w:tc>
          <w:tcPr>
            <w:tcW w:type="dxa" w:w="2257"/>
            <w:shd w:val="clear" w:color="auto" w:fill="F9F5FF"/>
          </w:tcPr>
          <w:p>
            <w:pPr>
              <w:spacing w:before="28" w:after="28" w:line="276" w:lineRule="auto"/>
            </w:pPr>
            <w:r>
              <w:rPr>
                <w:rFonts w:ascii="Calibri" w:hAnsi="Calibri"/>
                <w:color w:val="1E162B"/>
                <w:sz w:val="18"/>
              </w:rPr>
              <w:t>Sales via college safety committees</w:t>
            </w:r>
          </w:p>
        </w:tc>
        <w:tc>
          <w:tcPr>
            <w:tcW w:type="dxa" w:w="2257"/>
            <w:shd w:val="clear" w:color="auto" w:fill="F9F5FF"/>
          </w:tcPr>
          <w:p>
            <w:pPr>
              <w:spacing w:before="28" w:after="28" w:line="276" w:lineRule="auto"/>
            </w:pPr>
            <w:r>
              <w:rPr>
                <w:rFonts w:ascii="Calibri" w:hAnsi="Calibri"/>
                <w:color w:val="1E162B"/>
                <w:sz w:val="18"/>
              </w:rPr>
              <w:t>Sales via corporate POSH compliance consultants</w:t>
            </w:r>
          </w:p>
        </w:tc>
      </w:tr>
    </w:tbl>
    <w:p/>
    <w:tbl>
      <w:tblPr>
        <w:tblStyle w:val="TableGrid"/>
        <w:tblW w:type="auto" w:w="0"/>
        <w:jc w:val="left"/>
        <w:tblLook w:firstColumn="1" w:firstRow="1" w:lastColumn="0" w:lastRow="0" w:noHBand="0" w:noVBand="1" w:val="04A0"/>
      </w:tblPr>
      <w:tblGrid>
        <w:gridCol w:w="9029"/>
      </w:tblGrid>
      <w:tr>
        <w:tc>
          <w:tcPr>
            <w:tcW w:type="dxa" w:w="9029"/>
            <w:shd w:val="clear" w:color="auto" w:fill="F0FFF4"/>
          </w:tcPr>
          <w:p>
            <w:pPr>
              <w:spacing w:before="40" w:after="40" w:line="276" w:lineRule="auto"/>
            </w:pPr>
            <w:r>
              <w:rPr>
                <w:rFonts w:ascii="Calibri" w:hAnsi="Calibri"/>
                <w:b/>
                <w:color w:val="059669"/>
                <w:sz w:val="19"/>
              </w:rPr>
              <w:t xml:space="preserve">  ▶  Viability Note  </w:t>
            </w:r>
            <w:r>
              <w:rPr>
                <w:rFonts w:ascii="Calibri" w:hAnsi="Calibri"/>
                <w:color w:val="1E162B"/>
                <w:sz w:val="19"/>
              </w:rPr>
              <w:t>Year 1 revenue (₹3 lakh) from a single campus deployment is achievable post-hackathon without any additional grant funding — it covers infrastructure costs and provides a real reference customer for Year 2 sales. The MSME Idea Hackathon grant (up to ₹15 lakh) would accelerate the M4–M5 milestone by funding a dedicated Flutter developer and UX design sprint.</w:t>
            </w:r>
          </w:p>
        </w:tc>
      </w:tr>
    </w:tbl>
    <w:p/>
    <w:p>
      <w:r>
        <w:br w:type="page"/>
      </w:r>
    </w:p>
    <w:p>
      <w:pPr>
        <w:spacing w:before="180" w:after="80" w:line="276" w:lineRule="auto"/>
        <w:pBdr>
          <w:left w:val="single" w:sz="24" w:space="4" w:color="E11D74"/>
        </w:pBdr>
      </w:pPr>
      <w:r>
        <w:rPr>
          <w:rFonts w:ascii="Calibri" w:hAnsi="Calibri"/>
          <w:b/>
          <w:color w:val="E11D74"/>
          <w:sz w:val="27"/>
        </w:rPr>
        <w:t>4.  Team, Resources &amp; Risk Readiness</w:t>
      </w:r>
    </w:p>
    <w:p>
      <w:pPr>
        <w:spacing w:before="100" w:after="40" w:line="276" w:lineRule="auto"/>
      </w:pPr>
      <w:r>
        <w:rPr>
          <w:rFonts w:ascii="Calibri" w:hAnsi="Calibri"/>
          <w:b/>
          <w:color w:val="7C3AED"/>
          <w:sz w:val="22"/>
        </w:rPr>
        <w:t>4.1  Team Profile &amp; Demonstrated Execution Capability</w:t>
      </w:r>
    </w:p>
    <w:p>
      <w:pPr>
        <w:spacing w:before="0" w:after="50" w:line="276" w:lineRule="auto"/>
      </w:pPr>
      <w:r>
        <w:rPr>
          <w:rFonts w:ascii="Calibri" w:hAnsi="Calibri"/>
          <w:color w:val="1E162B"/>
          <w:sz w:val="20"/>
        </w:rPr>
        <w:t>SafeHerAI is led by E Gaithika, a student innovator at VIT-AP University. The most important evidence of execution capability is not a credential — it is the working codebase delivered before this submission.</w:t>
      </w:r>
    </w:p>
    <w:p>
      <w:pPr>
        <w:spacing w:before="70" w:after="25" w:line="276" w:lineRule="auto"/>
      </w:pPr>
      <w:r>
        <w:rPr>
          <w:rFonts w:ascii="Calibri" w:hAnsi="Calibri"/>
          <w:b/>
          <w:color w:val="1E162B"/>
          <w:sz w:val="21"/>
        </w:rPr>
        <w:t>Current Validated Codebase (Evidence of Execution):</w:t>
      </w:r>
    </w:p>
    <w:p>
      <w:pPr>
        <w:pStyle w:val="ListBullet"/>
        <w:spacing w:before="0" w:after="28" w:line="276" w:lineRule="auto"/>
        <w:ind w:left="360"/>
      </w:pPr>
      <w:r>
        <w:rPr>
          <w:rFonts w:ascii="Calibri" w:hAnsi="Calibri"/>
          <w:color w:val="1E162B"/>
          <w:sz w:val="20"/>
        </w:rPr>
        <w:t>FastAPI backend: All five track API routes functional (/brain, /safety-map, /ride-intel, /wearable, /community, /companion). Live Swagger documentation at /docs.</w:t>
      </w:r>
    </w:p>
    <w:p>
      <w:pPr>
        <w:pStyle w:val="ListBullet"/>
        <w:spacing w:before="0" w:after="28" w:line="276" w:lineRule="auto"/>
        <w:ind w:left="360"/>
      </w:pPr>
      <w:r>
        <w:rPr>
          <w:rFonts w:ascii="Calibri" w:hAnsi="Calibri"/>
          <w:color w:val="1E162B"/>
          <w:sz w:val="20"/>
        </w:rPr>
        <w:t>Streamlit executive dashboard: All five tracks displayed with real-time scenario switching (NORMAL / DEVIATION / DISTRESS / COMMUNITY_ALERT). Gemini AI companion live with API key integration.</w:t>
      </w:r>
    </w:p>
    <w:p>
      <w:pPr>
        <w:pStyle w:val="ListBullet"/>
        <w:spacing w:before="0" w:after="28" w:line="276" w:lineRule="auto"/>
        <w:ind w:left="360"/>
      </w:pPr>
      <w:r>
        <w:rPr>
          <w:rFonts w:ascii="Calibri" w:hAnsi="Calibri"/>
          <w:color w:val="1E162B"/>
          <w:sz w:val="20"/>
        </w:rPr>
        <w:t>Flutter mobile app: Basic GPS integration, risk display, and chat interface functional on Android.</w:t>
      </w:r>
    </w:p>
    <w:p>
      <w:pPr>
        <w:pStyle w:val="ListBullet"/>
        <w:spacing w:before="0" w:after="28" w:line="276" w:lineRule="auto"/>
        <w:ind w:left="360"/>
      </w:pPr>
      <w:r>
        <w:rPr>
          <w:rFonts w:ascii="Calibri" w:hAnsi="Calibri"/>
          <w:color w:val="1E162B"/>
          <w:sz w:val="20"/>
        </w:rPr>
        <w:t>Docker Compose: Full-stack (FastAPI + Streamlit) orchestrated in a single docker-compose.yml.</w:t>
      </w:r>
    </w:p>
    <w:p>
      <w:pPr>
        <w:pStyle w:val="ListBullet"/>
        <w:spacing w:before="0" w:after="28" w:line="276" w:lineRule="auto"/>
        <w:ind w:left="360"/>
      </w:pPr>
      <w:r>
        <w:rPr>
          <w:rFonts w:ascii="Calibri" w:hAnsi="Calibri"/>
          <w:color w:val="1E162B"/>
          <w:sz w:val="20"/>
        </w:rPr>
        <w:t>Gemini integration: Live Gemini 2.0 Flash companion with context injection and graceful fallback when API key absent.</w:t>
      </w:r>
    </w:p>
    <w:p>
      <w:pPr>
        <w:spacing w:before="0" w:after="50" w:line="276" w:lineRule="auto"/>
      </w:pPr>
      <w:r>
        <w:rPr>
          <w:rFonts w:ascii="Calibri" w:hAnsi="Calibri"/>
          <w:color w:val="1E162B"/>
          <w:sz w:val="20"/>
        </w:rPr>
        <w:t>This codebase represents significant pre-submission engineering work. The 90-day pilot sprint upgrades each component from POC-quality to production-quality — it does not start from scratch.</w:t>
      </w:r>
    </w:p>
    <w:p>
      <w:pPr>
        <w:spacing w:before="100" w:after="40" w:line="276" w:lineRule="auto"/>
      </w:pPr>
      <w:r>
        <w:rPr>
          <w:rFonts w:ascii="Calibri" w:hAnsi="Calibri"/>
          <w:b/>
          <w:color w:val="7C3AED"/>
          <w:sz w:val="22"/>
        </w:rPr>
        <w:t>4.2  Resource Plan</w:t>
      </w:r>
    </w:p>
    <w:p>
      <w:pPr>
        <w:spacing w:before="70" w:after="25" w:line="276" w:lineRule="auto"/>
      </w:pPr>
      <w:r>
        <w:rPr>
          <w:rFonts w:ascii="Calibri" w:hAnsi="Calibri"/>
          <w:b/>
          <w:color w:val="1E162B"/>
          <w:sz w:val="21"/>
        </w:rPr>
        <w:t>Compute Infrastructure (all within free/student tiers):</w:t>
      </w:r>
    </w:p>
    <w:p>
      <w:pPr>
        <w:pStyle w:val="ListBullet"/>
        <w:spacing w:before="0" w:after="28" w:line="276" w:lineRule="auto"/>
        <w:ind w:left="360"/>
      </w:pPr>
      <w:r>
        <w:rPr>
          <w:rFonts w:ascii="Calibri" w:hAnsi="Calibri"/>
          <w:color w:val="1E162B"/>
          <w:sz w:val="20"/>
        </w:rPr>
        <w:t>Model training: GCP Vertex AI Workbench (GCP free tier USD 300 + student credits). XGBoost training on NCRB + OSM data: estimated &lt; 2 hours compute time.</w:t>
      </w:r>
    </w:p>
    <w:p>
      <w:pPr>
        <w:pStyle w:val="ListBullet"/>
        <w:spacing w:before="0" w:after="28" w:line="276" w:lineRule="auto"/>
        <w:ind w:left="360"/>
      </w:pPr>
      <w:r>
        <w:rPr>
          <w:rFonts w:ascii="Calibri" w:hAnsi="Calibri"/>
          <w:color w:val="1E162B"/>
          <w:sz w:val="20"/>
        </w:rPr>
        <w:t>Inference serving: FastAPI on Cloud Run (free tier: 2M requests/month; pilot traffic well within limit).</w:t>
      </w:r>
    </w:p>
    <w:p>
      <w:pPr>
        <w:pStyle w:val="ListBullet"/>
        <w:spacing w:before="0" w:after="28" w:line="276" w:lineRule="auto"/>
        <w:ind w:left="360"/>
      </w:pPr>
      <w:r>
        <w:rPr>
          <w:rFonts w:ascii="Calibri" w:hAnsi="Calibri"/>
          <w:color w:val="1E162B"/>
          <w:sz w:val="20"/>
        </w:rPr>
        <w:t>Database: Cloud SQL for PostgreSQL with PostGIS (db-f1-micro: USD 7/month).</w:t>
      </w:r>
    </w:p>
    <w:p>
      <w:pPr>
        <w:pStyle w:val="ListBullet"/>
        <w:spacing w:before="0" w:after="28" w:line="276" w:lineRule="auto"/>
        <w:ind w:left="360"/>
      </w:pPr>
      <w:r>
        <w:rPr>
          <w:rFonts w:ascii="Calibri" w:hAnsi="Calibri"/>
          <w:color w:val="1E162B"/>
          <w:sz w:val="20"/>
        </w:rPr>
        <w:t>AI API: Gemini 2.5 Flash via Google AI Studio free tier (60 requests/minute; sufficient for single-user demo).</w:t>
      </w:r>
    </w:p>
    <w:p>
      <w:pPr>
        <w:pStyle w:val="ListBullet"/>
        <w:spacing w:before="0" w:after="28" w:line="276" w:lineRule="auto"/>
        <w:ind w:left="360"/>
      </w:pPr>
      <w:r>
        <w:rPr>
          <w:rFonts w:ascii="Calibri" w:hAnsi="Calibri"/>
          <w:color w:val="1E162B"/>
          <w:sz w:val="20"/>
        </w:rPr>
        <w:t>Total estimated infrastructure cost during 90-day pilot: &lt; USD 50 (₹4,200).</w:t>
      </w:r>
    </w:p>
    <w:p>
      <w:pPr>
        <w:spacing w:before="70" w:after="25" w:line="276" w:lineRule="auto"/>
      </w:pPr>
      <w:r>
        <w:rPr>
          <w:rFonts w:ascii="Calibri" w:hAnsi="Calibri"/>
          <w:b/>
          <w:color w:val="1E162B"/>
          <w:sz w:val="21"/>
        </w:rPr>
        <w:t>Data Resources (all open/free):</w:t>
      </w:r>
    </w:p>
    <w:p>
      <w:pPr>
        <w:pStyle w:val="ListBullet"/>
        <w:spacing w:before="0" w:after="28" w:line="276" w:lineRule="auto"/>
        <w:ind w:left="360"/>
      </w:pPr>
      <w:r>
        <w:rPr>
          <w:rFonts w:ascii="Calibri" w:hAnsi="Calibri"/>
          <w:color w:val="1E162B"/>
          <w:sz w:val="20"/>
        </w:rPr>
        <w:t>NCRB Crime in India 2024 CSV — ncrb.gov.in — public access.</w:t>
      </w:r>
    </w:p>
    <w:p>
      <w:pPr>
        <w:pStyle w:val="ListBullet"/>
        <w:spacing w:before="0" w:after="28" w:line="276" w:lineRule="auto"/>
        <w:ind w:left="360"/>
      </w:pPr>
      <w:r>
        <w:rPr>
          <w:rFonts w:ascii="Calibri" w:hAnsi="Calibri"/>
          <w:color w:val="1E162B"/>
          <w:sz w:val="20"/>
        </w:rPr>
        <w:t>OSM Overpass API — open access — street lighting and CCTV nodes for Hyderabad.</w:t>
      </w:r>
    </w:p>
    <w:p>
      <w:pPr>
        <w:pStyle w:val="ListBullet"/>
        <w:spacing w:before="0" w:after="28" w:line="276" w:lineRule="auto"/>
        <w:ind w:left="360"/>
      </w:pPr>
      <w:r>
        <w:rPr>
          <w:rFonts w:ascii="Calibri" w:hAnsi="Calibri"/>
          <w:color w:val="1E162B"/>
          <w:sz w:val="20"/>
        </w:rPr>
        <w:t>SafeCity API — open registration — crowd-sourced harassment incident data.</w:t>
      </w:r>
    </w:p>
    <w:p>
      <w:pPr>
        <w:pStyle w:val="ListBullet"/>
        <w:spacing w:before="0" w:after="28" w:line="276" w:lineRule="auto"/>
        <w:ind w:left="360"/>
      </w:pPr>
      <w:r>
        <w:rPr>
          <w:rFonts w:ascii="Calibri" w:hAnsi="Calibri"/>
          <w:color w:val="1E162B"/>
          <w:sz w:val="20"/>
        </w:rPr>
        <w:t>Synthetic GPS trajectory dataset — 500 samples generated using OSRM on Hyderabad road network.</w:t>
      </w:r>
    </w:p>
    <w:p>
      <w:pPr>
        <w:spacing w:before="100" w:after="40" w:line="276" w:lineRule="auto"/>
      </w:pPr>
      <w:r>
        <w:rPr>
          <w:rFonts w:ascii="Calibri" w:hAnsi="Calibri"/>
          <w:b/>
          <w:color w:val="7C3AED"/>
          <w:sz w:val="22"/>
        </w:rPr>
        <w:t>4.3  Risk Register &amp; Mitigation</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Risk</w:t>
            </w:r>
          </w:p>
        </w:tc>
        <w:tc>
          <w:tcPr>
            <w:tcW w:type="dxa" w:w="2257"/>
            <w:shd w:val="clear" w:color="auto" w:fill="1E162B"/>
          </w:tcPr>
          <w:p>
            <w:pPr>
              <w:spacing w:before="36" w:after="36" w:line="276" w:lineRule="auto"/>
            </w:pPr>
            <w:r>
              <w:rPr>
                <w:rFonts w:ascii="Calibri" w:hAnsi="Calibri"/>
                <w:b/>
                <w:color w:val="FFFFFF"/>
                <w:sz w:val="18"/>
              </w:rPr>
              <w:t>Likelihood</w:t>
            </w:r>
          </w:p>
        </w:tc>
        <w:tc>
          <w:tcPr>
            <w:tcW w:type="dxa" w:w="2257"/>
            <w:shd w:val="clear" w:color="auto" w:fill="1E162B"/>
          </w:tcPr>
          <w:p>
            <w:pPr>
              <w:spacing w:before="36" w:after="36" w:line="276" w:lineRule="auto"/>
            </w:pPr>
            <w:r>
              <w:rPr>
                <w:rFonts w:ascii="Calibri" w:hAnsi="Calibri"/>
                <w:b/>
                <w:color w:val="FFFFFF"/>
                <w:sz w:val="18"/>
              </w:rPr>
              <w:t>Impact</w:t>
            </w:r>
          </w:p>
        </w:tc>
        <w:tc>
          <w:tcPr>
            <w:tcW w:type="dxa" w:w="2257"/>
            <w:shd w:val="clear" w:color="auto" w:fill="1E162B"/>
          </w:tcPr>
          <w:p>
            <w:pPr>
              <w:spacing w:before="36" w:after="36" w:line="276" w:lineRule="auto"/>
            </w:pPr>
            <w:r>
              <w:rPr>
                <w:rFonts w:ascii="Calibri" w:hAnsi="Calibri"/>
                <w:b/>
                <w:color w:val="FFFFFF"/>
                <w:sz w:val="18"/>
              </w:rPr>
              <w:t>Mitigation Strategy</w:t>
            </w:r>
          </w:p>
        </w:tc>
      </w:tr>
      <w:tr>
        <w:tc>
          <w:tcPr>
            <w:tcW w:type="dxa" w:w="2257"/>
            <w:shd w:val="clear" w:color="auto" w:fill="F9F5FF"/>
          </w:tcPr>
          <w:p>
            <w:pPr>
              <w:spacing w:before="28" w:after="28" w:line="276" w:lineRule="auto"/>
            </w:pPr>
            <w:r>
              <w:rPr>
                <w:rFonts w:ascii="Calibri" w:hAnsi="Calibri"/>
                <w:color w:val="1E162B"/>
                <w:sz w:val="18"/>
              </w:rPr>
              <w:t>NCRB data too coarse for within-district H3 differentiation</w:t>
            </w:r>
          </w:p>
        </w:tc>
        <w:tc>
          <w:tcPr>
            <w:tcW w:type="dxa" w:w="2257"/>
            <w:shd w:val="clear" w:color="auto" w:fill="F9F5FF"/>
          </w:tcPr>
          <w:p>
            <w:pPr>
              <w:spacing w:before="28" w:after="28" w:line="276" w:lineRule="auto"/>
            </w:pPr>
            <w:r>
              <w:rPr>
                <w:rFonts w:ascii="Calibri" w:hAnsi="Calibri"/>
                <w:color w:val="1E162B"/>
                <w:sz w:val="18"/>
              </w:rPr>
              <w:t>Medium</w:t>
            </w:r>
          </w:p>
        </w:tc>
        <w:tc>
          <w:tcPr>
            <w:tcW w:type="dxa" w:w="2257"/>
            <w:shd w:val="clear" w:color="auto" w:fill="F9F5FF"/>
          </w:tcPr>
          <w:p>
            <w:pPr>
              <w:spacing w:before="28" w:after="28" w:line="276" w:lineRule="auto"/>
            </w:pPr>
            <w:r>
              <w:rPr>
                <w:rFonts w:ascii="Calibri" w:hAnsi="Calibri"/>
                <w:color w:val="1E162B"/>
                <w:sz w:val="18"/>
              </w:rPr>
              <w:t>Medium: heatmap risk variation reduced inside district boundaries</w:t>
            </w:r>
          </w:p>
        </w:tc>
        <w:tc>
          <w:tcPr>
            <w:tcW w:type="dxa" w:w="2257"/>
            <w:shd w:val="clear" w:color="auto" w:fill="F9F5FF"/>
          </w:tcPr>
          <w:p>
            <w:pPr>
              <w:spacing w:before="28" w:after="28" w:line="276" w:lineRule="auto"/>
            </w:pPr>
            <w:r>
              <w:rPr>
                <w:rFonts w:ascii="Calibri" w:hAnsi="Calibri"/>
                <w:color w:val="1E162B"/>
                <w:sz w:val="18"/>
              </w:rPr>
              <w:t>Supplement with SafeCity incident data (street-level resolution) and OSM lighting/CCTV features. XGBoost uses four feature categories; NCRB is one of four.</w:t>
            </w:r>
          </w:p>
        </w:tc>
      </w:tr>
      <w:tr>
        <w:tc>
          <w:tcPr>
            <w:tcW w:type="dxa" w:w="2257"/>
            <w:shd w:val="clear" w:color="auto" w:fill="FFFFFF"/>
          </w:tcPr>
          <w:p>
            <w:pPr>
              <w:spacing w:before="28" w:after="28" w:line="276" w:lineRule="auto"/>
            </w:pPr>
            <w:r>
              <w:rPr>
                <w:rFonts w:ascii="Calibri" w:hAnsi="Calibri"/>
                <w:color w:val="1E162B"/>
                <w:sz w:val="18"/>
              </w:rPr>
              <w:t>Gemini API rate limit exceeded in demo</w:t>
            </w:r>
          </w:p>
        </w:tc>
        <w:tc>
          <w:tcPr>
            <w:tcW w:type="dxa" w:w="2257"/>
            <w:shd w:val="clear" w:color="auto" w:fill="FFFFFF"/>
          </w:tcPr>
          <w:p>
            <w:pPr>
              <w:spacing w:before="28" w:after="28" w:line="276" w:lineRule="auto"/>
            </w:pPr>
            <w:r>
              <w:rPr>
                <w:rFonts w:ascii="Calibri" w:hAnsi="Calibri"/>
                <w:color w:val="1E162B"/>
                <w:sz w:val="18"/>
              </w:rPr>
              <w:t>Medium</w:t>
            </w:r>
          </w:p>
        </w:tc>
        <w:tc>
          <w:tcPr>
            <w:tcW w:type="dxa" w:w="2257"/>
            <w:shd w:val="clear" w:color="auto" w:fill="FFFFFF"/>
          </w:tcPr>
          <w:p>
            <w:pPr>
              <w:spacing w:before="28" w:after="28" w:line="276" w:lineRule="auto"/>
            </w:pPr>
            <w:r>
              <w:rPr>
                <w:rFonts w:ascii="Calibri" w:hAnsi="Calibri"/>
                <w:color w:val="1E162B"/>
                <w:sz w:val="18"/>
              </w:rPr>
              <w:t>Low: companion degrades to scripted responses</w:t>
            </w:r>
          </w:p>
        </w:tc>
        <w:tc>
          <w:tcPr>
            <w:tcW w:type="dxa" w:w="2257"/>
            <w:shd w:val="clear" w:color="auto" w:fill="FFFFFF"/>
          </w:tcPr>
          <w:p>
            <w:pPr>
              <w:spacing w:before="28" w:after="28" w:line="276" w:lineRule="auto"/>
            </w:pPr>
            <w:r>
              <w:rPr>
                <w:rFonts w:ascii="Calibri" w:hAnsi="Calibri"/>
                <w:color w:val="1E162B"/>
                <w:sz w:val="18"/>
              </w:rPr>
              <w:t>Request queuing via Redis; fallback to Gemini 2.0 Flash Lite (no rate limit). Single-user controlled demo avoids concurrent load.</w:t>
            </w:r>
          </w:p>
        </w:tc>
      </w:tr>
      <w:tr>
        <w:tc>
          <w:tcPr>
            <w:tcW w:type="dxa" w:w="2257"/>
            <w:shd w:val="clear" w:color="auto" w:fill="F9F5FF"/>
          </w:tcPr>
          <w:p>
            <w:pPr>
              <w:spacing w:before="28" w:after="28" w:line="276" w:lineRule="auto"/>
            </w:pPr>
            <w:r>
              <w:rPr>
                <w:rFonts w:ascii="Calibri" w:hAnsi="Calibri"/>
                <w:color w:val="1E162B"/>
                <w:sz w:val="18"/>
              </w:rPr>
              <w:t>GPS accuracy (±5m Android) causing false anomaly triggers</w:t>
            </w:r>
          </w:p>
        </w:tc>
        <w:tc>
          <w:tcPr>
            <w:tcW w:type="dxa" w:w="2257"/>
            <w:shd w:val="clear" w:color="auto" w:fill="F9F5FF"/>
          </w:tcPr>
          <w:p>
            <w:pPr>
              <w:spacing w:before="28" w:after="28" w:line="276" w:lineRule="auto"/>
            </w:pPr>
            <w:r>
              <w:rPr>
                <w:rFonts w:ascii="Calibri" w:hAnsi="Calibri"/>
                <w:color w:val="1E162B"/>
                <w:sz w:val="18"/>
              </w:rPr>
              <w:t>Medium</w:t>
            </w:r>
          </w:p>
        </w:tc>
        <w:tc>
          <w:tcPr>
            <w:tcW w:type="dxa" w:w="2257"/>
            <w:shd w:val="clear" w:color="auto" w:fill="F9F5FF"/>
          </w:tcPr>
          <w:p>
            <w:pPr>
              <w:spacing w:before="28" w:after="28" w:line="276" w:lineRule="auto"/>
            </w:pPr>
            <w:r>
              <w:rPr>
                <w:rFonts w:ascii="Calibri" w:hAnsi="Calibri"/>
                <w:color w:val="1E162B"/>
                <w:sz w:val="18"/>
              </w:rPr>
              <w:t>Low: false positive alerts in demo</w:t>
            </w:r>
          </w:p>
        </w:tc>
        <w:tc>
          <w:tcPr>
            <w:tcW w:type="dxa" w:w="2257"/>
            <w:shd w:val="clear" w:color="auto" w:fill="F9F5FF"/>
          </w:tcPr>
          <w:p>
            <w:pPr>
              <w:spacing w:before="28" w:after="28" w:line="276" w:lineRule="auto"/>
            </w:pPr>
            <w:r>
              <w:rPr>
                <w:rFonts w:ascii="Calibri" w:hAnsi="Calibri"/>
                <w:color w:val="1E162B"/>
                <w:sz w:val="18"/>
              </w:rPr>
              <w:t>50m confidence buffer in Isolation Forest feature (dist_from_route &gt; 50m threshold). DTW confirmation requires 30-point trajectory divergence — not a single-point GPS noise event.</w:t>
            </w:r>
          </w:p>
        </w:tc>
      </w:tr>
      <w:tr>
        <w:tc>
          <w:tcPr>
            <w:tcW w:type="dxa" w:w="2257"/>
            <w:shd w:val="clear" w:color="auto" w:fill="FFFFFF"/>
          </w:tcPr>
          <w:p>
            <w:pPr>
              <w:spacing w:before="28" w:after="28" w:line="276" w:lineRule="auto"/>
            </w:pPr>
            <w:r>
              <w:rPr>
                <w:rFonts w:ascii="Calibri" w:hAnsi="Calibri"/>
                <w:color w:val="1E162B"/>
                <w:sz w:val="18"/>
              </w:rPr>
              <w:t>OLA Maps API outage</w:t>
            </w:r>
          </w:p>
        </w:tc>
        <w:tc>
          <w:tcPr>
            <w:tcW w:type="dxa" w:w="2257"/>
            <w:shd w:val="clear" w:color="auto" w:fill="FFFFFF"/>
          </w:tcPr>
          <w:p>
            <w:pPr>
              <w:spacing w:before="28" w:after="28" w:line="276" w:lineRule="auto"/>
            </w:pPr>
            <w:r>
              <w:rPr>
                <w:rFonts w:ascii="Calibri" w:hAnsi="Calibri"/>
                <w:color w:val="1E162B"/>
                <w:sz w:val="18"/>
              </w:rPr>
              <w:t>Low</w:t>
            </w:r>
          </w:p>
        </w:tc>
        <w:tc>
          <w:tcPr>
            <w:tcW w:type="dxa" w:w="2257"/>
            <w:shd w:val="clear" w:color="auto" w:fill="FFFFFF"/>
          </w:tcPr>
          <w:p>
            <w:pPr>
              <w:spacing w:before="28" w:after="28" w:line="276" w:lineRule="auto"/>
            </w:pPr>
            <w:r>
              <w:rPr>
                <w:rFonts w:ascii="Calibri" w:hAnsi="Calibri"/>
                <w:color w:val="1E162B"/>
                <w:sz w:val="18"/>
              </w:rPr>
              <w:t>Medium: routing unavailable</w:t>
            </w:r>
          </w:p>
        </w:tc>
        <w:tc>
          <w:tcPr>
            <w:tcW w:type="dxa" w:w="2257"/>
            <w:shd w:val="clear" w:color="auto" w:fill="FFFFFF"/>
          </w:tcPr>
          <w:p>
            <w:pPr>
              <w:spacing w:before="28" w:after="28" w:line="276" w:lineRule="auto"/>
            </w:pPr>
            <w:r>
              <w:rPr>
                <w:rFonts w:ascii="Calibri" w:hAnsi="Calibri"/>
                <w:color w:val="1E162B"/>
                <w:sz w:val="18"/>
              </w:rPr>
              <w:t>Mapbox SDK configured as hot-swap fallback. Both SDKs tested pre-demo.</w:t>
            </w:r>
          </w:p>
        </w:tc>
      </w:tr>
      <w:tr>
        <w:tc>
          <w:tcPr>
            <w:tcW w:type="dxa" w:w="2257"/>
            <w:shd w:val="clear" w:color="auto" w:fill="F9F5FF"/>
          </w:tcPr>
          <w:p>
            <w:pPr>
              <w:spacing w:before="28" w:after="28" w:line="276" w:lineRule="auto"/>
            </w:pPr>
            <w:r>
              <w:rPr>
                <w:rFonts w:ascii="Calibri" w:hAnsi="Calibri"/>
                <w:color w:val="1E162B"/>
                <w:sz w:val="18"/>
              </w:rPr>
              <w:t>Over-scoping — trying to deliver all 5 tracks at production quality in 90 days</w:t>
            </w:r>
          </w:p>
        </w:tc>
        <w:tc>
          <w:tcPr>
            <w:tcW w:type="dxa" w:w="2257"/>
            <w:shd w:val="clear" w:color="auto" w:fill="F9F5FF"/>
          </w:tcPr>
          <w:p>
            <w:pPr>
              <w:spacing w:before="28" w:after="28" w:line="276" w:lineRule="auto"/>
            </w:pPr>
            <w:r>
              <w:rPr>
                <w:rFonts w:ascii="Calibri" w:hAnsi="Calibri"/>
                <w:color w:val="1E162B"/>
                <w:sz w:val="18"/>
              </w:rPr>
              <w:t>High if unchecked</w:t>
            </w:r>
          </w:p>
        </w:tc>
        <w:tc>
          <w:tcPr>
            <w:tcW w:type="dxa" w:w="2257"/>
            <w:shd w:val="clear" w:color="auto" w:fill="F9F5FF"/>
          </w:tcPr>
          <w:p>
            <w:pPr>
              <w:spacing w:before="28" w:after="28" w:line="276" w:lineRule="auto"/>
            </w:pPr>
            <w:r>
              <w:rPr>
                <w:rFonts w:ascii="Calibri" w:hAnsi="Calibri"/>
                <w:color w:val="1E162B"/>
                <w:sz w:val="18"/>
              </w:rPr>
              <w:t>High: nothing works well</w:t>
            </w:r>
          </w:p>
        </w:tc>
        <w:tc>
          <w:tcPr>
            <w:tcW w:type="dxa" w:w="2257"/>
            <w:shd w:val="clear" w:color="auto" w:fill="F9F5FF"/>
          </w:tcPr>
          <w:p>
            <w:pPr>
              <w:spacing w:before="28" w:after="28" w:line="276" w:lineRule="auto"/>
            </w:pPr>
            <w:r>
              <w:rPr>
                <w:rFonts w:ascii="Calibri" w:hAnsi="Calibri"/>
                <w:color w:val="1E162B"/>
                <w:sz w:val="18"/>
              </w:rPr>
              <w:t>Explicit prototype scope: Tracks 1 and 2 are primary prototypes and receive 70% of development effort. Tracks 4 and 5 are supporting modules and receive 25%. Track 3 (wearable) remains simulated — 5% effort.</w:t>
            </w:r>
          </w:p>
        </w:tc>
      </w:tr>
      <w:tr>
        <w:tc>
          <w:tcPr>
            <w:tcW w:type="dxa" w:w="2257"/>
            <w:shd w:val="clear" w:color="auto" w:fill="FFFFFF"/>
          </w:tcPr>
          <w:p>
            <w:pPr>
              <w:spacing w:before="28" w:after="28" w:line="276" w:lineRule="auto"/>
            </w:pPr>
            <w:r>
              <w:rPr>
                <w:rFonts w:ascii="Calibri" w:hAnsi="Calibri"/>
                <w:color w:val="1E162B"/>
                <w:sz w:val="18"/>
              </w:rPr>
              <w:t>First customer acquisition — university doesn't sign</w:t>
            </w:r>
          </w:p>
        </w:tc>
        <w:tc>
          <w:tcPr>
            <w:tcW w:type="dxa" w:w="2257"/>
            <w:shd w:val="clear" w:color="auto" w:fill="FFFFFF"/>
          </w:tcPr>
          <w:p>
            <w:pPr>
              <w:spacing w:before="28" w:after="28" w:line="276" w:lineRule="auto"/>
            </w:pPr>
            <w:r>
              <w:rPr>
                <w:rFonts w:ascii="Calibri" w:hAnsi="Calibri"/>
                <w:color w:val="1E162B"/>
                <w:sz w:val="18"/>
              </w:rPr>
              <w:t>Medium</w:t>
            </w:r>
          </w:p>
        </w:tc>
        <w:tc>
          <w:tcPr>
            <w:tcW w:type="dxa" w:w="2257"/>
            <w:shd w:val="clear" w:color="auto" w:fill="FFFFFF"/>
          </w:tcPr>
          <w:p>
            <w:pPr>
              <w:spacing w:before="28" w:after="28" w:line="276" w:lineRule="auto"/>
            </w:pPr>
            <w:r>
              <w:rPr>
                <w:rFonts w:ascii="Calibri" w:hAnsi="Calibri"/>
                <w:color w:val="1E162B"/>
                <w:sz w:val="18"/>
              </w:rPr>
              <w:t>Medium: delays revenue</w:t>
            </w:r>
          </w:p>
        </w:tc>
        <w:tc>
          <w:tcPr>
            <w:tcW w:type="dxa" w:w="2257"/>
            <w:shd w:val="clear" w:color="auto" w:fill="FFFFFF"/>
          </w:tcPr>
          <w:p>
            <w:pPr>
              <w:spacing w:before="28" w:after="28" w:line="276" w:lineRule="auto"/>
            </w:pPr>
            <w:r>
              <w:rPr>
                <w:rFonts w:ascii="Calibri" w:hAnsi="Calibri"/>
                <w:color w:val="1E162B"/>
                <w:sz w:val="18"/>
              </w:rPr>
              <w:t>VIT-AP University itself is the target first customer — institutional familiarity reduces sales cycle. Alternatively, deploy as a free pilot for the campus security team to generate reference data.</w:t>
            </w:r>
          </w:p>
        </w:tc>
      </w:tr>
    </w:tbl>
    <w:p/>
    <w:p>
      <w:pPr>
        <w:spacing w:before="100" w:after="40" w:line="276" w:lineRule="auto"/>
      </w:pPr>
      <w:r>
        <w:rPr>
          <w:rFonts w:ascii="Calibri" w:hAnsi="Calibri"/>
          <w:b/>
          <w:color w:val="7C3AED"/>
          <w:sz w:val="22"/>
        </w:rPr>
        <w:t>4.4  Governance &amp; Quality Gates</w:t>
      </w:r>
    </w:p>
    <w:p>
      <w:pPr>
        <w:pStyle w:val="ListBullet"/>
        <w:spacing w:before="0" w:after="28" w:line="276" w:lineRule="auto"/>
        <w:ind w:left="360"/>
      </w:pPr>
      <w:r>
        <w:rPr>
          <w:rFonts w:ascii="Calibri" w:hAnsi="Calibri"/>
          <w:color w:val="1E162B"/>
          <w:sz w:val="20"/>
        </w:rPr>
        <w:t>Weekly written updates: completed work, OKR measurements (from M2 onwards), blockers and resolutions, risk register.</w:t>
      </w:r>
    </w:p>
    <w:p>
      <w:pPr>
        <w:pStyle w:val="ListBullet"/>
        <w:spacing w:before="0" w:after="28" w:line="276" w:lineRule="auto"/>
        <w:ind w:left="360"/>
      </w:pPr>
      <w:r>
        <w:rPr>
          <w:rFonts w:ascii="Calibri" w:hAnsi="Calibri"/>
          <w:color w:val="1E162B"/>
          <w:sz w:val="20"/>
        </w:rPr>
        <w:t>Monthly demo sessions at M2, M3, and M4 — institutional mentor from VIT-AP and external technical reviewer.</w:t>
      </w:r>
    </w:p>
    <w:p>
      <w:pPr>
        <w:pStyle w:val="ListBullet"/>
        <w:spacing w:before="0" w:after="28" w:line="276" w:lineRule="auto"/>
        <w:ind w:left="360"/>
      </w:pPr>
      <w:r>
        <w:rPr>
          <w:rFonts w:ascii="Calibri" w:hAnsi="Calibri"/>
          <w:color w:val="1E162B"/>
          <w:sz w:val="20"/>
        </w:rPr>
        <w:t>LangSmith agent tracing: every LangGraph agent execution is logged, observable, and queryable. This is not a 'black box AI system' — every safety decision is auditable.</w:t>
      </w:r>
    </w:p>
    <w:p>
      <w:pPr>
        <w:pStyle w:val="ListBullet"/>
        <w:spacing w:before="0" w:after="28" w:line="276" w:lineRule="auto"/>
        <w:ind w:left="360"/>
      </w:pPr>
      <w:r>
        <w:rPr>
          <w:rFonts w:ascii="Calibri" w:hAnsi="Calibri"/>
          <w:color w:val="1E162B"/>
          <w:sz w:val="20"/>
        </w:rPr>
        <w:t>Ethical constraints (hard-coded, not configurable): AI companion always directs to 112 in immediate danger scenarios; FIR drafts are labelled as 'AI-assisted draft for human review'; no biometric data persisted beyond session.</w:t>
      </w:r>
    </w:p>
    <w:p>
      <w:r>
        <w:br w:type="page"/>
      </w:r>
    </w:p>
    <w:p>
      <w:pPr>
        <w:spacing w:before="180" w:after="80" w:line="276" w:lineRule="auto"/>
        <w:pBdr>
          <w:left w:val="single" w:sz="24" w:space="4" w:color="E11D74"/>
        </w:pBdr>
      </w:pPr>
      <w:r>
        <w:rPr>
          <w:rFonts w:ascii="Calibri" w:hAnsi="Calibri"/>
          <w:b/>
          <w:color w:val="E11D74"/>
          <w:sz w:val="27"/>
        </w:rPr>
        <w:t>5.  Integration Feasibility, Scalability &amp; Impact Potential</w:t>
      </w:r>
    </w:p>
    <w:p>
      <w:pPr>
        <w:spacing w:before="100" w:after="40" w:line="276" w:lineRule="auto"/>
      </w:pPr>
      <w:r>
        <w:rPr>
          <w:rFonts w:ascii="Calibri" w:hAnsi="Calibri"/>
          <w:b/>
          <w:color w:val="7C3AED"/>
          <w:sz w:val="22"/>
        </w:rPr>
        <w:t>5.1  Integration Design — Clear Responsibility Boundaries</w:t>
      </w:r>
    </w:p>
    <w:p>
      <w:pPr>
        <w:spacing w:before="0" w:after="50" w:line="276" w:lineRule="auto"/>
      </w:pPr>
      <w:r>
        <w:rPr>
          <w:rFonts w:ascii="Calibri" w:hAnsi="Calibri"/>
          <w:color w:val="1E162B"/>
          <w:sz w:val="20"/>
        </w:rPr>
        <w:t>SafeHerAI's architecture separates the safety computation (backend) from the safety experience (client) at a clean API boundary. This is not just good engineering — it is what enables the B2B deployment model. A university or ride-hailing platform integrates SafeHerAI's API, not SafeHerAI's UI.</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Layer</w:t>
            </w:r>
          </w:p>
        </w:tc>
        <w:tc>
          <w:tcPr>
            <w:tcW w:type="dxa" w:w="2257"/>
            <w:shd w:val="clear" w:color="auto" w:fill="1E162B"/>
          </w:tcPr>
          <w:p>
            <w:pPr>
              <w:spacing w:before="36" w:after="36" w:line="276" w:lineRule="auto"/>
            </w:pPr>
            <w:r>
              <w:rPr>
                <w:rFonts w:ascii="Calibri" w:hAnsi="Calibri"/>
                <w:b/>
                <w:color w:val="FFFFFF"/>
                <w:sz w:val="18"/>
              </w:rPr>
              <w:t>Responsibility</w:t>
            </w:r>
          </w:p>
        </w:tc>
        <w:tc>
          <w:tcPr>
            <w:tcW w:type="dxa" w:w="2257"/>
            <w:shd w:val="clear" w:color="auto" w:fill="1E162B"/>
          </w:tcPr>
          <w:p>
            <w:pPr>
              <w:spacing w:before="36" w:after="36" w:line="276" w:lineRule="auto"/>
            </w:pPr>
            <w:r>
              <w:rPr>
                <w:rFonts w:ascii="Calibri" w:hAnsi="Calibri"/>
                <w:b/>
                <w:color w:val="FFFFFF"/>
                <w:sz w:val="18"/>
              </w:rPr>
              <w:t>Failure Mode</w:t>
            </w:r>
          </w:p>
        </w:tc>
        <w:tc>
          <w:tcPr>
            <w:tcW w:type="dxa" w:w="2257"/>
            <w:shd w:val="clear" w:color="auto" w:fill="1E162B"/>
          </w:tcPr>
          <w:p>
            <w:pPr>
              <w:spacing w:before="36" w:after="36" w:line="276" w:lineRule="auto"/>
            </w:pPr>
            <w:r>
              <w:rPr>
                <w:rFonts w:ascii="Calibri" w:hAnsi="Calibri"/>
                <w:b/>
                <w:color w:val="FFFFFF"/>
                <w:sz w:val="18"/>
              </w:rPr>
              <w:t>Recovery</w:t>
            </w:r>
          </w:p>
        </w:tc>
      </w:tr>
      <w:tr>
        <w:tc>
          <w:tcPr>
            <w:tcW w:type="dxa" w:w="2257"/>
            <w:shd w:val="clear" w:color="auto" w:fill="F9F5FF"/>
          </w:tcPr>
          <w:p>
            <w:pPr>
              <w:spacing w:before="28" w:after="28" w:line="276" w:lineRule="auto"/>
            </w:pPr>
            <w:r>
              <w:rPr>
                <w:rFonts w:ascii="Calibri" w:hAnsi="Calibri"/>
                <w:color w:val="1E162B"/>
                <w:sz w:val="18"/>
              </w:rPr>
              <w:t>Flutter/Next.js Client</w:t>
            </w:r>
          </w:p>
        </w:tc>
        <w:tc>
          <w:tcPr>
            <w:tcW w:type="dxa" w:w="2257"/>
            <w:shd w:val="clear" w:color="auto" w:fill="F9F5FF"/>
          </w:tcPr>
          <w:p>
            <w:pPr>
              <w:spacing w:before="28" w:after="28" w:line="276" w:lineRule="auto"/>
            </w:pPr>
            <w:r>
              <w:rPr>
                <w:rFonts w:ascii="Calibri" w:hAnsi="Calibri"/>
                <w:color w:val="1E162B"/>
                <w:sz w:val="18"/>
              </w:rPr>
              <w:t>GPS capture, risk display, SOS trigger, chat UI. Does NOT compute risk — only streams telemetry and renders API responses.</w:t>
            </w:r>
          </w:p>
        </w:tc>
        <w:tc>
          <w:tcPr>
            <w:tcW w:type="dxa" w:w="2257"/>
            <w:shd w:val="clear" w:color="auto" w:fill="F9F5FF"/>
          </w:tcPr>
          <w:p>
            <w:pPr>
              <w:spacing w:before="28" w:after="28" w:line="276" w:lineRule="auto"/>
            </w:pPr>
            <w:r>
              <w:rPr>
                <w:rFonts w:ascii="Calibri" w:hAnsi="Calibri"/>
                <w:color w:val="1E162B"/>
                <w:sz w:val="18"/>
              </w:rPr>
              <w:t>App crash or GPS loss</w:t>
            </w:r>
          </w:p>
        </w:tc>
        <w:tc>
          <w:tcPr>
            <w:tcW w:type="dxa" w:w="2257"/>
            <w:shd w:val="clear" w:color="auto" w:fill="F9F5FF"/>
          </w:tcPr>
          <w:p>
            <w:pPr>
              <w:spacing w:before="28" w:after="28" w:line="276" w:lineRule="auto"/>
            </w:pPr>
            <w:r>
              <w:rPr>
                <w:rFonts w:ascii="Calibri" w:hAnsi="Calibri"/>
                <w:color w:val="1E162B"/>
                <w:sz w:val="18"/>
              </w:rPr>
              <w:t>Journey twin continues on backend; companion retains context; guardian can still view last known state</w:t>
            </w:r>
          </w:p>
        </w:tc>
      </w:tr>
      <w:tr>
        <w:tc>
          <w:tcPr>
            <w:tcW w:type="dxa" w:w="2257"/>
            <w:shd w:val="clear" w:color="auto" w:fill="FFFFFF"/>
          </w:tcPr>
          <w:p>
            <w:pPr>
              <w:spacing w:before="28" w:after="28" w:line="276" w:lineRule="auto"/>
            </w:pPr>
            <w:r>
              <w:rPr>
                <w:rFonts w:ascii="Calibri" w:hAnsi="Calibri"/>
                <w:color w:val="1E162B"/>
                <w:sz w:val="18"/>
              </w:rPr>
              <w:t>FastAPI + LangGraph Backend</w:t>
            </w:r>
          </w:p>
        </w:tc>
        <w:tc>
          <w:tcPr>
            <w:tcW w:type="dxa" w:w="2257"/>
            <w:shd w:val="clear" w:color="auto" w:fill="FFFFFF"/>
          </w:tcPr>
          <w:p>
            <w:pPr>
              <w:spacing w:before="28" w:after="28" w:line="276" w:lineRule="auto"/>
            </w:pPr>
            <w:r>
              <w:rPr>
                <w:rFonts w:ascii="Calibri" w:hAnsi="Calibri"/>
                <w:color w:val="1E162B"/>
                <w:sz w:val="18"/>
              </w:rPr>
              <w:t>All risk computation, agent orchestration, anomaly detection, trust scoring, AI generation. Single source of truth for UJRS.</w:t>
            </w:r>
          </w:p>
        </w:tc>
        <w:tc>
          <w:tcPr>
            <w:tcW w:type="dxa" w:w="2257"/>
            <w:shd w:val="clear" w:color="auto" w:fill="FFFFFF"/>
          </w:tcPr>
          <w:p>
            <w:pPr>
              <w:spacing w:before="28" w:after="28" w:line="276" w:lineRule="auto"/>
            </w:pPr>
            <w:r>
              <w:rPr>
                <w:rFonts w:ascii="Calibri" w:hAnsi="Calibri"/>
                <w:color w:val="1E162B"/>
                <w:sz w:val="18"/>
              </w:rPr>
              <w:t>Node timeout in LangGraph graph</w:t>
            </w:r>
          </w:p>
        </w:tc>
        <w:tc>
          <w:tcPr>
            <w:tcW w:type="dxa" w:w="2257"/>
            <w:shd w:val="clear" w:color="auto" w:fill="FFFFFF"/>
          </w:tcPr>
          <w:p>
            <w:pPr>
              <w:spacing w:before="28" w:after="28" w:line="276" w:lineRule="auto"/>
            </w:pPr>
            <w:r>
              <w:rPr>
                <w:rFonts w:ascii="Calibri" w:hAnsi="Calibri"/>
                <w:color w:val="1E162B"/>
                <w:sz w:val="18"/>
              </w:rPr>
              <w:t>Per-node 10s timeout; failed node logged; graph continues from last valid state</w:t>
            </w:r>
          </w:p>
        </w:tc>
      </w:tr>
      <w:tr>
        <w:tc>
          <w:tcPr>
            <w:tcW w:type="dxa" w:w="2257"/>
            <w:shd w:val="clear" w:color="auto" w:fill="F9F5FF"/>
          </w:tcPr>
          <w:p>
            <w:pPr>
              <w:spacing w:before="28" w:after="28" w:line="276" w:lineRule="auto"/>
            </w:pPr>
            <w:r>
              <w:rPr>
                <w:rFonts w:ascii="Calibri" w:hAnsi="Calibri"/>
                <w:color w:val="1E162B"/>
                <w:sz w:val="18"/>
              </w:rPr>
              <w:t>PostGIS + Redis Data Layer</w:t>
            </w:r>
          </w:p>
        </w:tc>
        <w:tc>
          <w:tcPr>
            <w:tcW w:type="dxa" w:w="2257"/>
            <w:shd w:val="clear" w:color="auto" w:fill="F9F5FF"/>
          </w:tcPr>
          <w:p>
            <w:pPr>
              <w:spacing w:before="28" w:after="28" w:line="276" w:lineRule="auto"/>
            </w:pPr>
            <w:r>
              <w:rPr>
                <w:rFonts w:ascii="Calibri" w:hAnsi="Calibri"/>
                <w:color w:val="1E162B"/>
                <w:sz w:val="18"/>
              </w:rPr>
              <w:t>Spatial risk persistence (H3 zones), community reports, journey twin state, conversation memory.</w:t>
            </w:r>
          </w:p>
        </w:tc>
        <w:tc>
          <w:tcPr>
            <w:tcW w:type="dxa" w:w="2257"/>
            <w:shd w:val="clear" w:color="auto" w:fill="F9F5FF"/>
          </w:tcPr>
          <w:p>
            <w:pPr>
              <w:spacing w:before="28" w:after="28" w:line="276" w:lineRule="auto"/>
            </w:pPr>
            <w:r>
              <w:rPr>
                <w:rFonts w:ascii="Calibri" w:hAnsi="Calibri"/>
                <w:color w:val="1E162B"/>
                <w:sz w:val="18"/>
              </w:rPr>
              <w:t>PostGIS unavailable</w:t>
            </w:r>
          </w:p>
        </w:tc>
        <w:tc>
          <w:tcPr>
            <w:tcW w:type="dxa" w:w="2257"/>
            <w:shd w:val="clear" w:color="auto" w:fill="F9F5FF"/>
          </w:tcPr>
          <w:p>
            <w:pPr>
              <w:spacing w:before="28" w:after="28" w:line="276" w:lineRule="auto"/>
            </w:pPr>
            <w:r>
              <w:rPr>
                <w:rFonts w:ascii="Calibri" w:hAnsi="Calibri"/>
                <w:color w:val="1E162B"/>
                <w:sz w:val="18"/>
              </w:rPr>
              <w:t>Heatmap returns Redis-cached data (5min TTL). Community reports queue in Redis Streams until PostGIS recovers.</w:t>
            </w:r>
          </w:p>
        </w:tc>
      </w:tr>
      <w:tr>
        <w:tc>
          <w:tcPr>
            <w:tcW w:type="dxa" w:w="2257"/>
            <w:shd w:val="clear" w:color="auto" w:fill="FFFFFF"/>
          </w:tcPr>
          <w:p>
            <w:pPr>
              <w:spacing w:before="28" w:after="28" w:line="276" w:lineRule="auto"/>
            </w:pPr>
            <w:r>
              <w:rPr>
                <w:rFonts w:ascii="Calibri" w:hAnsi="Calibri"/>
                <w:color w:val="1E162B"/>
                <w:sz w:val="18"/>
              </w:rPr>
              <w:t>Gemini 2.5 API</w:t>
            </w:r>
          </w:p>
        </w:tc>
        <w:tc>
          <w:tcPr>
            <w:tcW w:type="dxa" w:w="2257"/>
            <w:shd w:val="clear" w:color="auto" w:fill="FFFFFF"/>
          </w:tcPr>
          <w:p>
            <w:pPr>
              <w:spacing w:before="28" w:after="28" w:line="276" w:lineRule="auto"/>
            </w:pPr>
            <w:r>
              <w:rPr>
                <w:rFonts w:ascii="Calibri" w:hAnsi="Calibri"/>
                <w:color w:val="1E162B"/>
                <w:sz w:val="18"/>
              </w:rPr>
              <w:t>Natural language companion responses, FIR draft generation. NOT used for safety-critical routing decisions.</w:t>
            </w:r>
          </w:p>
        </w:tc>
        <w:tc>
          <w:tcPr>
            <w:tcW w:type="dxa" w:w="2257"/>
            <w:shd w:val="clear" w:color="auto" w:fill="FFFFFF"/>
          </w:tcPr>
          <w:p>
            <w:pPr>
              <w:spacing w:before="28" w:after="28" w:line="276" w:lineRule="auto"/>
            </w:pPr>
            <w:r>
              <w:rPr>
                <w:rFonts w:ascii="Calibri" w:hAnsi="Calibri"/>
                <w:color w:val="1E162B"/>
                <w:sz w:val="18"/>
              </w:rPr>
              <w:t>API unavailable or rate-limited</w:t>
            </w:r>
          </w:p>
        </w:tc>
        <w:tc>
          <w:tcPr>
            <w:tcW w:type="dxa" w:w="2257"/>
            <w:shd w:val="clear" w:color="auto" w:fill="FFFFFF"/>
          </w:tcPr>
          <w:p>
            <w:pPr>
              <w:spacing w:before="28" w:after="28" w:line="276" w:lineRule="auto"/>
            </w:pPr>
            <w:r>
              <w:rPr>
                <w:rFonts w:ascii="Calibri" w:hAnsi="Calibri"/>
                <w:color w:val="1E162B"/>
                <w:sz w:val="18"/>
              </w:rPr>
              <w:t>Companion falls back to pre-scripted safety guidance. FIR draft queued for later generation.</w:t>
            </w:r>
          </w:p>
        </w:tc>
      </w:tr>
    </w:tbl>
    <w:p/>
    <w:p>
      <w:pPr>
        <w:spacing w:before="100" w:after="40" w:line="276" w:lineRule="auto"/>
      </w:pPr>
      <w:r>
        <w:rPr>
          <w:rFonts w:ascii="Calibri" w:hAnsi="Calibri"/>
          <w:b/>
          <w:color w:val="7C3AED"/>
          <w:sz w:val="22"/>
        </w:rPr>
        <w:t>5.2  Scalability Path</w:t>
      </w:r>
    </w:p>
    <w:p>
      <w:pPr>
        <w:pStyle w:val="ListBullet"/>
        <w:spacing w:before="0" w:after="28" w:line="276" w:lineRule="auto"/>
        <w:ind w:left="360"/>
      </w:pPr>
      <w:r>
        <w:rPr>
          <w:rFonts w:ascii="Calibri" w:hAnsi="Calibri"/>
          <w:color w:val="1E162B"/>
          <w:sz w:val="20"/>
        </w:rPr>
        <w:t>Compute: FastAPI on Cloud Run scales to 1,000+ concurrent instances automatically. Each journey's LangGraph instance is stateless (state in Redis) — scaling is horizontal with zero architecture change.</w:t>
      </w:r>
    </w:p>
    <w:p>
      <w:pPr>
        <w:pStyle w:val="ListBullet"/>
        <w:spacing w:before="0" w:after="28" w:line="276" w:lineRule="auto"/>
        <w:ind w:left="360"/>
      </w:pPr>
      <w:r>
        <w:rPr>
          <w:rFonts w:ascii="Calibri" w:hAnsi="Calibri"/>
          <w:color w:val="1E162B"/>
          <w:sz w:val="20"/>
        </w:rPr>
        <w:t>Data: PostGIS with materialised H3 views: heatmap queries are pre-computed. Adding a new city requires seeding its H3 grid with NCRB + OSM data — the code is city-agnostic.</w:t>
      </w:r>
    </w:p>
    <w:p>
      <w:pPr>
        <w:pStyle w:val="ListBullet"/>
        <w:spacing w:before="0" w:after="28" w:line="276" w:lineRule="auto"/>
        <w:ind w:left="360"/>
      </w:pPr>
      <w:r>
        <w:rPr>
          <w:rFonts w:ascii="Calibri" w:hAnsi="Calibri"/>
          <w:color w:val="1E162B"/>
          <w:sz w:val="20"/>
        </w:rPr>
        <w:t>AI: Gemini API scales on Google's infrastructure. Request queuing keeps SafeHerAI within rate limits at pilot scale; Vertex AI provides higher limits for production.</w:t>
      </w:r>
    </w:p>
    <w:p>
      <w:pPr>
        <w:pStyle w:val="ListBullet"/>
        <w:spacing w:before="0" w:after="28" w:line="276" w:lineRule="auto"/>
        <w:ind w:left="360"/>
      </w:pPr>
      <w:r>
        <w:rPr>
          <w:rFonts w:ascii="Calibri" w:hAnsi="Calibri"/>
          <w:color w:val="1E162B"/>
          <w:sz w:val="20"/>
        </w:rPr>
        <w:t>Device: Android 8.0+ (covers 97% of active Android devices in India per Google Play Console, 2025). GPS streaming and WebSocket work on 4G/3G. Offline GPS buffering handles 2G gaps.</w:t>
      </w:r>
    </w:p>
    <w:p>
      <w:pPr>
        <w:spacing w:before="100" w:after="40" w:line="276" w:lineRule="auto"/>
      </w:pPr>
      <w:r>
        <w:rPr>
          <w:rFonts w:ascii="Calibri" w:hAnsi="Calibri"/>
          <w:b/>
          <w:color w:val="7C3AED"/>
          <w:sz w:val="22"/>
        </w:rPr>
        <w:t>5.3  Future Roadmap — Phased and Financially Grounded</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257"/>
            <w:shd w:val="clear" w:color="auto" w:fill="1E162B"/>
          </w:tcPr>
          <w:p>
            <w:pPr>
              <w:spacing w:before="36" w:after="36" w:line="276" w:lineRule="auto"/>
            </w:pPr>
            <w:r>
              <w:rPr>
                <w:rFonts w:ascii="Calibri" w:hAnsi="Calibri"/>
                <w:b/>
                <w:color w:val="FFFFFF"/>
                <w:sz w:val="18"/>
              </w:rPr>
              <w:t>Phase</w:t>
            </w:r>
          </w:p>
        </w:tc>
        <w:tc>
          <w:tcPr>
            <w:tcW w:type="dxa" w:w="2257"/>
            <w:shd w:val="clear" w:color="auto" w:fill="1E162B"/>
          </w:tcPr>
          <w:p>
            <w:pPr>
              <w:spacing w:before="36" w:after="36" w:line="276" w:lineRule="auto"/>
            </w:pPr>
            <w:r>
              <w:rPr>
                <w:rFonts w:ascii="Calibri" w:hAnsi="Calibri"/>
                <w:b/>
                <w:color w:val="FFFFFF"/>
                <w:sz w:val="18"/>
              </w:rPr>
              <w:t>Timeline</w:t>
            </w:r>
          </w:p>
        </w:tc>
        <w:tc>
          <w:tcPr>
            <w:tcW w:type="dxa" w:w="2257"/>
            <w:shd w:val="clear" w:color="auto" w:fill="1E162B"/>
          </w:tcPr>
          <w:p>
            <w:pPr>
              <w:spacing w:before="36" w:after="36" w:line="276" w:lineRule="auto"/>
            </w:pPr>
            <w:r>
              <w:rPr>
                <w:rFonts w:ascii="Calibri" w:hAnsi="Calibri"/>
                <w:b/>
                <w:color w:val="FFFFFF"/>
                <w:sz w:val="18"/>
              </w:rPr>
              <w:t>Milestone</w:t>
            </w:r>
          </w:p>
        </w:tc>
        <w:tc>
          <w:tcPr>
            <w:tcW w:type="dxa" w:w="2257"/>
            <w:shd w:val="clear" w:color="auto" w:fill="1E162B"/>
          </w:tcPr>
          <w:p>
            <w:pPr>
              <w:spacing w:before="36" w:after="36" w:line="276" w:lineRule="auto"/>
            </w:pPr>
            <w:r>
              <w:rPr>
                <w:rFonts w:ascii="Calibri" w:hAnsi="Calibri"/>
                <w:b/>
                <w:color w:val="FFFFFF"/>
                <w:sz w:val="18"/>
              </w:rPr>
              <w:t>Revenue Trigger</w:t>
            </w:r>
          </w:p>
        </w:tc>
      </w:tr>
      <w:tr>
        <w:tc>
          <w:tcPr>
            <w:tcW w:type="dxa" w:w="2257"/>
            <w:shd w:val="clear" w:color="auto" w:fill="F9F5FF"/>
          </w:tcPr>
          <w:p>
            <w:pPr>
              <w:spacing w:before="28" w:after="28" w:line="276" w:lineRule="auto"/>
            </w:pPr>
            <w:r>
              <w:rPr>
                <w:rFonts w:ascii="Calibri" w:hAnsi="Calibri"/>
                <w:color w:val="1E162B"/>
                <w:sz w:val="18"/>
              </w:rPr>
              <w:t>POC</w:t>
            </w:r>
          </w:p>
        </w:tc>
        <w:tc>
          <w:tcPr>
            <w:tcW w:type="dxa" w:w="2257"/>
            <w:shd w:val="clear" w:color="auto" w:fill="F9F5FF"/>
          </w:tcPr>
          <w:p>
            <w:pPr>
              <w:spacing w:before="28" w:after="28" w:line="276" w:lineRule="auto"/>
            </w:pPr>
            <w:r>
              <w:rPr>
                <w:rFonts w:ascii="Calibri" w:hAnsi="Calibri"/>
                <w:color w:val="1E162B"/>
                <w:sz w:val="18"/>
              </w:rPr>
              <w:t>Current (pre-submission)</w:t>
            </w:r>
          </w:p>
        </w:tc>
        <w:tc>
          <w:tcPr>
            <w:tcW w:type="dxa" w:w="2257"/>
            <w:shd w:val="clear" w:color="auto" w:fill="F9F5FF"/>
          </w:tcPr>
          <w:p>
            <w:pPr>
              <w:spacing w:before="28" w:after="28" w:line="276" w:lineRule="auto"/>
            </w:pPr>
            <w:r>
              <w:rPr>
                <w:rFonts w:ascii="Calibri" w:hAnsi="Calibri"/>
                <w:color w:val="1E162B"/>
                <w:sz w:val="18"/>
              </w:rPr>
              <w:t>Working codebase; all 5 tracks demonstrable; Gemini companion live</w:t>
            </w:r>
          </w:p>
        </w:tc>
        <w:tc>
          <w:tcPr>
            <w:tcW w:type="dxa" w:w="2257"/>
            <w:shd w:val="clear" w:color="auto" w:fill="F9F5FF"/>
          </w:tcPr>
          <w:p>
            <w:pPr>
              <w:spacing w:before="28" w:after="28" w:line="276" w:lineRule="auto"/>
            </w:pPr>
            <w:r>
              <w:rPr>
                <w:rFonts w:ascii="Calibri" w:hAnsi="Calibri"/>
                <w:color w:val="1E162B"/>
                <w:sz w:val="18"/>
              </w:rPr>
              <w:t>None (pre-revenue)</w:t>
            </w:r>
          </w:p>
        </w:tc>
      </w:tr>
      <w:tr>
        <w:tc>
          <w:tcPr>
            <w:tcW w:type="dxa" w:w="2257"/>
            <w:shd w:val="clear" w:color="auto" w:fill="FFFFFF"/>
          </w:tcPr>
          <w:p>
            <w:pPr>
              <w:spacing w:before="28" w:after="28" w:line="276" w:lineRule="auto"/>
            </w:pPr>
            <w:r>
              <w:rPr>
                <w:rFonts w:ascii="Calibri" w:hAnsi="Calibri"/>
                <w:color w:val="1E162B"/>
                <w:sz w:val="18"/>
              </w:rPr>
              <w:t>Pilot</w:t>
            </w:r>
          </w:p>
        </w:tc>
        <w:tc>
          <w:tcPr>
            <w:tcW w:type="dxa" w:w="2257"/>
            <w:shd w:val="clear" w:color="auto" w:fill="FFFFFF"/>
          </w:tcPr>
          <w:p>
            <w:pPr>
              <w:spacing w:before="28" w:after="28" w:line="276" w:lineRule="auto"/>
            </w:pPr>
            <w:r>
              <w:rPr>
                <w:rFonts w:ascii="Calibri" w:hAnsi="Calibri"/>
                <w:color w:val="1E162B"/>
                <w:sz w:val="18"/>
              </w:rPr>
              <w:t>0–90 days post-hackathon</w:t>
            </w:r>
          </w:p>
        </w:tc>
        <w:tc>
          <w:tcPr>
            <w:tcW w:type="dxa" w:w="2257"/>
            <w:shd w:val="clear" w:color="auto" w:fill="FFFFFF"/>
          </w:tcPr>
          <w:p>
            <w:pPr>
              <w:spacing w:before="28" w:after="28" w:line="276" w:lineRule="auto"/>
            </w:pPr>
            <w:r>
              <w:rPr>
                <w:rFonts w:ascii="Calibri" w:hAnsi="Calibri"/>
                <w:color w:val="1E162B"/>
                <w:sz w:val="18"/>
              </w:rPr>
              <w:t>Tracks 1 + 2 production-quality; all OKRs measured; campus demo deployment</w:t>
            </w:r>
          </w:p>
        </w:tc>
        <w:tc>
          <w:tcPr>
            <w:tcW w:type="dxa" w:w="2257"/>
            <w:shd w:val="clear" w:color="auto" w:fill="FFFFFF"/>
          </w:tcPr>
          <w:p>
            <w:pPr>
              <w:spacing w:before="28" w:after="28" w:line="276" w:lineRule="auto"/>
            </w:pPr>
            <w:r>
              <w:rPr>
                <w:rFonts w:ascii="Calibri" w:hAnsi="Calibri"/>
                <w:color w:val="1E162B"/>
                <w:sz w:val="18"/>
              </w:rPr>
              <w:t>Campus pilot agreement (₹1–3 lakh/year target)</w:t>
            </w:r>
          </w:p>
        </w:tc>
      </w:tr>
      <w:tr>
        <w:tc>
          <w:tcPr>
            <w:tcW w:type="dxa" w:w="2257"/>
            <w:shd w:val="clear" w:color="auto" w:fill="F9F5FF"/>
          </w:tcPr>
          <w:p>
            <w:pPr>
              <w:spacing w:before="28" w:after="28" w:line="276" w:lineRule="auto"/>
            </w:pPr>
            <w:r>
              <w:rPr>
                <w:rFonts w:ascii="Calibri" w:hAnsi="Calibri"/>
                <w:color w:val="1E162B"/>
                <w:sz w:val="18"/>
              </w:rPr>
              <w:t>Campus Scale</w:t>
            </w:r>
          </w:p>
        </w:tc>
        <w:tc>
          <w:tcPr>
            <w:tcW w:type="dxa" w:w="2257"/>
            <w:shd w:val="clear" w:color="auto" w:fill="F9F5FF"/>
          </w:tcPr>
          <w:p>
            <w:pPr>
              <w:spacing w:before="28" w:after="28" w:line="276" w:lineRule="auto"/>
            </w:pPr>
            <w:r>
              <w:rPr>
                <w:rFonts w:ascii="Calibri" w:hAnsi="Calibri"/>
                <w:color w:val="1E162B"/>
                <w:sz w:val="18"/>
              </w:rPr>
              <w:t>6–12 months</w:t>
            </w:r>
          </w:p>
        </w:tc>
        <w:tc>
          <w:tcPr>
            <w:tcW w:type="dxa" w:w="2257"/>
            <w:shd w:val="clear" w:color="auto" w:fill="F9F5FF"/>
          </w:tcPr>
          <w:p>
            <w:pPr>
              <w:spacing w:before="28" w:after="28" w:line="276" w:lineRule="auto"/>
            </w:pPr>
            <w:r>
              <w:rPr>
                <w:rFonts w:ascii="Calibri" w:hAnsi="Calibri"/>
                <w:color w:val="1E162B"/>
                <w:sz w:val="18"/>
              </w:rPr>
              <w:t>5 campuses live; MSME SDK alpha; community data growing</w:t>
            </w:r>
          </w:p>
        </w:tc>
        <w:tc>
          <w:tcPr>
            <w:tcW w:type="dxa" w:w="2257"/>
            <w:shd w:val="clear" w:color="auto" w:fill="F9F5FF"/>
          </w:tcPr>
          <w:p>
            <w:pPr>
              <w:spacing w:before="28" w:after="28" w:line="276" w:lineRule="auto"/>
            </w:pPr>
            <w:r>
              <w:rPr>
                <w:rFonts w:ascii="Calibri" w:hAnsi="Calibri"/>
                <w:color w:val="1E162B"/>
                <w:sz w:val="18"/>
              </w:rPr>
              <w:t>₹10–25 lakh ARR</w:t>
            </w:r>
          </w:p>
        </w:tc>
      </w:tr>
      <w:tr>
        <w:tc>
          <w:tcPr>
            <w:tcW w:type="dxa" w:w="2257"/>
            <w:shd w:val="clear" w:color="auto" w:fill="FFFFFF"/>
          </w:tcPr>
          <w:p>
            <w:pPr>
              <w:spacing w:before="28" w:after="28" w:line="276" w:lineRule="auto"/>
            </w:pPr>
            <w:r>
              <w:rPr>
                <w:rFonts w:ascii="Calibri" w:hAnsi="Calibri"/>
                <w:color w:val="1E162B"/>
                <w:sz w:val="18"/>
              </w:rPr>
              <w:t>City Expansion</w:t>
            </w:r>
          </w:p>
        </w:tc>
        <w:tc>
          <w:tcPr>
            <w:tcW w:type="dxa" w:w="2257"/>
            <w:shd w:val="clear" w:color="auto" w:fill="FFFFFF"/>
          </w:tcPr>
          <w:p>
            <w:pPr>
              <w:spacing w:before="28" w:after="28" w:line="276" w:lineRule="auto"/>
            </w:pPr>
            <w:r>
              <w:rPr>
                <w:rFonts w:ascii="Calibri" w:hAnsi="Calibri"/>
                <w:color w:val="1E162B"/>
                <w:sz w:val="18"/>
              </w:rPr>
              <w:t>12–24 months</w:t>
            </w:r>
          </w:p>
        </w:tc>
        <w:tc>
          <w:tcPr>
            <w:tcW w:type="dxa" w:w="2257"/>
            <w:shd w:val="clear" w:color="auto" w:fill="FFFFFF"/>
          </w:tcPr>
          <w:p>
            <w:pPr>
              <w:spacing w:before="28" w:after="28" w:line="276" w:lineRule="auto"/>
            </w:pPr>
            <w:r>
              <w:rPr>
                <w:rFonts w:ascii="Calibri" w:hAnsi="Calibri"/>
                <w:color w:val="1E162B"/>
                <w:sz w:val="18"/>
              </w:rPr>
              <w:t>Delhi, Mumbai, Bengaluru H3 grids live; corporate B2B sales; MSME SDK GA</w:t>
            </w:r>
          </w:p>
        </w:tc>
        <w:tc>
          <w:tcPr>
            <w:tcW w:type="dxa" w:w="2257"/>
            <w:shd w:val="clear" w:color="auto" w:fill="FFFFFF"/>
          </w:tcPr>
          <w:p>
            <w:pPr>
              <w:spacing w:before="28" w:after="28" w:line="276" w:lineRule="auto"/>
            </w:pPr>
            <w:r>
              <w:rPr>
                <w:rFonts w:ascii="Calibri" w:hAnsi="Calibri"/>
                <w:color w:val="1E162B"/>
                <w:sz w:val="18"/>
              </w:rPr>
              <w:t>₹50–80 lakh ARR</w:t>
            </w:r>
          </w:p>
        </w:tc>
      </w:tr>
      <w:tr>
        <w:tc>
          <w:tcPr>
            <w:tcW w:type="dxa" w:w="2257"/>
            <w:shd w:val="clear" w:color="auto" w:fill="F9F5FF"/>
          </w:tcPr>
          <w:p>
            <w:pPr>
              <w:spacing w:before="28" w:after="28" w:line="276" w:lineRule="auto"/>
            </w:pPr>
            <w:r>
              <w:rPr>
                <w:rFonts w:ascii="Calibri" w:hAnsi="Calibri"/>
                <w:color w:val="1E162B"/>
                <w:sz w:val="18"/>
              </w:rPr>
              <w:t>Government Integration</w:t>
            </w:r>
          </w:p>
        </w:tc>
        <w:tc>
          <w:tcPr>
            <w:tcW w:type="dxa" w:w="2257"/>
            <w:shd w:val="clear" w:color="auto" w:fill="F9F5FF"/>
          </w:tcPr>
          <w:p>
            <w:pPr>
              <w:spacing w:before="28" w:after="28" w:line="276" w:lineRule="auto"/>
            </w:pPr>
            <w:r>
              <w:rPr>
                <w:rFonts w:ascii="Calibri" w:hAnsi="Calibri"/>
                <w:color w:val="1E162B"/>
                <w:sz w:val="18"/>
              </w:rPr>
              <w:t>24–36 months</w:t>
            </w:r>
          </w:p>
        </w:tc>
        <w:tc>
          <w:tcPr>
            <w:tcW w:type="dxa" w:w="2257"/>
            <w:shd w:val="clear" w:color="auto" w:fill="F9F5FF"/>
          </w:tcPr>
          <w:p>
            <w:pPr>
              <w:spacing w:before="28" w:after="28" w:line="276" w:lineRule="auto"/>
            </w:pPr>
            <w:r>
              <w:rPr>
                <w:rFonts w:ascii="Calibri" w:hAnsi="Calibri"/>
                <w:color w:val="1E162B"/>
                <w:sz w:val="18"/>
              </w:rPr>
              <w:t>Nirbhaya Fund tender for Smart City heatmap API; HMRL (Hyderabad Metro) safe-haven API</w:t>
            </w:r>
          </w:p>
        </w:tc>
        <w:tc>
          <w:tcPr>
            <w:tcW w:type="dxa" w:w="2257"/>
            <w:shd w:val="clear" w:color="auto" w:fill="F9F5FF"/>
          </w:tcPr>
          <w:p>
            <w:pPr>
              <w:spacing w:before="28" w:after="28" w:line="276" w:lineRule="auto"/>
            </w:pPr>
            <w:r>
              <w:rPr>
                <w:rFonts w:ascii="Calibri" w:hAnsi="Calibri"/>
                <w:color w:val="1E162B"/>
                <w:sz w:val="18"/>
              </w:rPr>
              <w:t>₹1+ crore ARR</w:t>
            </w:r>
          </w:p>
        </w:tc>
      </w:tr>
    </w:tbl>
    <w:p/>
    <w:p>
      <w:pPr>
        <w:spacing w:before="100" w:after="40" w:line="276" w:lineRule="auto"/>
      </w:pPr>
      <w:r>
        <w:rPr>
          <w:rFonts w:ascii="Calibri" w:hAnsi="Calibri"/>
          <w:b/>
          <w:color w:val="7C3AED"/>
          <w:sz w:val="22"/>
        </w:rPr>
        <w:t>5.4  Public Value — Network Effect &amp; Inclusion</w:t>
      </w:r>
    </w:p>
    <w:p>
      <w:pPr>
        <w:spacing w:before="0" w:after="50" w:line="276" w:lineRule="auto"/>
      </w:pPr>
      <w:r>
        <w:rPr>
          <w:rFonts w:ascii="Calibri" w:hAnsi="Calibri"/>
          <w:color w:val="1E162B"/>
          <w:sz w:val="20"/>
        </w:rPr>
        <w:t>SafeHerAI's impact compounds with scale in a way that consumer safety apps cannot: every community report from a verified user improves the heatmap for every other user in that city. This is a public safety externality, not just a product benefit.</w:t>
      </w:r>
    </w:p>
    <w:p>
      <w:pPr>
        <w:pStyle w:val="ListBullet"/>
        <w:spacing w:before="0" w:after="28" w:line="276" w:lineRule="auto"/>
        <w:ind w:left="360"/>
      </w:pPr>
      <w:r>
        <w:rPr>
          <w:rFonts w:ascii="Calibri" w:hAnsi="Calibri"/>
          <w:color w:val="1E162B"/>
          <w:sz w:val="20"/>
        </w:rPr>
        <w:t>Underreporting reduction: If SafeHerAI's FIR assist helps even 1% of the estimated 3.9 lakh unreported harassment cases annually convert to formal complaints, that is 3,900 additional documented cases — fundamentally changing the data NCRB and courts work with.</w:t>
      </w:r>
    </w:p>
    <w:p>
      <w:pPr>
        <w:pStyle w:val="ListBullet"/>
        <w:spacing w:before="0" w:after="28" w:line="276" w:lineRule="auto"/>
        <w:ind w:left="360"/>
      </w:pPr>
      <w:r>
        <w:rPr>
          <w:rFonts w:ascii="Calibri" w:hAnsi="Calibri"/>
          <w:color w:val="1E162B"/>
          <w:sz w:val="20"/>
        </w:rPr>
        <w:t>Low-income inclusion: Budget Android 8.0+ devices (₹5,000–8,000 price range). Offline-first GPS buffering for 2G/3G areas. 22 Indian language support via Gemini — companion responds in the language the user writes in. No premium subscription required for core safety features.</w:t>
      </w:r>
    </w:p>
    <w:p>
      <w:pPr>
        <w:pStyle w:val="ListBullet"/>
        <w:spacing w:before="0" w:after="28" w:line="276" w:lineRule="auto"/>
        <w:ind w:left="360"/>
      </w:pPr>
      <w:r>
        <w:rPr>
          <w:rFonts w:ascii="Calibri" w:hAnsi="Calibri"/>
          <w:color w:val="1E162B"/>
          <w:sz w:val="20"/>
        </w:rPr>
        <w:t>MSME economic benefit: Safe-haven network includes local MSME businesses (pharmacies, petrol stations) — creating a safety partnership that drives footfall and community trust for small businesses.</w:t>
      </w:r>
    </w:p>
    <w:p>
      <w:r>
        <w:br w:type="page"/>
      </w:r>
    </w:p>
    <w:p>
      <w:pPr>
        <w:spacing w:before="180" w:after="80" w:line="276" w:lineRule="auto"/>
        <w:pBdr>
          <w:left w:val="single" w:sz="24" w:space="4" w:color="E11D74"/>
        </w:pBdr>
      </w:pPr>
      <w:r>
        <w:rPr>
          <w:rFonts w:ascii="Calibri" w:hAnsi="Calibri"/>
          <w:b/>
          <w:color w:val="E11D74"/>
          <w:sz w:val="27"/>
        </w:rPr>
        <w:t>6.  Innovation Differentiation Summary</w:t>
      </w:r>
    </w:p>
    <w:p>
      <w:pPr>
        <w:spacing w:before="0" w:after="50" w:line="276" w:lineRule="auto"/>
      </w:pPr>
      <w:r>
        <w:rPr>
          <w:rFonts w:ascii="Calibri" w:hAnsi="Calibri"/>
          <w:color w:val="1E162B"/>
          <w:sz w:val="20"/>
        </w:rPr>
        <w:t>SafeHerAI operates in a field with active prior art. The differentiation is architectural, not feature-level. The following table is the precise, defensible claim.</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E11D74"/>
          </w:tcPr>
          <w:p>
            <w:pPr>
              <w:spacing w:before="36" w:after="36" w:line="276" w:lineRule="auto"/>
            </w:pPr>
            <w:r>
              <w:rPr>
                <w:rFonts w:ascii="Calibri" w:hAnsi="Calibri"/>
                <w:b/>
                <w:color w:val="FFFFFF"/>
                <w:sz w:val="18"/>
              </w:rPr>
              <w:t>Dimension</w:t>
            </w:r>
          </w:p>
        </w:tc>
        <w:tc>
          <w:tcPr>
            <w:tcW w:type="dxa" w:w="3010"/>
            <w:shd w:val="clear" w:color="auto" w:fill="E11D74"/>
          </w:tcPr>
          <w:p>
            <w:pPr>
              <w:spacing w:before="36" w:after="36" w:line="276" w:lineRule="auto"/>
            </w:pPr>
            <w:r>
              <w:rPr>
                <w:rFonts w:ascii="Calibri" w:hAnsi="Calibri"/>
                <w:b/>
                <w:color w:val="FFFFFF"/>
                <w:sz w:val="18"/>
              </w:rPr>
              <w:t>Prior Art (Best-in-Class)</w:t>
            </w:r>
          </w:p>
        </w:tc>
        <w:tc>
          <w:tcPr>
            <w:tcW w:type="dxa" w:w="3010"/>
            <w:shd w:val="clear" w:color="auto" w:fill="E11D74"/>
          </w:tcPr>
          <w:p>
            <w:pPr>
              <w:spacing w:before="36" w:after="36" w:line="276" w:lineRule="auto"/>
            </w:pPr>
            <w:r>
              <w:rPr>
                <w:rFonts w:ascii="Calibri" w:hAnsi="Calibri"/>
                <w:b/>
                <w:color w:val="FFFFFF"/>
                <w:sz w:val="18"/>
              </w:rPr>
              <w:t>SafeHerAI's Contribution</w:t>
            </w:r>
          </w:p>
        </w:tc>
      </w:tr>
      <w:tr>
        <w:tc>
          <w:tcPr>
            <w:tcW w:type="dxa" w:w="3010"/>
            <w:shd w:val="clear" w:color="auto" w:fill="FFF1F9"/>
          </w:tcPr>
          <w:p>
            <w:pPr>
              <w:spacing w:before="28" w:after="28" w:line="276" w:lineRule="auto"/>
            </w:pPr>
            <w:r>
              <w:rPr>
                <w:rFonts w:ascii="Calibri" w:hAnsi="Calibri"/>
                <w:color w:val="1E162B"/>
                <w:sz w:val="18"/>
              </w:rPr>
              <w:t>Risk assessment model</w:t>
            </w:r>
          </w:p>
        </w:tc>
        <w:tc>
          <w:tcPr>
            <w:tcW w:type="dxa" w:w="3010"/>
            <w:shd w:val="clear" w:color="auto" w:fill="FFF1F9"/>
          </w:tcPr>
          <w:p>
            <w:pPr>
              <w:spacing w:before="28" w:after="28" w:line="276" w:lineRule="auto"/>
            </w:pPr>
            <w:r>
              <w:rPr>
                <w:rFonts w:ascii="Calibri" w:hAnsi="Calibri"/>
                <w:color w:val="1E162B"/>
                <w:sz w:val="18"/>
              </w:rPr>
              <w:t>Static safety scores or single-feature risk maps (Safetipin)</w:t>
              <w:br/>
              <w:t>Per-route safety prediction (SafeStride IN202421032333)</w:t>
            </w:r>
          </w:p>
        </w:tc>
        <w:tc>
          <w:tcPr>
            <w:tcW w:type="dxa" w:w="3010"/>
            <w:shd w:val="clear" w:color="auto" w:fill="FFF1F9"/>
          </w:tcPr>
          <w:p>
            <w:pPr>
              <w:spacing w:before="28" w:after="28" w:line="276" w:lineRule="auto"/>
            </w:pPr>
            <w:r>
              <w:rPr>
                <w:rFonts w:ascii="Calibri" w:hAnsi="Calibri"/>
                <w:color w:val="1E162B"/>
                <w:sz w:val="18"/>
              </w:rPr>
              <w:t>Continuously updated Unified Journey Risk State fusing 4 simultaneous streams — evolves as the journey progresses, not computed once at departure.</w:t>
            </w:r>
          </w:p>
        </w:tc>
      </w:tr>
      <w:tr>
        <w:tc>
          <w:tcPr>
            <w:tcW w:type="dxa" w:w="3010"/>
            <w:shd w:val="clear" w:color="auto" w:fill="FFFFFF"/>
          </w:tcPr>
          <w:p>
            <w:pPr>
              <w:spacing w:before="28" w:after="28" w:line="276" w:lineRule="auto"/>
            </w:pPr>
            <w:r>
              <w:rPr>
                <w:rFonts w:ascii="Calibri" w:hAnsi="Calibri"/>
                <w:color w:val="1E162B"/>
                <w:sz w:val="18"/>
              </w:rPr>
              <w:t>Journey monitoring</w:t>
            </w:r>
          </w:p>
        </w:tc>
        <w:tc>
          <w:tcPr>
            <w:tcW w:type="dxa" w:w="3010"/>
            <w:shd w:val="clear" w:color="auto" w:fill="FFFFFF"/>
          </w:tcPr>
          <w:p>
            <w:pPr>
              <w:spacing w:before="28" w:after="28" w:line="276" w:lineRule="auto"/>
            </w:pPr>
            <w:r>
              <w:rPr>
                <w:rFonts w:ascii="Calibri" w:hAnsi="Calibri"/>
                <w:color w:val="1E162B"/>
                <w:sz w:val="18"/>
              </w:rPr>
              <w:t>Trip-share link; manual check-in; GPS tracking</w:t>
            </w:r>
          </w:p>
        </w:tc>
        <w:tc>
          <w:tcPr>
            <w:tcW w:type="dxa" w:w="3010"/>
            <w:shd w:val="clear" w:color="auto" w:fill="FFFFFF"/>
          </w:tcPr>
          <w:p>
            <w:pPr>
              <w:spacing w:before="28" w:after="28" w:line="276" w:lineRule="auto"/>
            </w:pPr>
            <w:r>
              <w:rPr>
                <w:rFonts w:ascii="Calibri" w:hAnsi="Calibri"/>
                <w:color w:val="1E162B"/>
                <w:sz w:val="18"/>
              </w:rPr>
              <w:t>Journey Digital Twin: server-side simulation updated every 3 seconds; Isolation Forest + DTW anomaly detection; deterministic LangGraph escalation pipeline.</w:t>
            </w:r>
          </w:p>
        </w:tc>
      </w:tr>
      <w:tr>
        <w:tc>
          <w:tcPr>
            <w:tcW w:type="dxa" w:w="3010"/>
            <w:shd w:val="clear" w:color="auto" w:fill="FFF1F9"/>
          </w:tcPr>
          <w:p>
            <w:pPr>
              <w:spacing w:before="28" w:after="28" w:line="276" w:lineRule="auto"/>
            </w:pPr>
            <w:r>
              <w:rPr>
                <w:rFonts w:ascii="Calibri" w:hAnsi="Calibri"/>
                <w:color w:val="1E162B"/>
                <w:sz w:val="18"/>
              </w:rPr>
              <w:t>Route safety</w:t>
            </w:r>
          </w:p>
        </w:tc>
        <w:tc>
          <w:tcPr>
            <w:tcW w:type="dxa" w:w="3010"/>
            <w:shd w:val="clear" w:color="auto" w:fill="FFF1F9"/>
          </w:tcPr>
          <w:p>
            <w:pPr>
              <w:spacing w:before="28" w:after="28" w:line="276" w:lineRule="auto"/>
            </w:pPr>
            <w:r>
              <w:rPr>
                <w:rFonts w:ascii="Calibri" w:hAnsi="Calibri"/>
                <w:color w:val="1E162B"/>
                <w:sz w:val="18"/>
              </w:rPr>
              <w:t>Safest route recommendation (IN202641054425, IN202521013842)</w:t>
            </w:r>
          </w:p>
        </w:tc>
        <w:tc>
          <w:tcPr>
            <w:tcW w:type="dxa" w:w="3010"/>
            <w:shd w:val="clear" w:color="auto" w:fill="FFF1F9"/>
          </w:tcPr>
          <w:p>
            <w:pPr>
              <w:spacing w:before="28" w:after="28" w:line="276" w:lineRule="auto"/>
            </w:pPr>
            <w:r>
              <w:rPr>
                <w:rFonts w:ascii="Calibri" w:hAnsi="Calibri"/>
                <w:color w:val="1E162B"/>
                <w:sz w:val="18"/>
              </w:rPr>
              <w:t>Counterfactual route analysis with SHAP-grounded explanation ('Route A avoids 3 unlit corridors') — user understands the *reasoning*, not just the recommendation.</w:t>
            </w:r>
          </w:p>
        </w:tc>
      </w:tr>
      <w:tr>
        <w:tc>
          <w:tcPr>
            <w:tcW w:type="dxa" w:w="3010"/>
            <w:shd w:val="clear" w:color="auto" w:fill="FFFFFF"/>
          </w:tcPr>
          <w:p>
            <w:pPr>
              <w:spacing w:before="28" w:after="28" w:line="276" w:lineRule="auto"/>
            </w:pPr>
            <w:r>
              <w:rPr>
                <w:rFonts w:ascii="Calibri" w:hAnsi="Calibri"/>
                <w:color w:val="1E162B"/>
                <w:sz w:val="18"/>
              </w:rPr>
              <w:t>Community data</w:t>
            </w:r>
          </w:p>
        </w:tc>
        <w:tc>
          <w:tcPr>
            <w:tcW w:type="dxa" w:w="3010"/>
            <w:shd w:val="clear" w:color="auto" w:fill="FFFFFF"/>
          </w:tcPr>
          <w:p>
            <w:pPr>
              <w:spacing w:before="28" w:after="28" w:line="276" w:lineRule="auto"/>
            </w:pPr>
            <w:r>
              <w:rPr>
                <w:rFonts w:ascii="Calibri" w:hAnsi="Calibri"/>
                <w:color w:val="1E162B"/>
                <w:sz w:val="18"/>
              </w:rPr>
              <w:t>Crowdsourced incident maps (SafeCity, Safetipin)</w:t>
            </w:r>
          </w:p>
        </w:tc>
        <w:tc>
          <w:tcPr>
            <w:tcW w:type="dxa" w:w="3010"/>
            <w:shd w:val="clear" w:color="auto" w:fill="FFFFFF"/>
          </w:tcPr>
          <w:p>
            <w:pPr>
              <w:spacing w:before="28" w:after="28" w:line="276" w:lineRule="auto"/>
            </w:pPr>
            <w:r>
              <w:rPr>
                <w:rFonts w:ascii="Calibri" w:hAnsi="Calibri"/>
                <w:color w:val="1E162B"/>
                <w:sz w:val="18"/>
              </w:rPr>
              <w:t>AI-verified, trust-scored (Random Forest), DBSCAN-clustered community reports that feed directly into the real-time risk model — not a separate static map.</w:t>
            </w:r>
          </w:p>
        </w:tc>
      </w:tr>
      <w:tr>
        <w:tc>
          <w:tcPr>
            <w:tcW w:type="dxa" w:w="3010"/>
            <w:shd w:val="clear" w:color="auto" w:fill="FFF1F9"/>
          </w:tcPr>
          <w:p>
            <w:pPr>
              <w:spacing w:before="28" w:after="28" w:line="276" w:lineRule="auto"/>
            </w:pPr>
            <w:r>
              <w:rPr>
                <w:rFonts w:ascii="Calibri" w:hAnsi="Calibri"/>
                <w:color w:val="1E162B"/>
                <w:sz w:val="18"/>
              </w:rPr>
              <w:t>AI companion</w:t>
            </w:r>
          </w:p>
        </w:tc>
        <w:tc>
          <w:tcPr>
            <w:tcW w:type="dxa" w:w="3010"/>
            <w:shd w:val="clear" w:color="auto" w:fill="FFF1F9"/>
          </w:tcPr>
          <w:p>
            <w:pPr>
              <w:spacing w:before="28" w:after="28" w:line="276" w:lineRule="auto"/>
            </w:pPr>
            <w:r>
              <w:rPr>
                <w:rFonts w:ascii="Calibri" w:hAnsi="Calibri"/>
                <w:color w:val="1E162B"/>
                <w:sz w:val="18"/>
              </w:rPr>
              <w:t>Scripted chatbot responses; basic NLP triggers</w:t>
            </w:r>
          </w:p>
        </w:tc>
        <w:tc>
          <w:tcPr>
            <w:tcW w:type="dxa" w:w="3010"/>
            <w:shd w:val="clear" w:color="auto" w:fill="FFF1F9"/>
          </w:tcPr>
          <w:p>
            <w:pPr>
              <w:spacing w:before="28" w:after="28" w:line="276" w:lineRule="auto"/>
            </w:pPr>
            <w:r>
              <w:rPr>
                <w:rFonts w:ascii="Calibri" w:hAnsi="Calibri"/>
                <w:color w:val="1E162B"/>
                <w:sz w:val="18"/>
              </w:rPr>
              <w:t>Gemini 2.5 Flash with live context injection (current risk score, community alerts, journey twin status); structured FIR generation with BNS section mapping.</w:t>
            </w:r>
          </w:p>
        </w:tc>
      </w:tr>
      <w:tr>
        <w:tc>
          <w:tcPr>
            <w:tcW w:type="dxa" w:w="3010"/>
            <w:shd w:val="clear" w:color="auto" w:fill="FFFFFF"/>
          </w:tcPr>
          <w:p>
            <w:pPr>
              <w:spacing w:before="28" w:after="28" w:line="276" w:lineRule="auto"/>
            </w:pPr>
            <w:r>
              <w:rPr>
                <w:rFonts w:ascii="Calibri" w:hAnsi="Calibri"/>
                <w:color w:val="1E162B"/>
                <w:sz w:val="18"/>
              </w:rPr>
              <w:t>Architecture</w:t>
            </w:r>
          </w:p>
        </w:tc>
        <w:tc>
          <w:tcPr>
            <w:tcW w:type="dxa" w:w="3010"/>
            <w:shd w:val="clear" w:color="auto" w:fill="FFFFFF"/>
          </w:tcPr>
          <w:p>
            <w:pPr>
              <w:spacing w:before="28" w:after="28" w:line="276" w:lineRule="auto"/>
            </w:pPr>
            <w:r>
              <w:rPr>
                <w:rFonts w:ascii="Calibri" w:hAnsi="Calibri"/>
                <w:color w:val="1E162B"/>
                <w:sz w:val="18"/>
              </w:rPr>
              <w:t>Single-feature apps; no fusion layer</w:t>
            </w:r>
          </w:p>
        </w:tc>
        <w:tc>
          <w:tcPr>
            <w:tcW w:type="dxa" w:w="3010"/>
            <w:shd w:val="clear" w:color="auto" w:fill="FFFFFF"/>
          </w:tcPr>
          <w:p>
            <w:pPr>
              <w:spacing w:before="28" w:after="28" w:line="276" w:lineRule="auto"/>
            </w:pPr>
            <w:r>
              <w:rPr>
                <w:rFonts w:ascii="Calibri" w:hAnsi="Calibri"/>
                <w:color w:val="1E162B"/>
                <w:sz w:val="18"/>
              </w:rPr>
              <w:t>17-agent LangGraph orchestration layer — the Unified Journey Risk State — that governs all track responses from one coherent, auditable safety state.</w:t>
            </w:r>
          </w:p>
        </w:tc>
      </w:tr>
      <w:tr>
        <w:tc>
          <w:tcPr>
            <w:tcW w:type="dxa" w:w="3010"/>
            <w:shd w:val="clear" w:color="auto" w:fill="FFF1F9"/>
          </w:tcPr>
          <w:p>
            <w:pPr>
              <w:spacing w:before="28" w:after="28" w:line="276" w:lineRule="auto"/>
            </w:pPr>
            <w:r>
              <w:rPr>
                <w:rFonts w:ascii="Calibri" w:hAnsi="Calibri"/>
                <w:color w:val="1E162B"/>
                <w:sz w:val="18"/>
              </w:rPr>
              <w:t>Commercial model</w:t>
            </w:r>
          </w:p>
        </w:tc>
        <w:tc>
          <w:tcPr>
            <w:tcW w:type="dxa" w:w="3010"/>
            <w:shd w:val="clear" w:color="auto" w:fill="FFF1F9"/>
          </w:tcPr>
          <w:p>
            <w:pPr>
              <w:spacing w:before="28" w:after="28" w:line="276" w:lineRule="auto"/>
            </w:pPr>
            <w:r>
              <w:rPr>
                <w:rFonts w:ascii="Calibri" w:hAnsi="Calibri"/>
                <w:color w:val="1E162B"/>
                <w:sz w:val="18"/>
              </w:rPr>
              <w:t>Consumer apps (B2C, ad-supported or freemium)</w:t>
            </w:r>
          </w:p>
        </w:tc>
        <w:tc>
          <w:tcPr>
            <w:tcW w:type="dxa" w:w="3010"/>
            <w:shd w:val="clear" w:color="auto" w:fill="FFF1F9"/>
          </w:tcPr>
          <w:p>
            <w:pPr>
              <w:spacing w:before="28" w:after="28" w:line="276" w:lineRule="auto"/>
            </w:pPr>
            <w:r>
              <w:rPr>
                <w:rFonts w:ascii="Calibri" w:hAnsi="Calibri"/>
                <w:color w:val="1E162B"/>
                <w:sz w:val="18"/>
              </w:rPr>
              <w:t>B2B/B2G SaaS — campus subscriptions, MSME SDK, corporate mobility safety — with clear unit economics and a defined first paying customer.</w:t>
            </w:r>
          </w:p>
        </w:tc>
      </w:tr>
    </w:tbl>
    <w:p/>
    <w:p/>
    <w:p>
      <w:pPr>
        <w:spacing w:before="30" w:after="30" w:line="276" w:lineRule="auto"/>
      </w:pPr>
      <w:r>
        <w:rPr>
          <w:rFonts w:ascii="Calibri" w:hAnsi="Calibri"/>
          <w:color w:val="E11D74"/>
          <w:sz w:val="16"/>
        </w:rPr>
        <w:t>────────────────────────────────────────────────────────────────────────────────────────</w:t>
      </w:r>
    </w:p>
    <w:p>
      <w:pPr>
        <w:spacing w:before="180" w:after="80" w:line="276" w:lineRule="auto"/>
        <w:pBdr>
          <w:left w:val="single" w:sz="24" w:space="4" w:color="E11D74"/>
        </w:pBdr>
      </w:pPr>
      <w:r>
        <w:rPr>
          <w:rFonts w:ascii="Calibri" w:hAnsi="Calibri"/>
          <w:b/>
          <w:color w:val="E11D74"/>
          <w:sz w:val="27"/>
        </w:rPr>
        <w:t>Appendices</w:t>
      </w:r>
    </w:p>
    <w:p>
      <w:pPr>
        <w:spacing w:before="100" w:after="40" w:line="276" w:lineRule="auto"/>
      </w:pPr>
      <w:r>
        <w:rPr>
          <w:rFonts w:ascii="Calibri" w:hAnsi="Calibri"/>
          <w:b/>
          <w:color w:val="7C3AED"/>
          <w:sz w:val="22"/>
        </w:rPr>
        <w:t>Appendix A — Prior Art Reference List</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1806"/>
            <w:shd w:val="clear" w:color="auto" w:fill="1E162B"/>
          </w:tcPr>
          <w:p>
            <w:pPr>
              <w:spacing w:before="36" w:after="36" w:line="276" w:lineRule="auto"/>
            </w:pPr>
            <w:r>
              <w:rPr>
                <w:rFonts w:ascii="Calibri" w:hAnsi="Calibri"/>
                <w:b/>
                <w:color w:val="FFFFFF"/>
                <w:sz w:val="18"/>
              </w:rPr>
              <w:t>Patent No.</w:t>
            </w:r>
          </w:p>
        </w:tc>
        <w:tc>
          <w:tcPr>
            <w:tcW w:type="dxa" w:w="1806"/>
            <w:shd w:val="clear" w:color="auto" w:fill="1E162B"/>
          </w:tcPr>
          <w:p>
            <w:pPr>
              <w:spacing w:before="36" w:after="36" w:line="276" w:lineRule="auto"/>
            </w:pPr>
            <w:r>
              <w:rPr>
                <w:rFonts w:ascii="Calibri" w:hAnsi="Calibri"/>
                <w:b/>
                <w:color w:val="FFFFFF"/>
                <w:sz w:val="18"/>
              </w:rPr>
              <w:t>Title (abbreviated)</w:t>
            </w:r>
          </w:p>
        </w:tc>
        <w:tc>
          <w:tcPr>
            <w:tcW w:type="dxa" w:w="1806"/>
            <w:shd w:val="clear" w:color="auto" w:fill="1E162B"/>
          </w:tcPr>
          <w:p>
            <w:pPr>
              <w:spacing w:before="36" w:after="36" w:line="276" w:lineRule="auto"/>
            </w:pPr>
            <w:r>
              <w:rPr>
                <w:rFonts w:ascii="Calibri" w:hAnsi="Calibri"/>
                <w:b/>
                <w:color w:val="FFFFFF"/>
                <w:sz w:val="18"/>
              </w:rPr>
              <w:t>Year</w:t>
            </w:r>
          </w:p>
        </w:tc>
        <w:tc>
          <w:tcPr>
            <w:tcW w:type="dxa" w:w="1806"/>
            <w:shd w:val="clear" w:color="auto" w:fill="1E162B"/>
          </w:tcPr>
          <w:p>
            <w:pPr>
              <w:spacing w:before="36" w:after="36" w:line="276" w:lineRule="auto"/>
            </w:pPr>
            <w:r>
              <w:rPr>
                <w:rFonts w:ascii="Calibri" w:hAnsi="Calibri"/>
                <w:b/>
                <w:color w:val="FFFFFF"/>
                <w:sz w:val="18"/>
              </w:rPr>
              <w:t>Overlap Level</w:t>
            </w:r>
          </w:p>
        </w:tc>
        <w:tc>
          <w:tcPr>
            <w:tcW w:type="dxa" w:w="1806"/>
            <w:shd w:val="clear" w:color="auto" w:fill="1E162B"/>
          </w:tcPr>
          <w:p>
            <w:pPr>
              <w:spacing w:before="36" w:after="36" w:line="276" w:lineRule="auto"/>
            </w:pPr>
            <w:r>
              <w:rPr>
                <w:rFonts w:ascii="Calibri" w:hAnsi="Calibri"/>
                <w:b/>
                <w:color w:val="FFFFFF"/>
                <w:sz w:val="18"/>
              </w:rPr>
              <w:t>SafeHerAI Distinction</w:t>
            </w:r>
          </w:p>
        </w:tc>
      </w:tr>
      <w:tr>
        <w:tc>
          <w:tcPr>
            <w:tcW w:type="dxa" w:w="1806"/>
            <w:shd w:val="clear" w:color="auto" w:fill="F9F5FF"/>
          </w:tcPr>
          <w:p>
            <w:pPr>
              <w:spacing w:before="28" w:after="28" w:line="276" w:lineRule="auto"/>
            </w:pPr>
            <w:r>
              <w:rPr>
                <w:rFonts w:ascii="Calibri" w:hAnsi="Calibri"/>
                <w:color w:val="1E162B"/>
                <w:sz w:val="18"/>
              </w:rPr>
              <w:t>IN202521013842</w:t>
            </w:r>
          </w:p>
        </w:tc>
        <w:tc>
          <w:tcPr>
            <w:tcW w:type="dxa" w:w="1806"/>
            <w:shd w:val="clear" w:color="auto" w:fill="F9F5FF"/>
          </w:tcPr>
          <w:p>
            <w:pPr>
              <w:spacing w:before="28" w:after="28" w:line="276" w:lineRule="auto"/>
            </w:pPr>
            <w:r>
              <w:rPr>
                <w:rFonts w:ascii="Calibri" w:hAnsi="Calibri"/>
                <w:color w:val="1E162B"/>
                <w:sz w:val="18"/>
              </w:rPr>
              <w:t>AI-powered travel safety, real-time risk analysis, optimal route prediction</w:t>
            </w:r>
          </w:p>
        </w:tc>
        <w:tc>
          <w:tcPr>
            <w:tcW w:type="dxa" w:w="1806"/>
            <w:shd w:val="clear" w:color="auto" w:fill="F9F5FF"/>
          </w:tcPr>
          <w:p>
            <w:pPr>
              <w:spacing w:before="28" w:after="28" w:line="276" w:lineRule="auto"/>
            </w:pPr>
            <w:r>
              <w:rPr>
                <w:rFonts w:ascii="Calibri" w:hAnsi="Calibri"/>
                <w:color w:val="1E162B"/>
                <w:sz w:val="18"/>
              </w:rPr>
              <w:t>2025</w:t>
            </w:r>
          </w:p>
        </w:tc>
        <w:tc>
          <w:tcPr>
            <w:tcW w:type="dxa" w:w="1806"/>
            <w:shd w:val="clear" w:color="auto" w:fill="F9F5FF"/>
          </w:tcPr>
          <w:p>
            <w:pPr>
              <w:spacing w:before="28" w:after="28" w:line="276" w:lineRule="auto"/>
            </w:pPr>
            <w:r>
              <w:rPr>
                <w:rFonts w:ascii="Calibri" w:hAnsi="Calibri"/>
                <w:color w:val="1E162B"/>
                <w:sz w:val="18"/>
              </w:rPr>
              <w:t>Moderate</w:t>
            </w:r>
          </w:p>
        </w:tc>
        <w:tc>
          <w:tcPr>
            <w:tcW w:type="dxa" w:w="1806"/>
            <w:shd w:val="clear" w:color="auto" w:fill="F9F5FF"/>
          </w:tcPr>
          <w:p>
            <w:pPr>
              <w:spacing w:before="28" w:after="28" w:line="276" w:lineRule="auto"/>
            </w:pPr>
            <w:r>
              <w:rPr>
                <w:rFonts w:ascii="Calibri" w:hAnsi="Calibri"/>
                <w:color w:val="1E162B"/>
                <w:sz w:val="18"/>
              </w:rPr>
              <w:t>SafeHerAI fuses journey twin + community + physiological streams into UJRS; not modular route prediction</w:t>
            </w:r>
          </w:p>
        </w:tc>
      </w:tr>
      <w:tr>
        <w:tc>
          <w:tcPr>
            <w:tcW w:type="dxa" w:w="1806"/>
            <w:shd w:val="clear" w:color="auto" w:fill="FFFFFF"/>
          </w:tcPr>
          <w:p>
            <w:pPr>
              <w:spacing w:before="28" w:after="28" w:line="276" w:lineRule="auto"/>
            </w:pPr>
            <w:r>
              <w:rPr>
                <w:rFonts w:ascii="Calibri" w:hAnsi="Calibri"/>
                <w:color w:val="1E162B"/>
                <w:sz w:val="18"/>
              </w:rPr>
              <w:t>IN202641075596</w:t>
            </w:r>
          </w:p>
        </w:tc>
        <w:tc>
          <w:tcPr>
            <w:tcW w:type="dxa" w:w="1806"/>
            <w:shd w:val="clear" w:color="auto" w:fill="FFFFFF"/>
          </w:tcPr>
          <w:p>
            <w:pPr>
              <w:spacing w:before="28" w:after="28" w:line="276" w:lineRule="auto"/>
            </w:pPr>
            <w:r>
              <w:rPr>
                <w:rFonts w:ascii="Calibri" w:hAnsi="Calibri"/>
                <w:color w:val="1E162B"/>
                <w:sz w:val="18"/>
              </w:rPr>
              <w:t>SafeHer: intelligent women's safety system with route navigation</w:t>
            </w:r>
          </w:p>
        </w:tc>
        <w:tc>
          <w:tcPr>
            <w:tcW w:type="dxa" w:w="1806"/>
            <w:shd w:val="clear" w:color="auto" w:fill="FFFFFF"/>
          </w:tcPr>
          <w:p>
            <w:pPr>
              <w:spacing w:before="28" w:after="28" w:line="276" w:lineRule="auto"/>
            </w:pPr>
            <w:r>
              <w:rPr>
                <w:rFonts w:ascii="Calibri" w:hAnsi="Calibri"/>
                <w:color w:val="1E162B"/>
                <w:sz w:val="18"/>
              </w:rPr>
              <w:t>2026</w:t>
            </w:r>
          </w:p>
        </w:tc>
        <w:tc>
          <w:tcPr>
            <w:tcW w:type="dxa" w:w="1806"/>
            <w:shd w:val="clear" w:color="auto" w:fill="FFFFFF"/>
          </w:tcPr>
          <w:p>
            <w:pPr>
              <w:spacing w:before="28" w:after="28" w:line="276" w:lineRule="auto"/>
            </w:pPr>
            <w:r>
              <w:rPr>
                <w:rFonts w:ascii="Calibri" w:hAnsi="Calibri"/>
                <w:color w:val="1E162B"/>
                <w:sz w:val="18"/>
              </w:rPr>
              <w:t>Moderate</w:t>
            </w:r>
          </w:p>
        </w:tc>
        <w:tc>
          <w:tcPr>
            <w:tcW w:type="dxa" w:w="1806"/>
            <w:shd w:val="clear" w:color="auto" w:fill="FFFFFF"/>
          </w:tcPr>
          <w:p>
            <w:pPr>
              <w:spacing w:before="28" w:after="28" w:line="276" w:lineRule="auto"/>
            </w:pPr>
            <w:r>
              <w:rPr>
                <w:rFonts w:ascii="Calibri" w:hAnsi="Calibri"/>
                <w:color w:val="1E162B"/>
                <w:sz w:val="18"/>
              </w:rPr>
              <w:t>SafeHerAI's continuous journey twin (3-second updates) vs. navigation overlay</w:t>
            </w:r>
          </w:p>
        </w:tc>
      </w:tr>
      <w:tr>
        <w:tc>
          <w:tcPr>
            <w:tcW w:type="dxa" w:w="1806"/>
            <w:shd w:val="clear" w:color="auto" w:fill="F9F5FF"/>
          </w:tcPr>
          <w:p>
            <w:pPr>
              <w:spacing w:before="28" w:after="28" w:line="276" w:lineRule="auto"/>
            </w:pPr>
            <w:r>
              <w:rPr>
                <w:rFonts w:ascii="Calibri" w:hAnsi="Calibri"/>
                <w:color w:val="1E162B"/>
                <w:sz w:val="18"/>
              </w:rPr>
              <w:t>IN202641085373</w:t>
            </w:r>
          </w:p>
        </w:tc>
        <w:tc>
          <w:tcPr>
            <w:tcW w:type="dxa" w:w="1806"/>
            <w:shd w:val="clear" w:color="auto" w:fill="F9F5FF"/>
          </w:tcPr>
          <w:p>
            <w:pPr>
              <w:spacing w:before="28" w:after="28" w:line="276" w:lineRule="auto"/>
            </w:pPr>
            <w:r>
              <w:rPr>
                <w:rFonts w:ascii="Calibri" w:hAnsi="Calibri"/>
                <w:color w:val="1E162B"/>
                <w:sz w:val="18"/>
              </w:rPr>
              <w:t>Digital twin-enabled smart safety band</w:t>
            </w:r>
          </w:p>
        </w:tc>
        <w:tc>
          <w:tcPr>
            <w:tcW w:type="dxa" w:w="1806"/>
            <w:shd w:val="clear" w:color="auto" w:fill="F9F5FF"/>
          </w:tcPr>
          <w:p>
            <w:pPr>
              <w:spacing w:before="28" w:after="28" w:line="276" w:lineRule="auto"/>
            </w:pPr>
            <w:r>
              <w:rPr>
                <w:rFonts w:ascii="Calibri" w:hAnsi="Calibri"/>
                <w:color w:val="1E162B"/>
                <w:sz w:val="18"/>
              </w:rPr>
              <w:t>2026</w:t>
            </w:r>
          </w:p>
        </w:tc>
        <w:tc>
          <w:tcPr>
            <w:tcW w:type="dxa" w:w="1806"/>
            <w:shd w:val="clear" w:color="auto" w:fill="F9F5FF"/>
          </w:tcPr>
          <w:p>
            <w:pPr>
              <w:spacing w:before="28" w:after="28" w:line="276" w:lineRule="auto"/>
            </w:pPr>
            <w:r>
              <w:rPr>
                <w:rFonts w:ascii="Calibri" w:hAnsi="Calibri"/>
                <w:color w:val="1E162B"/>
                <w:sz w:val="18"/>
              </w:rPr>
              <w:t>Low–Moderate</w:t>
            </w:r>
          </w:p>
        </w:tc>
        <w:tc>
          <w:tcPr>
            <w:tcW w:type="dxa" w:w="1806"/>
            <w:shd w:val="clear" w:color="auto" w:fill="F9F5FF"/>
          </w:tcPr>
          <w:p>
            <w:pPr>
              <w:spacing w:before="28" w:after="28" w:line="276" w:lineRule="auto"/>
            </w:pPr>
            <w:r>
              <w:rPr>
                <w:rFonts w:ascii="Calibri" w:hAnsi="Calibri"/>
                <w:color w:val="1E162B"/>
                <w:sz w:val="18"/>
              </w:rPr>
              <w:t>SafeHerAI's digital twin is journey-level (GPS+environment), not wearable-device-centric</w:t>
            </w:r>
          </w:p>
        </w:tc>
      </w:tr>
      <w:tr>
        <w:tc>
          <w:tcPr>
            <w:tcW w:type="dxa" w:w="1806"/>
            <w:shd w:val="clear" w:color="auto" w:fill="FFFFFF"/>
          </w:tcPr>
          <w:p>
            <w:pPr>
              <w:spacing w:before="28" w:after="28" w:line="276" w:lineRule="auto"/>
            </w:pPr>
            <w:r>
              <w:rPr>
                <w:rFonts w:ascii="Calibri" w:hAnsi="Calibri"/>
                <w:color w:val="1E162B"/>
                <w:sz w:val="18"/>
              </w:rPr>
              <w:t>IN202541080538</w:t>
            </w:r>
          </w:p>
        </w:tc>
        <w:tc>
          <w:tcPr>
            <w:tcW w:type="dxa" w:w="1806"/>
            <w:shd w:val="clear" w:color="auto" w:fill="FFFFFF"/>
          </w:tcPr>
          <w:p>
            <w:pPr>
              <w:spacing w:before="28" w:after="28" w:line="276" w:lineRule="auto"/>
            </w:pPr>
            <w:r>
              <w:rPr>
                <w:rFonts w:ascii="Calibri" w:hAnsi="Calibri"/>
                <w:color w:val="1E162B"/>
                <w:sz w:val="18"/>
              </w:rPr>
              <w:t>Hybrid AI framework for women's safety: LSTM, GBDT, NLP</w:t>
            </w:r>
          </w:p>
        </w:tc>
        <w:tc>
          <w:tcPr>
            <w:tcW w:type="dxa" w:w="1806"/>
            <w:shd w:val="clear" w:color="auto" w:fill="FFFFFF"/>
          </w:tcPr>
          <w:p>
            <w:pPr>
              <w:spacing w:before="28" w:after="28" w:line="276" w:lineRule="auto"/>
            </w:pPr>
            <w:r>
              <w:rPr>
                <w:rFonts w:ascii="Calibri" w:hAnsi="Calibri"/>
                <w:color w:val="1E162B"/>
                <w:sz w:val="18"/>
              </w:rPr>
              <w:t>2025</w:t>
            </w:r>
          </w:p>
        </w:tc>
        <w:tc>
          <w:tcPr>
            <w:tcW w:type="dxa" w:w="1806"/>
            <w:shd w:val="clear" w:color="auto" w:fill="FFFFFF"/>
          </w:tcPr>
          <w:p>
            <w:pPr>
              <w:spacing w:before="28" w:after="28" w:line="276" w:lineRule="auto"/>
            </w:pPr>
            <w:r>
              <w:rPr>
                <w:rFonts w:ascii="Calibri" w:hAnsi="Calibri"/>
                <w:color w:val="1E162B"/>
                <w:sz w:val="18"/>
              </w:rPr>
              <w:t>Low–Moderate</w:t>
            </w:r>
          </w:p>
        </w:tc>
        <w:tc>
          <w:tcPr>
            <w:tcW w:type="dxa" w:w="1806"/>
            <w:shd w:val="clear" w:color="auto" w:fill="FFFFFF"/>
          </w:tcPr>
          <w:p>
            <w:pPr>
              <w:spacing w:before="28" w:after="28" w:line="276" w:lineRule="auto"/>
            </w:pPr>
            <w:r>
              <w:rPr>
                <w:rFonts w:ascii="Calibri" w:hAnsi="Calibri"/>
                <w:color w:val="1E162B"/>
                <w:sz w:val="18"/>
              </w:rPr>
              <w:t>SafeHerAI uses unsupervised Isolation Forest (no labelled data dependency) + SHAP explainability</w:t>
            </w:r>
          </w:p>
        </w:tc>
      </w:tr>
      <w:tr>
        <w:tc>
          <w:tcPr>
            <w:tcW w:type="dxa" w:w="1806"/>
            <w:shd w:val="clear" w:color="auto" w:fill="F9F5FF"/>
          </w:tcPr>
          <w:p>
            <w:pPr>
              <w:spacing w:before="28" w:after="28" w:line="276" w:lineRule="auto"/>
            </w:pPr>
            <w:r>
              <w:rPr>
                <w:rFonts w:ascii="Calibri" w:hAnsi="Calibri"/>
                <w:color w:val="1E162B"/>
                <w:sz w:val="18"/>
              </w:rPr>
              <w:t>IN202421032333</w:t>
            </w:r>
          </w:p>
        </w:tc>
        <w:tc>
          <w:tcPr>
            <w:tcW w:type="dxa" w:w="1806"/>
            <w:shd w:val="clear" w:color="auto" w:fill="F9F5FF"/>
          </w:tcPr>
          <w:p>
            <w:pPr>
              <w:spacing w:before="28" w:after="28" w:line="276" w:lineRule="auto"/>
            </w:pPr>
            <w:r>
              <w:rPr>
                <w:rFonts w:ascii="Calibri" w:hAnsi="Calibri"/>
                <w:color w:val="1E162B"/>
                <w:sz w:val="18"/>
              </w:rPr>
              <w:t>SafeStride: AI-powered women safety with safe-route prediction</w:t>
            </w:r>
          </w:p>
        </w:tc>
        <w:tc>
          <w:tcPr>
            <w:tcW w:type="dxa" w:w="1806"/>
            <w:shd w:val="clear" w:color="auto" w:fill="F9F5FF"/>
          </w:tcPr>
          <w:p>
            <w:pPr>
              <w:spacing w:before="28" w:after="28" w:line="276" w:lineRule="auto"/>
            </w:pPr>
            <w:r>
              <w:rPr>
                <w:rFonts w:ascii="Calibri" w:hAnsi="Calibri"/>
                <w:color w:val="1E162B"/>
                <w:sz w:val="18"/>
              </w:rPr>
              <w:t>2024</w:t>
            </w:r>
          </w:p>
        </w:tc>
        <w:tc>
          <w:tcPr>
            <w:tcW w:type="dxa" w:w="1806"/>
            <w:shd w:val="clear" w:color="auto" w:fill="F9F5FF"/>
          </w:tcPr>
          <w:p>
            <w:pPr>
              <w:spacing w:before="28" w:after="28" w:line="276" w:lineRule="auto"/>
            </w:pPr>
            <w:r>
              <w:rPr>
                <w:rFonts w:ascii="Calibri" w:hAnsi="Calibri"/>
                <w:color w:val="1E162B"/>
                <w:sz w:val="18"/>
              </w:rPr>
              <w:t>Moderate</w:t>
            </w:r>
          </w:p>
        </w:tc>
        <w:tc>
          <w:tcPr>
            <w:tcW w:type="dxa" w:w="1806"/>
            <w:shd w:val="clear" w:color="auto" w:fill="F9F5FF"/>
          </w:tcPr>
          <w:p>
            <w:pPr>
              <w:spacing w:before="28" w:after="28" w:line="276" w:lineRule="auto"/>
            </w:pPr>
            <w:r>
              <w:rPr>
                <w:rFonts w:ascii="Calibri" w:hAnsi="Calibri"/>
                <w:color w:val="1E162B"/>
                <w:sz w:val="18"/>
              </w:rPr>
              <w:t>SafeHerAI uniquely adds journey twin, community trust scoring, and FIR generation</w:t>
            </w:r>
          </w:p>
        </w:tc>
      </w:tr>
      <w:tr>
        <w:tc>
          <w:tcPr>
            <w:tcW w:type="dxa" w:w="1806"/>
            <w:shd w:val="clear" w:color="auto" w:fill="FFFFFF"/>
          </w:tcPr>
          <w:p>
            <w:pPr>
              <w:spacing w:before="28" w:after="28" w:line="276" w:lineRule="auto"/>
            </w:pPr>
            <w:r>
              <w:rPr>
                <w:rFonts w:ascii="Calibri" w:hAnsi="Calibri"/>
                <w:color w:val="1E162B"/>
                <w:sz w:val="18"/>
              </w:rPr>
              <w:t>IN202641054425</w:t>
            </w:r>
          </w:p>
        </w:tc>
        <w:tc>
          <w:tcPr>
            <w:tcW w:type="dxa" w:w="1806"/>
            <w:shd w:val="clear" w:color="auto" w:fill="FFFFFF"/>
          </w:tcPr>
          <w:p>
            <w:pPr>
              <w:spacing w:before="28" w:after="28" w:line="276" w:lineRule="auto"/>
            </w:pPr>
            <w:r>
              <w:rPr>
                <w:rFonts w:ascii="Calibri" w:hAnsi="Calibri"/>
                <w:color w:val="1E162B"/>
                <w:sz w:val="18"/>
              </w:rPr>
              <w:t>AI-driven safety-aware navigation web application</w:t>
            </w:r>
          </w:p>
        </w:tc>
        <w:tc>
          <w:tcPr>
            <w:tcW w:type="dxa" w:w="1806"/>
            <w:shd w:val="clear" w:color="auto" w:fill="FFFFFF"/>
          </w:tcPr>
          <w:p>
            <w:pPr>
              <w:spacing w:before="28" w:after="28" w:line="276" w:lineRule="auto"/>
            </w:pPr>
            <w:r>
              <w:rPr>
                <w:rFonts w:ascii="Calibri" w:hAnsi="Calibri"/>
                <w:color w:val="1E162B"/>
                <w:sz w:val="18"/>
              </w:rPr>
              <w:t>2026</w:t>
            </w:r>
          </w:p>
        </w:tc>
        <w:tc>
          <w:tcPr>
            <w:tcW w:type="dxa" w:w="1806"/>
            <w:shd w:val="clear" w:color="auto" w:fill="FFFFFF"/>
          </w:tcPr>
          <w:p>
            <w:pPr>
              <w:spacing w:before="28" w:after="28" w:line="276" w:lineRule="auto"/>
            </w:pPr>
            <w:r>
              <w:rPr>
                <w:rFonts w:ascii="Calibri" w:hAnsi="Calibri"/>
                <w:color w:val="1E162B"/>
                <w:sz w:val="18"/>
              </w:rPr>
              <w:t>Low</w:t>
            </w:r>
          </w:p>
        </w:tc>
        <w:tc>
          <w:tcPr>
            <w:tcW w:type="dxa" w:w="1806"/>
            <w:shd w:val="clear" w:color="auto" w:fill="FFFFFF"/>
          </w:tcPr>
          <w:p>
            <w:pPr>
              <w:spacing w:before="28" w:after="28" w:line="276" w:lineRule="auto"/>
            </w:pPr>
            <w:r>
              <w:rPr>
                <w:rFonts w:ascii="Calibri" w:hAnsi="Calibri"/>
                <w:color w:val="1E162B"/>
                <w:sz w:val="18"/>
              </w:rPr>
              <w:t>SafeHerAI operates without camera input; uses tabular spatial features; mobile-first</w:t>
            </w:r>
          </w:p>
        </w:tc>
      </w:tr>
      <w:tr>
        <w:tc>
          <w:tcPr>
            <w:tcW w:type="dxa" w:w="1806"/>
            <w:shd w:val="clear" w:color="auto" w:fill="F9F5FF"/>
          </w:tcPr>
          <w:p>
            <w:pPr>
              <w:spacing w:before="28" w:after="28" w:line="276" w:lineRule="auto"/>
            </w:pPr>
            <w:r>
              <w:rPr>
                <w:rFonts w:ascii="Calibri" w:hAnsi="Calibri"/>
                <w:color w:val="1E162B"/>
                <w:sz w:val="18"/>
              </w:rPr>
              <w:t>IN202411022744</w:t>
            </w:r>
          </w:p>
        </w:tc>
        <w:tc>
          <w:tcPr>
            <w:tcW w:type="dxa" w:w="1806"/>
            <w:shd w:val="clear" w:color="auto" w:fill="F9F5FF"/>
          </w:tcPr>
          <w:p>
            <w:pPr>
              <w:spacing w:before="28" w:after="28" w:line="276" w:lineRule="auto"/>
            </w:pPr>
            <w:r>
              <w:rPr>
                <w:rFonts w:ascii="Calibri" w:hAnsi="Calibri"/>
                <w:color w:val="1E162B"/>
                <w:sz w:val="18"/>
              </w:rPr>
              <w:t>ML + blockchain for transportation safety</w:t>
            </w:r>
          </w:p>
        </w:tc>
        <w:tc>
          <w:tcPr>
            <w:tcW w:type="dxa" w:w="1806"/>
            <w:shd w:val="clear" w:color="auto" w:fill="F9F5FF"/>
          </w:tcPr>
          <w:p>
            <w:pPr>
              <w:spacing w:before="28" w:after="28" w:line="276" w:lineRule="auto"/>
            </w:pPr>
            <w:r>
              <w:rPr>
                <w:rFonts w:ascii="Calibri" w:hAnsi="Calibri"/>
                <w:color w:val="1E162B"/>
                <w:sz w:val="18"/>
              </w:rPr>
              <w:t>2024</w:t>
            </w:r>
          </w:p>
        </w:tc>
        <w:tc>
          <w:tcPr>
            <w:tcW w:type="dxa" w:w="1806"/>
            <w:shd w:val="clear" w:color="auto" w:fill="F9F5FF"/>
          </w:tcPr>
          <w:p>
            <w:pPr>
              <w:spacing w:before="28" w:after="28" w:line="276" w:lineRule="auto"/>
            </w:pPr>
            <w:r>
              <w:rPr>
                <w:rFonts w:ascii="Calibri" w:hAnsi="Calibri"/>
                <w:color w:val="1E162B"/>
                <w:sz w:val="18"/>
              </w:rPr>
              <w:t>Low</w:t>
            </w:r>
          </w:p>
        </w:tc>
        <w:tc>
          <w:tcPr>
            <w:tcW w:type="dxa" w:w="1806"/>
            <w:shd w:val="clear" w:color="auto" w:fill="F9F5FF"/>
          </w:tcPr>
          <w:p>
            <w:pPr>
              <w:spacing w:before="28" w:after="28" w:line="276" w:lineRule="auto"/>
            </w:pPr>
            <w:r>
              <w:rPr>
                <w:rFonts w:ascii="Calibri" w:hAnsi="Calibri"/>
                <w:color w:val="1E162B"/>
                <w:sz w:val="18"/>
              </w:rPr>
              <w:t>Network-level accident prevention; SafeHerAI is individual journey-level personal safety</w:t>
            </w:r>
          </w:p>
        </w:tc>
      </w:tr>
      <w:tr>
        <w:tc>
          <w:tcPr>
            <w:tcW w:type="dxa" w:w="1806"/>
            <w:shd w:val="clear" w:color="auto" w:fill="FFFFFF"/>
          </w:tcPr>
          <w:p>
            <w:pPr>
              <w:spacing w:before="28" w:after="28" w:line="276" w:lineRule="auto"/>
            </w:pPr>
            <w:r>
              <w:rPr>
                <w:rFonts w:ascii="Calibri" w:hAnsi="Calibri"/>
                <w:color w:val="1E162B"/>
                <w:sz w:val="18"/>
              </w:rPr>
              <w:t>Safetipin</w:t>
            </w:r>
          </w:p>
        </w:tc>
        <w:tc>
          <w:tcPr>
            <w:tcW w:type="dxa" w:w="1806"/>
            <w:shd w:val="clear" w:color="auto" w:fill="FFFFFF"/>
          </w:tcPr>
          <w:p>
            <w:pPr>
              <w:spacing w:before="28" w:after="28" w:line="276" w:lineRule="auto"/>
            </w:pPr>
            <w:r>
              <w:rPr>
                <w:rFonts w:ascii="Calibri" w:hAnsi="Calibri"/>
                <w:color w:val="1E162B"/>
                <w:sz w:val="18"/>
              </w:rPr>
              <w:t>Urban safety audit mobile app</w:t>
            </w:r>
          </w:p>
        </w:tc>
        <w:tc>
          <w:tcPr>
            <w:tcW w:type="dxa" w:w="1806"/>
            <w:shd w:val="clear" w:color="auto" w:fill="FFFFFF"/>
          </w:tcPr>
          <w:p>
            <w:pPr>
              <w:spacing w:before="28" w:after="28" w:line="276" w:lineRule="auto"/>
            </w:pPr>
            <w:r>
              <w:rPr>
                <w:rFonts w:ascii="Calibri" w:hAnsi="Calibri"/>
                <w:color w:val="1E162B"/>
                <w:sz w:val="18"/>
              </w:rPr>
              <w:t>2013–present</w:t>
            </w:r>
          </w:p>
        </w:tc>
        <w:tc>
          <w:tcPr>
            <w:tcW w:type="dxa" w:w="1806"/>
            <w:shd w:val="clear" w:color="auto" w:fill="FFFFFF"/>
          </w:tcPr>
          <w:p>
            <w:pPr>
              <w:spacing w:before="28" w:after="28" w:line="276" w:lineRule="auto"/>
            </w:pPr>
            <w:r>
              <w:rPr>
                <w:rFonts w:ascii="Calibri" w:hAnsi="Calibri"/>
                <w:color w:val="1E162B"/>
                <w:sz w:val="18"/>
              </w:rPr>
              <w:t>Low–Moderate</w:t>
            </w:r>
          </w:p>
        </w:tc>
        <w:tc>
          <w:tcPr>
            <w:tcW w:type="dxa" w:w="1806"/>
            <w:shd w:val="clear" w:color="auto" w:fill="FFFFFF"/>
          </w:tcPr>
          <w:p>
            <w:pPr>
              <w:spacing w:before="28" w:after="28" w:line="276" w:lineRule="auto"/>
            </w:pPr>
            <w:r>
              <w:rPr>
                <w:rFonts w:ascii="Calibri" w:hAnsi="Calibri"/>
                <w:color w:val="1E162B"/>
                <w:sz w:val="18"/>
              </w:rPr>
              <w:t>Static audit score; no journey twin, no AI companion, no grievance engine</w:t>
            </w:r>
          </w:p>
        </w:tc>
      </w:tr>
    </w:tbl>
    <w:p/>
    <w:p>
      <w:pPr>
        <w:spacing w:before="100" w:after="40" w:line="276" w:lineRule="auto"/>
      </w:pPr>
      <w:r>
        <w:rPr>
          <w:rFonts w:ascii="Calibri" w:hAnsi="Calibri"/>
          <w:b/>
          <w:color w:val="7C3AED"/>
          <w:sz w:val="22"/>
        </w:rPr>
        <w:t>Appendix B — Proof-of-Concept Codebase</w:t>
      </w:r>
    </w:p>
    <w:p>
      <w:pPr>
        <w:spacing w:before="0" w:after="50" w:line="276" w:lineRule="auto"/>
      </w:pPr>
      <w:r>
        <w:rPr>
          <w:rFonts w:ascii="Calibri" w:hAnsi="Calibri"/>
          <w:color w:val="1E162B"/>
          <w:sz w:val="20"/>
        </w:rPr>
        <w:t>A working proof-of-concept was developed prior to this submission and includes:</w:t>
      </w:r>
    </w:p>
    <w:p>
      <w:pPr>
        <w:pStyle w:val="ListBullet"/>
        <w:spacing w:before="0" w:after="28" w:line="276" w:lineRule="auto"/>
        <w:ind w:left="360"/>
      </w:pPr>
      <w:r>
        <w:rPr>
          <w:rFonts w:ascii="Calibri" w:hAnsi="Calibri"/>
          <w:color w:val="1E162B"/>
          <w:sz w:val="20"/>
        </w:rPr>
        <w:t>FastAPI backend: /brain, /safety-map, /ride-intel, /community, /companion routes functional. Swagger docs at /docs.</w:t>
      </w:r>
    </w:p>
    <w:p>
      <w:pPr>
        <w:pStyle w:val="ListBullet"/>
        <w:spacing w:before="0" w:after="28" w:line="276" w:lineRule="auto"/>
        <w:ind w:left="360"/>
      </w:pPr>
      <w:r>
        <w:rPr>
          <w:rFonts w:ascii="Calibri" w:hAnsi="Calibri"/>
          <w:color w:val="1E162B"/>
          <w:sz w:val="20"/>
        </w:rPr>
        <w:t>Streamlit executive dashboard: All 5 tracks with scenario switching. Gemini 2.0 Flash companion live with API key.</w:t>
      </w:r>
    </w:p>
    <w:p>
      <w:pPr>
        <w:pStyle w:val="ListBullet"/>
        <w:spacing w:before="0" w:after="28" w:line="276" w:lineRule="auto"/>
        <w:ind w:left="360"/>
      </w:pPr>
      <w:r>
        <w:rPr>
          <w:rFonts w:ascii="Calibri" w:hAnsi="Calibri"/>
          <w:color w:val="1E162B"/>
          <w:sz w:val="20"/>
        </w:rPr>
        <w:t>Flutter app: GPS integration, risk display, companion chat interface on Android.</w:t>
      </w:r>
    </w:p>
    <w:p>
      <w:pPr>
        <w:pStyle w:val="ListBullet"/>
        <w:spacing w:before="0" w:after="28" w:line="276" w:lineRule="auto"/>
        <w:ind w:left="360"/>
      </w:pPr>
      <w:r>
        <w:rPr>
          <w:rFonts w:ascii="Calibri" w:hAnsi="Calibri"/>
          <w:color w:val="1E162B"/>
          <w:sz w:val="20"/>
        </w:rPr>
        <w:t>Docker Compose: Full-stack orchestration.</w:t>
      </w:r>
    </w:p>
    <w:p>
      <w:pPr>
        <w:spacing w:before="0" w:after="50" w:line="276" w:lineRule="auto"/>
      </w:pPr>
      <w:r>
        <w:rPr>
          <w:rFonts w:ascii="Calibri" w:hAnsi="Calibri"/>
          <w:color w:val="1E162B"/>
          <w:sz w:val="20"/>
        </w:rPr>
        <w:t>Source code available at VIT-AP University internal repository. Shareable with evaluation panel upon request.</w:t>
      </w:r>
    </w:p>
    <w:p>
      <w:pPr>
        <w:spacing w:before="100" w:after="40" w:line="276" w:lineRule="auto"/>
      </w:pPr>
      <w:r>
        <w:rPr>
          <w:rFonts w:ascii="Calibri" w:hAnsi="Calibri"/>
          <w:b/>
          <w:color w:val="7C3AED"/>
          <w:sz w:val="22"/>
        </w:rPr>
        <w:t>Appendix C — Data Sources</w:t>
      </w:r>
    </w:p>
    <w:tbl>
      <w:tblPr>
        <w:tblStyle w:val="TableGrid"/>
        <w:tblW w:type="auto" w:w="0"/>
        <w:jc w:val="left"/>
        <w:tblLook w:firstColumn="1" w:firstRow="1" w:lastColumn="0" w:lastRow="0" w:noHBand="0" w:noVBand="1" w:val="04A0"/>
      </w:tblPr>
      <w:tblGrid>
        <w:gridCol w:w="3010"/>
        <w:gridCol w:w="3010"/>
        <w:gridCol w:w="3010"/>
      </w:tblGrid>
      <w:tr>
        <w:tc>
          <w:tcPr>
            <w:tcW w:type="dxa" w:w="3010"/>
            <w:shd w:val="clear" w:color="auto" w:fill="1E162B"/>
          </w:tcPr>
          <w:p>
            <w:pPr>
              <w:spacing w:before="36" w:after="36" w:line="276" w:lineRule="auto"/>
            </w:pPr>
            <w:r>
              <w:rPr>
                <w:rFonts w:ascii="Calibri" w:hAnsi="Calibri"/>
                <w:b/>
                <w:color w:val="FFFFFF"/>
                <w:sz w:val="18"/>
              </w:rPr>
              <w:t>Source</w:t>
            </w:r>
          </w:p>
        </w:tc>
        <w:tc>
          <w:tcPr>
            <w:tcW w:type="dxa" w:w="3010"/>
            <w:shd w:val="clear" w:color="auto" w:fill="1E162B"/>
          </w:tcPr>
          <w:p>
            <w:pPr>
              <w:spacing w:before="36" w:after="36" w:line="276" w:lineRule="auto"/>
            </w:pPr>
            <w:r>
              <w:rPr>
                <w:rFonts w:ascii="Calibri" w:hAnsi="Calibri"/>
                <w:b/>
                <w:color w:val="FFFFFF"/>
                <w:sz w:val="18"/>
              </w:rPr>
              <w:t>Purpose</w:t>
            </w:r>
          </w:p>
        </w:tc>
        <w:tc>
          <w:tcPr>
            <w:tcW w:type="dxa" w:w="3010"/>
            <w:shd w:val="clear" w:color="auto" w:fill="1E162B"/>
          </w:tcPr>
          <w:p>
            <w:pPr>
              <w:spacing w:before="36" w:after="36" w:line="276" w:lineRule="auto"/>
            </w:pPr>
            <w:r>
              <w:rPr>
                <w:rFonts w:ascii="Calibri" w:hAnsi="Calibri"/>
                <w:b/>
                <w:color w:val="FFFFFF"/>
                <w:sz w:val="18"/>
              </w:rPr>
              <w:t>Access</w:t>
            </w:r>
          </w:p>
        </w:tc>
      </w:tr>
      <w:tr>
        <w:tc>
          <w:tcPr>
            <w:tcW w:type="dxa" w:w="3010"/>
            <w:shd w:val="clear" w:color="auto" w:fill="F9F5FF"/>
          </w:tcPr>
          <w:p>
            <w:pPr>
              <w:spacing w:before="28" w:after="28" w:line="276" w:lineRule="auto"/>
            </w:pPr>
            <w:r>
              <w:rPr>
                <w:rFonts w:ascii="Calibri" w:hAnsi="Calibri"/>
                <w:color w:val="1E162B"/>
                <w:sz w:val="18"/>
              </w:rPr>
              <w:t>NCRB Crime in India 2024</w:t>
            </w:r>
          </w:p>
        </w:tc>
        <w:tc>
          <w:tcPr>
            <w:tcW w:type="dxa" w:w="3010"/>
            <w:shd w:val="clear" w:color="auto" w:fill="F9F5FF"/>
          </w:tcPr>
          <w:p>
            <w:pPr>
              <w:spacing w:before="28" w:after="28" w:line="276" w:lineRule="auto"/>
            </w:pPr>
            <w:r>
              <w:rPr>
                <w:rFonts w:ascii="Calibri" w:hAnsi="Calibri"/>
                <w:color w:val="1E162B"/>
                <w:sz w:val="18"/>
              </w:rPr>
              <w:t>Crime density features for XGBoost</w:t>
            </w:r>
          </w:p>
        </w:tc>
        <w:tc>
          <w:tcPr>
            <w:tcW w:type="dxa" w:w="3010"/>
            <w:shd w:val="clear" w:color="auto" w:fill="F9F5FF"/>
          </w:tcPr>
          <w:p>
            <w:pPr>
              <w:spacing w:before="28" w:after="28" w:line="276" w:lineRule="auto"/>
            </w:pPr>
            <w:r>
              <w:rPr>
                <w:rFonts w:ascii="Calibri" w:hAnsi="Calibri"/>
                <w:color w:val="1E162B"/>
                <w:sz w:val="18"/>
              </w:rPr>
              <w:t>Public — ncrb.gov.in</w:t>
            </w:r>
          </w:p>
        </w:tc>
      </w:tr>
      <w:tr>
        <w:tc>
          <w:tcPr>
            <w:tcW w:type="dxa" w:w="3010"/>
            <w:shd w:val="clear" w:color="auto" w:fill="FFFFFF"/>
          </w:tcPr>
          <w:p>
            <w:pPr>
              <w:spacing w:before="28" w:after="28" w:line="276" w:lineRule="auto"/>
            </w:pPr>
            <w:r>
              <w:rPr>
                <w:rFonts w:ascii="Calibri" w:hAnsi="Calibri"/>
                <w:color w:val="1E162B"/>
                <w:sz w:val="18"/>
              </w:rPr>
              <w:t>OSM Overpass API</w:t>
            </w:r>
          </w:p>
        </w:tc>
        <w:tc>
          <w:tcPr>
            <w:tcW w:type="dxa" w:w="3010"/>
            <w:shd w:val="clear" w:color="auto" w:fill="FFFFFF"/>
          </w:tcPr>
          <w:p>
            <w:pPr>
              <w:spacing w:before="28" w:after="28" w:line="276" w:lineRule="auto"/>
            </w:pPr>
            <w:r>
              <w:rPr>
                <w:rFonts w:ascii="Calibri" w:hAnsi="Calibri"/>
                <w:color w:val="1E162B"/>
                <w:sz w:val="18"/>
              </w:rPr>
              <w:t>Street lighting + CCTV density features</w:t>
            </w:r>
          </w:p>
        </w:tc>
        <w:tc>
          <w:tcPr>
            <w:tcW w:type="dxa" w:w="3010"/>
            <w:shd w:val="clear" w:color="auto" w:fill="FFFFFF"/>
          </w:tcPr>
          <w:p>
            <w:pPr>
              <w:spacing w:before="28" w:after="28" w:line="276" w:lineRule="auto"/>
            </w:pPr>
            <w:r>
              <w:rPr>
                <w:rFonts w:ascii="Calibri" w:hAnsi="Calibri"/>
                <w:color w:val="1E162B"/>
                <w:sz w:val="18"/>
              </w:rPr>
              <w:t>Open — overpass-api.de</w:t>
            </w:r>
          </w:p>
        </w:tc>
      </w:tr>
      <w:tr>
        <w:tc>
          <w:tcPr>
            <w:tcW w:type="dxa" w:w="3010"/>
            <w:shd w:val="clear" w:color="auto" w:fill="F9F5FF"/>
          </w:tcPr>
          <w:p>
            <w:pPr>
              <w:spacing w:before="28" w:after="28" w:line="276" w:lineRule="auto"/>
            </w:pPr>
            <w:r>
              <w:rPr>
                <w:rFonts w:ascii="Calibri" w:hAnsi="Calibri"/>
                <w:color w:val="1E162B"/>
                <w:sz w:val="18"/>
              </w:rPr>
              <w:t>SafeCity API</w:t>
            </w:r>
          </w:p>
        </w:tc>
        <w:tc>
          <w:tcPr>
            <w:tcW w:type="dxa" w:w="3010"/>
            <w:shd w:val="clear" w:color="auto" w:fill="F9F5FF"/>
          </w:tcPr>
          <w:p>
            <w:pPr>
              <w:spacing w:before="28" w:after="28" w:line="276" w:lineRule="auto"/>
            </w:pPr>
            <w:r>
              <w:rPr>
                <w:rFonts w:ascii="Calibri" w:hAnsi="Calibri"/>
                <w:color w:val="1E162B"/>
                <w:sz w:val="18"/>
              </w:rPr>
              <w:t>Community incident seeding for Track 4</w:t>
            </w:r>
          </w:p>
        </w:tc>
        <w:tc>
          <w:tcPr>
            <w:tcW w:type="dxa" w:w="3010"/>
            <w:shd w:val="clear" w:color="auto" w:fill="F9F5FF"/>
          </w:tcPr>
          <w:p>
            <w:pPr>
              <w:spacing w:before="28" w:after="28" w:line="276" w:lineRule="auto"/>
            </w:pPr>
            <w:r>
              <w:rPr>
                <w:rFonts w:ascii="Calibri" w:hAnsi="Calibri"/>
                <w:color w:val="1E162B"/>
                <w:sz w:val="18"/>
              </w:rPr>
              <w:t>Free registration — safecity.in</w:t>
            </w:r>
          </w:p>
        </w:tc>
      </w:tr>
      <w:tr>
        <w:tc>
          <w:tcPr>
            <w:tcW w:type="dxa" w:w="3010"/>
            <w:shd w:val="clear" w:color="auto" w:fill="FFFFFF"/>
          </w:tcPr>
          <w:p>
            <w:pPr>
              <w:spacing w:before="28" w:after="28" w:line="276" w:lineRule="auto"/>
            </w:pPr>
            <w:r>
              <w:rPr>
                <w:rFonts w:ascii="Calibri" w:hAnsi="Calibri"/>
                <w:color w:val="1E162B"/>
                <w:sz w:val="18"/>
              </w:rPr>
              <w:t>OLA Maps Directions API</w:t>
            </w:r>
          </w:p>
        </w:tc>
        <w:tc>
          <w:tcPr>
            <w:tcW w:type="dxa" w:w="3010"/>
            <w:shd w:val="clear" w:color="auto" w:fill="FFFFFF"/>
          </w:tcPr>
          <w:p>
            <w:pPr>
              <w:spacing w:before="28" w:after="28" w:line="276" w:lineRule="auto"/>
            </w:pPr>
            <w:r>
              <w:rPr>
                <w:rFonts w:ascii="Calibri" w:hAnsi="Calibri"/>
                <w:color w:val="1E162B"/>
                <w:sz w:val="18"/>
              </w:rPr>
              <w:t>India-native routing</w:t>
            </w:r>
          </w:p>
        </w:tc>
        <w:tc>
          <w:tcPr>
            <w:tcW w:type="dxa" w:w="3010"/>
            <w:shd w:val="clear" w:color="auto" w:fill="FFFFFF"/>
          </w:tcPr>
          <w:p>
            <w:pPr>
              <w:spacing w:before="28" w:after="28" w:line="276" w:lineRule="auto"/>
            </w:pPr>
            <w:r>
              <w:rPr>
                <w:rFonts w:ascii="Calibri" w:hAnsi="Calibri"/>
                <w:color w:val="1E162B"/>
                <w:sz w:val="18"/>
              </w:rPr>
              <w:t>Developer portal — olamaps.io</w:t>
            </w:r>
          </w:p>
        </w:tc>
      </w:tr>
      <w:tr>
        <w:tc>
          <w:tcPr>
            <w:tcW w:type="dxa" w:w="3010"/>
            <w:shd w:val="clear" w:color="auto" w:fill="F9F5FF"/>
          </w:tcPr>
          <w:p>
            <w:pPr>
              <w:spacing w:before="28" w:after="28" w:line="276" w:lineRule="auto"/>
            </w:pPr>
            <w:r>
              <w:rPr>
                <w:rFonts w:ascii="Calibri" w:hAnsi="Calibri"/>
                <w:color w:val="1E162B"/>
                <w:sz w:val="18"/>
              </w:rPr>
              <w:t>Gemini 2.5 Flash/Pro</w:t>
            </w:r>
          </w:p>
        </w:tc>
        <w:tc>
          <w:tcPr>
            <w:tcW w:type="dxa" w:w="3010"/>
            <w:shd w:val="clear" w:color="auto" w:fill="F9F5FF"/>
          </w:tcPr>
          <w:p>
            <w:pPr>
              <w:spacing w:before="28" w:after="28" w:line="276" w:lineRule="auto"/>
            </w:pPr>
            <w:r>
              <w:rPr>
                <w:rFonts w:ascii="Calibri" w:hAnsi="Calibri"/>
                <w:color w:val="1E162B"/>
                <w:sz w:val="18"/>
              </w:rPr>
              <w:t>AI companion + FIR generation</w:t>
            </w:r>
          </w:p>
        </w:tc>
        <w:tc>
          <w:tcPr>
            <w:tcW w:type="dxa" w:w="3010"/>
            <w:shd w:val="clear" w:color="auto" w:fill="F9F5FF"/>
          </w:tcPr>
          <w:p>
            <w:pPr>
              <w:spacing w:before="28" w:after="28" w:line="276" w:lineRule="auto"/>
            </w:pPr>
            <w:r>
              <w:rPr>
                <w:rFonts w:ascii="Calibri" w:hAnsi="Calibri"/>
                <w:color w:val="1E162B"/>
                <w:sz w:val="18"/>
              </w:rPr>
              <w:t>Google AI Studio — aistudio.google.com</w:t>
            </w:r>
          </w:p>
        </w:tc>
      </w:tr>
      <w:tr>
        <w:tc>
          <w:tcPr>
            <w:tcW w:type="dxa" w:w="3010"/>
            <w:shd w:val="clear" w:color="auto" w:fill="FFFFFF"/>
          </w:tcPr>
          <w:p>
            <w:pPr>
              <w:spacing w:before="28" w:after="28" w:line="276" w:lineRule="auto"/>
            </w:pPr>
            <w:r>
              <w:rPr>
                <w:rFonts w:ascii="Calibri" w:hAnsi="Calibri"/>
                <w:color w:val="1E162B"/>
                <w:sz w:val="18"/>
              </w:rPr>
              <w:t>Synthetic GPS dataset</w:t>
            </w:r>
          </w:p>
        </w:tc>
        <w:tc>
          <w:tcPr>
            <w:tcW w:type="dxa" w:w="3010"/>
            <w:shd w:val="clear" w:color="auto" w:fill="FFFFFF"/>
          </w:tcPr>
          <w:p>
            <w:pPr>
              <w:spacing w:before="28" w:after="28" w:line="276" w:lineRule="auto"/>
            </w:pPr>
            <w:r>
              <w:rPr>
                <w:rFonts w:ascii="Calibri" w:hAnsi="Calibri"/>
                <w:color w:val="1E162B"/>
                <w:sz w:val="18"/>
              </w:rPr>
              <w:t>Track 2 anomaly model calibration</w:t>
            </w:r>
          </w:p>
        </w:tc>
        <w:tc>
          <w:tcPr>
            <w:tcW w:type="dxa" w:w="3010"/>
            <w:shd w:val="clear" w:color="auto" w:fill="FFFFFF"/>
          </w:tcPr>
          <w:p>
            <w:pPr>
              <w:spacing w:before="28" w:after="28" w:line="276" w:lineRule="auto"/>
            </w:pPr>
            <w:r>
              <w:rPr>
                <w:rFonts w:ascii="Calibri" w:hAnsi="Calibri"/>
                <w:color w:val="1E162B"/>
                <w:sz w:val="18"/>
              </w:rPr>
              <w:t>Generated via OSRM on Hyderabad OSM data</w:t>
            </w:r>
          </w:p>
        </w:tc>
      </w:tr>
    </w:tbl>
    <w:p/>
    <w:p>
      <w:pPr>
        <w:spacing w:before="100" w:after="40" w:line="276" w:lineRule="auto"/>
      </w:pPr>
      <w:r>
        <w:rPr>
          <w:rFonts w:ascii="Calibri" w:hAnsi="Calibri"/>
          <w:b/>
          <w:color w:val="7C3AED"/>
          <w:sz w:val="22"/>
        </w:rPr>
        <w:t>Appendix D — OKR Quick Reference</w:t>
      </w:r>
    </w:p>
    <w:tbl>
      <w:tblPr>
        <w:tblStyle w:val="TableGrid"/>
        <w:tblW w:type="auto" w:w="0"/>
        <w:jc w:val="left"/>
        <w:tblLook w:firstColumn="1" w:firstRow="1" w:lastColumn="0" w:lastRow="0" w:noHBand="0" w:noVBand="1" w:val="04A0"/>
      </w:tblPr>
      <w:tblGrid>
        <w:gridCol w:w="1806"/>
        <w:gridCol w:w="1806"/>
        <w:gridCol w:w="1806"/>
        <w:gridCol w:w="1806"/>
        <w:gridCol w:w="1806"/>
      </w:tblGrid>
      <w:tr>
        <w:tc>
          <w:tcPr>
            <w:tcW w:type="dxa" w:w="1806"/>
            <w:shd w:val="clear" w:color="auto" w:fill="1E162B"/>
          </w:tcPr>
          <w:p>
            <w:pPr>
              <w:spacing w:before="36" w:after="36" w:line="276" w:lineRule="auto"/>
            </w:pPr>
            <w:r>
              <w:rPr>
                <w:rFonts w:ascii="Calibri" w:hAnsi="Calibri"/>
                <w:b/>
                <w:color w:val="FFFFFF"/>
                <w:sz w:val="18"/>
              </w:rPr>
              <w:t>Track</w:t>
            </w:r>
          </w:p>
        </w:tc>
        <w:tc>
          <w:tcPr>
            <w:tcW w:type="dxa" w:w="1806"/>
            <w:shd w:val="clear" w:color="auto" w:fill="1E162B"/>
          </w:tcPr>
          <w:p>
            <w:pPr>
              <w:spacing w:before="36" w:after="36" w:line="276" w:lineRule="auto"/>
            </w:pPr>
            <w:r>
              <w:rPr>
                <w:rFonts w:ascii="Calibri" w:hAnsi="Calibri"/>
                <w:b/>
                <w:color w:val="FFFFFF"/>
                <w:sz w:val="18"/>
              </w:rPr>
              <w:t>Metric</w:t>
            </w:r>
          </w:p>
        </w:tc>
        <w:tc>
          <w:tcPr>
            <w:tcW w:type="dxa" w:w="1806"/>
            <w:shd w:val="clear" w:color="auto" w:fill="1E162B"/>
          </w:tcPr>
          <w:p>
            <w:pPr>
              <w:spacing w:before="36" w:after="36" w:line="276" w:lineRule="auto"/>
            </w:pPr>
            <w:r>
              <w:rPr>
                <w:rFonts w:ascii="Calibri" w:hAnsi="Calibri"/>
                <w:b/>
                <w:color w:val="FFFFFF"/>
                <w:sz w:val="18"/>
              </w:rPr>
              <w:t>Current Validated</w:t>
            </w:r>
          </w:p>
        </w:tc>
        <w:tc>
          <w:tcPr>
            <w:tcW w:type="dxa" w:w="1806"/>
            <w:shd w:val="clear" w:color="auto" w:fill="1E162B"/>
          </w:tcPr>
          <w:p>
            <w:pPr>
              <w:spacing w:before="36" w:after="36" w:line="276" w:lineRule="auto"/>
            </w:pPr>
            <w:r>
              <w:rPr>
                <w:rFonts w:ascii="Calibri" w:hAnsi="Calibri"/>
                <w:b/>
                <w:color w:val="FFFFFF"/>
                <w:sz w:val="18"/>
              </w:rPr>
              <w:t>Pilot Target (90 days)</w:t>
            </w:r>
          </w:p>
        </w:tc>
        <w:tc>
          <w:tcPr>
            <w:tcW w:type="dxa" w:w="1806"/>
            <w:shd w:val="clear" w:color="auto" w:fill="1E162B"/>
          </w:tcPr>
          <w:p>
            <w:pPr>
              <w:spacing w:before="36" w:after="36" w:line="276" w:lineRule="auto"/>
            </w:pPr>
            <w:r>
              <w:rPr>
                <w:rFonts w:ascii="Calibri" w:hAnsi="Calibri"/>
                <w:b/>
                <w:color w:val="FFFFFF"/>
                <w:sz w:val="18"/>
              </w:rPr>
              <w:t>Measurement</w:t>
            </w:r>
          </w:p>
        </w:tc>
      </w:tr>
      <w:tr>
        <w:tc>
          <w:tcPr>
            <w:tcW w:type="dxa" w:w="1806"/>
            <w:shd w:val="clear" w:color="auto" w:fill="F9F5FF"/>
          </w:tcPr>
          <w:p>
            <w:pPr>
              <w:spacing w:before="28" w:after="28" w:line="276" w:lineRule="auto"/>
            </w:pPr>
            <w:r>
              <w:rPr>
                <w:rFonts w:ascii="Calibri" w:hAnsi="Calibri"/>
                <w:color w:val="1E162B"/>
                <w:sz w:val="18"/>
              </w:rPr>
              <w:t>Track 1</w:t>
            </w:r>
          </w:p>
        </w:tc>
        <w:tc>
          <w:tcPr>
            <w:tcW w:type="dxa" w:w="1806"/>
            <w:shd w:val="clear" w:color="auto" w:fill="F9F5FF"/>
          </w:tcPr>
          <w:p>
            <w:pPr>
              <w:spacing w:before="28" w:after="28" w:line="276" w:lineRule="auto"/>
            </w:pPr>
            <w:r>
              <w:rPr>
                <w:rFonts w:ascii="Calibri" w:hAnsi="Calibri"/>
                <w:color w:val="1E162B"/>
                <w:sz w:val="18"/>
              </w:rPr>
              <w:t>XGBoost AUC</w:t>
            </w:r>
          </w:p>
        </w:tc>
        <w:tc>
          <w:tcPr>
            <w:tcW w:type="dxa" w:w="1806"/>
            <w:shd w:val="clear" w:color="auto" w:fill="F9F5FF"/>
          </w:tcPr>
          <w:p>
            <w:pPr>
              <w:spacing w:before="28" w:after="28" w:line="276" w:lineRule="auto"/>
            </w:pPr>
            <w:r>
              <w:rPr>
                <w:rFonts w:ascii="Calibri" w:hAnsi="Calibri"/>
                <w:color w:val="1E162B"/>
                <w:sz w:val="18"/>
              </w:rPr>
              <w:t>Not yet trained</w:t>
            </w:r>
          </w:p>
        </w:tc>
        <w:tc>
          <w:tcPr>
            <w:tcW w:type="dxa" w:w="1806"/>
            <w:shd w:val="clear" w:color="auto" w:fill="F9F5FF"/>
          </w:tcPr>
          <w:p>
            <w:pPr>
              <w:spacing w:before="28" w:after="28" w:line="276" w:lineRule="auto"/>
            </w:pPr>
            <w:r>
              <w:rPr>
                <w:rFonts w:ascii="Calibri" w:hAnsi="Calibri"/>
                <w:color w:val="1E162B"/>
                <w:sz w:val="18"/>
              </w:rPr>
              <w:t>≥ 0.80</w:t>
            </w:r>
          </w:p>
        </w:tc>
        <w:tc>
          <w:tcPr>
            <w:tcW w:type="dxa" w:w="1806"/>
            <w:shd w:val="clear" w:color="auto" w:fill="F9F5FF"/>
          </w:tcPr>
          <w:p>
            <w:pPr>
              <w:spacing w:before="28" w:after="28" w:line="276" w:lineRule="auto"/>
            </w:pPr>
            <w:r>
              <w:rPr>
                <w:rFonts w:ascii="Calibri" w:hAnsi="Calibri"/>
                <w:color w:val="1E162B"/>
                <w:sz w:val="18"/>
              </w:rPr>
              <w:t>sklearn cross-validation on NCRB+OSM hold-out</w:t>
            </w:r>
          </w:p>
        </w:tc>
      </w:tr>
      <w:tr>
        <w:tc>
          <w:tcPr>
            <w:tcW w:type="dxa" w:w="1806"/>
            <w:shd w:val="clear" w:color="auto" w:fill="FFFFFF"/>
          </w:tcPr>
          <w:p>
            <w:pPr>
              <w:spacing w:before="28" w:after="28" w:line="276" w:lineRule="auto"/>
            </w:pPr>
            <w:r>
              <w:rPr>
                <w:rFonts w:ascii="Calibri" w:hAnsi="Calibri"/>
                <w:color w:val="1E162B"/>
                <w:sz w:val="18"/>
              </w:rPr>
              <w:t>Track 1</w:t>
            </w:r>
          </w:p>
        </w:tc>
        <w:tc>
          <w:tcPr>
            <w:tcW w:type="dxa" w:w="1806"/>
            <w:shd w:val="clear" w:color="auto" w:fill="FFFFFF"/>
          </w:tcPr>
          <w:p>
            <w:pPr>
              <w:spacing w:before="28" w:after="28" w:line="276" w:lineRule="auto"/>
            </w:pPr>
            <w:r>
              <w:rPr>
                <w:rFonts w:ascii="Calibri" w:hAnsi="Calibri"/>
                <w:color w:val="1E162B"/>
                <w:sz w:val="18"/>
              </w:rPr>
              <w:t>Route acceptance rate</w:t>
            </w:r>
          </w:p>
        </w:tc>
        <w:tc>
          <w:tcPr>
            <w:tcW w:type="dxa" w:w="1806"/>
            <w:shd w:val="clear" w:color="auto" w:fill="FFFFFF"/>
          </w:tcPr>
          <w:p>
            <w:pPr>
              <w:spacing w:before="28" w:after="28" w:line="276" w:lineRule="auto"/>
            </w:pPr>
            <w:r>
              <w:rPr>
                <w:rFonts w:ascii="Calibri" w:hAnsi="Calibri"/>
                <w:color w:val="1E162B"/>
                <w:sz w:val="18"/>
              </w:rPr>
              <w:t>Not yet measured</w:t>
            </w:r>
          </w:p>
        </w:tc>
        <w:tc>
          <w:tcPr>
            <w:tcW w:type="dxa" w:w="1806"/>
            <w:shd w:val="clear" w:color="auto" w:fill="FFFFFF"/>
          </w:tcPr>
          <w:p>
            <w:pPr>
              <w:spacing w:before="28" w:after="28" w:line="276" w:lineRule="auto"/>
            </w:pPr>
            <w:r>
              <w:rPr>
                <w:rFonts w:ascii="Calibri" w:hAnsi="Calibri"/>
                <w:color w:val="1E162B"/>
                <w:sz w:val="18"/>
              </w:rPr>
              <w:t>≥ 65% (50-journey user study)</w:t>
            </w:r>
          </w:p>
        </w:tc>
        <w:tc>
          <w:tcPr>
            <w:tcW w:type="dxa" w:w="1806"/>
            <w:shd w:val="clear" w:color="auto" w:fill="FFFFFF"/>
          </w:tcPr>
          <w:p>
            <w:pPr>
              <w:spacing w:before="28" w:after="28" w:line="276" w:lineRule="auto"/>
            </w:pPr>
            <w:r>
              <w:rPr>
                <w:rFonts w:ascii="Calibri" w:hAnsi="Calibri"/>
                <w:color w:val="1E162B"/>
                <w:sz w:val="18"/>
              </w:rPr>
              <w:t>User study: AI route vs. default choice</w:t>
            </w:r>
          </w:p>
        </w:tc>
      </w:tr>
      <w:tr>
        <w:tc>
          <w:tcPr>
            <w:tcW w:type="dxa" w:w="1806"/>
            <w:shd w:val="clear" w:color="auto" w:fill="F9F5FF"/>
          </w:tcPr>
          <w:p>
            <w:pPr>
              <w:spacing w:before="28" w:after="28" w:line="276" w:lineRule="auto"/>
            </w:pPr>
            <w:r>
              <w:rPr>
                <w:rFonts w:ascii="Calibri" w:hAnsi="Calibri"/>
                <w:color w:val="1E162B"/>
                <w:sz w:val="18"/>
              </w:rPr>
              <w:t>Track 2</w:t>
            </w:r>
          </w:p>
        </w:tc>
        <w:tc>
          <w:tcPr>
            <w:tcW w:type="dxa" w:w="1806"/>
            <w:shd w:val="clear" w:color="auto" w:fill="F9F5FF"/>
          </w:tcPr>
          <w:p>
            <w:pPr>
              <w:spacing w:before="28" w:after="28" w:line="276" w:lineRule="auto"/>
            </w:pPr>
            <w:r>
              <w:rPr>
                <w:rFonts w:ascii="Calibri" w:hAnsi="Calibri"/>
                <w:color w:val="1E162B"/>
                <w:sz w:val="18"/>
              </w:rPr>
              <w:t>Isolation Forest precision/recall</w:t>
            </w:r>
          </w:p>
        </w:tc>
        <w:tc>
          <w:tcPr>
            <w:tcW w:type="dxa" w:w="1806"/>
            <w:shd w:val="clear" w:color="auto" w:fill="F9F5FF"/>
          </w:tcPr>
          <w:p>
            <w:pPr>
              <w:spacing w:before="28" w:after="28" w:line="276" w:lineRule="auto"/>
            </w:pPr>
            <w:r>
              <w:rPr>
                <w:rFonts w:ascii="Calibri" w:hAnsi="Calibri"/>
                <w:color w:val="1E162B"/>
                <w:sz w:val="18"/>
              </w:rPr>
              <w:t>Simulation functional</w:t>
            </w:r>
          </w:p>
        </w:tc>
        <w:tc>
          <w:tcPr>
            <w:tcW w:type="dxa" w:w="1806"/>
            <w:shd w:val="clear" w:color="auto" w:fill="F9F5FF"/>
          </w:tcPr>
          <w:p>
            <w:pPr>
              <w:spacing w:before="28" w:after="28" w:line="276" w:lineRule="auto"/>
            </w:pPr>
            <w:r>
              <w:rPr>
                <w:rFonts w:ascii="Calibri" w:hAnsi="Calibri"/>
                <w:color w:val="1E162B"/>
                <w:sz w:val="18"/>
              </w:rPr>
              <w:t>P ≥ 85%, R ≥ 90%</w:t>
            </w:r>
          </w:p>
        </w:tc>
        <w:tc>
          <w:tcPr>
            <w:tcW w:type="dxa" w:w="1806"/>
            <w:shd w:val="clear" w:color="auto" w:fill="F9F5FF"/>
          </w:tcPr>
          <w:p>
            <w:pPr>
              <w:spacing w:before="28" w:after="28" w:line="276" w:lineRule="auto"/>
            </w:pPr>
            <w:r>
              <w:rPr>
                <w:rFonts w:ascii="Calibri" w:hAnsi="Calibri"/>
                <w:color w:val="1E162B"/>
                <w:sz w:val="18"/>
              </w:rPr>
              <w:t>500 synthetic GPS samples @ 500m threshold</w:t>
            </w:r>
          </w:p>
        </w:tc>
      </w:tr>
      <w:tr>
        <w:tc>
          <w:tcPr>
            <w:tcW w:type="dxa" w:w="1806"/>
            <w:shd w:val="clear" w:color="auto" w:fill="FFFFFF"/>
          </w:tcPr>
          <w:p>
            <w:pPr>
              <w:spacing w:before="28" w:after="28" w:line="276" w:lineRule="auto"/>
            </w:pPr>
            <w:r>
              <w:rPr>
                <w:rFonts w:ascii="Calibri" w:hAnsi="Calibri"/>
                <w:color w:val="1E162B"/>
                <w:sz w:val="18"/>
              </w:rPr>
              <w:t>Track 4</w:t>
            </w:r>
          </w:p>
        </w:tc>
        <w:tc>
          <w:tcPr>
            <w:tcW w:type="dxa" w:w="1806"/>
            <w:shd w:val="clear" w:color="auto" w:fill="FFFFFF"/>
          </w:tcPr>
          <w:p>
            <w:pPr>
              <w:spacing w:before="28" w:after="28" w:line="276" w:lineRule="auto"/>
            </w:pPr>
            <w:r>
              <w:rPr>
                <w:rFonts w:ascii="Calibri" w:hAnsi="Calibri"/>
                <w:color w:val="1E162B"/>
                <w:sz w:val="18"/>
              </w:rPr>
              <w:t>Trust score Spearman ρ</w:t>
            </w:r>
          </w:p>
        </w:tc>
        <w:tc>
          <w:tcPr>
            <w:tcW w:type="dxa" w:w="1806"/>
            <w:shd w:val="clear" w:color="auto" w:fill="FFFFFF"/>
          </w:tcPr>
          <w:p>
            <w:pPr>
              <w:spacing w:before="28" w:after="28" w:line="276" w:lineRule="auto"/>
            </w:pPr>
            <w:r>
              <w:rPr>
                <w:rFonts w:ascii="Calibri" w:hAnsi="Calibri"/>
                <w:color w:val="1E162B"/>
                <w:sz w:val="18"/>
              </w:rPr>
              <w:t>Report display functional</w:t>
            </w:r>
          </w:p>
        </w:tc>
        <w:tc>
          <w:tcPr>
            <w:tcW w:type="dxa" w:w="1806"/>
            <w:shd w:val="clear" w:color="auto" w:fill="FFFFFF"/>
          </w:tcPr>
          <w:p>
            <w:pPr>
              <w:spacing w:before="28" w:after="28" w:line="276" w:lineRule="auto"/>
            </w:pPr>
            <w:r>
              <w:rPr>
                <w:rFonts w:ascii="Calibri" w:hAnsi="Calibri"/>
                <w:color w:val="1E162B"/>
                <w:sz w:val="18"/>
              </w:rPr>
              <w:t>ρ ≥ 0.72</w:t>
            </w:r>
          </w:p>
        </w:tc>
        <w:tc>
          <w:tcPr>
            <w:tcW w:type="dxa" w:w="1806"/>
            <w:shd w:val="clear" w:color="auto" w:fill="FFFFFF"/>
          </w:tcPr>
          <w:p>
            <w:pPr>
              <w:spacing w:before="28" w:after="28" w:line="276" w:lineRule="auto"/>
            </w:pPr>
            <w:r>
              <w:rPr>
                <w:rFonts w:ascii="Calibri" w:hAnsi="Calibri"/>
                <w:color w:val="1E162B"/>
                <w:sz w:val="18"/>
              </w:rPr>
              <w:t>SafeCity seeded validation set</w:t>
            </w:r>
          </w:p>
        </w:tc>
      </w:tr>
      <w:tr>
        <w:tc>
          <w:tcPr>
            <w:tcW w:type="dxa" w:w="1806"/>
            <w:shd w:val="clear" w:color="auto" w:fill="F9F5FF"/>
          </w:tcPr>
          <w:p>
            <w:pPr>
              <w:spacing w:before="28" w:after="28" w:line="276" w:lineRule="auto"/>
            </w:pPr>
            <w:r>
              <w:rPr>
                <w:rFonts w:ascii="Calibri" w:hAnsi="Calibri"/>
                <w:color w:val="1E162B"/>
                <w:sz w:val="18"/>
              </w:rPr>
              <w:t>Track 5</w:t>
            </w:r>
          </w:p>
        </w:tc>
        <w:tc>
          <w:tcPr>
            <w:tcW w:type="dxa" w:w="1806"/>
            <w:shd w:val="clear" w:color="auto" w:fill="F9F5FF"/>
          </w:tcPr>
          <w:p>
            <w:pPr>
              <w:spacing w:before="28" w:after="28" w:line="276" w:lineRule="auto"/>
            </w:pPr>
            <w:r>
              <w:rPr>
                <w:rFonts w:ascii="Calibri" w:hAnsi="Calibri"/>
                <w:color w:val="1E162B"/>
                <w:sz w:val="18"/>
              </w:rPr>
              <w:t>Companion quality (20-judge panel)</w:t>
            </w:r>
          </w:p>
        </w:tc>
        <w:tc>
          <w:tcPr>
            <w:tcW w:type="dxa" w:w="1806"/>
            <w:shd w:val="clear" w:color="auto" w:fill="F9F5FF"/>
          </w:tcPr>
          <w:p>
            <w:pPr>
              <w:spacing w:before="28" w:after="28" w:line="276" w:lineRule="auto"/>
            </w:pPr>
            <w:r>
              <w:rPr>
                <w:rFonts w:ascii="Calibri" w:hAnsi="Calibri"/>
                <w:color w:val="1E162B"/>
                <w:sz w:val="18"/>
              </w:rPr>
              <w:t>Gemini 2.0 Flash live</w:t>
            </w:r>
          </w:p>
        </w:tc>
        <w:tc>
          <w:tcPr>
            <w:tcW w:type="dxa" w:w="1806"/>
            <w:shd w:val="clear" w:color="auto" w:fill="F9F5FF"/>
          </w:tcPr>
          <w:p>
            <w:pPr>
              <w:spacing w:before="28" w:after="28" w:line="276" w:lineRule="auto"/>
            </w:pPr>
            <w:r>
              <w:rPr>
                <w:rFonts w:ascii="Calibri" w:hAnsi="Calibri"/>
                <w:color w:val="1E162B"/>
                <w:sz w:val="18"/>
              </w:rPr>
              <w:t>≥ 4.0 / 5.0</w:t>
            </w:r>
          </w:p>
        </w:tc>
        <w:tc>
          <w:tcPr>
            <w:tcW w:type="dxa" w:w="1806"/>
            <w:shd w:val="clear" w:color="auto" w:fill="F9F5FF"/>
          </w:tcPr>
          <w:p>
            <w:pPr>
              <w:spacing w:before="28" w:after="28" w:line="276" w:lineRule="auto"/>
            </w:pPr>
            <w:r>
              <w:rPr>
                <w:rFonts w:ascii="Calibri" w:hAnsi="Calibri"/>
                <w:color w:val="1E162B"/>
                <w:sz w:val="18"/>
              </w:rPr>
              <w:t>Human rating: 80 scenarios × 20 judges</w:t>
            </w:r>
          </w:p>
        </w:tc>
      </w:tr>
    </w:tbl>
    <w:p/>
    <w:p/>
    <w:p>
      <w:pPr>
        <w:spacing w:before="30" w:after="30" w:line="276" w:lineRule="auto"/>
      </w:pPr>
      <w:r>
        <w:rPr>
          <w:rFonts w:ascii="Calibri" w:hAnsi="Calibri"/>
          <w:color w:val="E11D74"/>
          <w:sz w:val="16"/>
        </w:rPr>
        <w:t>────────────────────────────────────────────────────────────────────────────────────────</w:t>
      </w:r>
    </w:p>
    <w:p>
      <w:pPr>
        <w:jc w:val="center"/>
        <w:spacing w:before="30" w:after="0" w:line="276" w:lineRule="auto"/>
      </w:pPr>
      <w:r>
        <w:rPr>
          <w:rFonts w:ascii="Calibri" w:hAnsi="Calibri"/>
          <w:color w:val="635875"/>
          <w:sz w:val="16"/>
        </w:rPr>
        <w:t>SafeHerAI  ·  E Gaithika  ·  VIT-AP University  ·  MSME Idea Hackathon 6.0  ·  28 August 2026  ·  Ref: 26INC06AP044404</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