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Executive Summary</w:t>
      </w:r>
    </w:p>
    <w:p>
      <w:r>
        <w:t>## Project Overview</w:t>
      </w:r>
    </w:p>
    <w:p>
      <w:r>
        <w:t xml:space="preserve">The </w:t>
      </w:r>
      <w:r>
        <w:rPr>
          <w:b/>
        </w:rPr>
        <w:t>Ndeiya Solar Power Plant</w:t>
      </w:r>
      <w:r>
        <w:t xml:space="preserve"> is proposed by </w:t>
      </w:r>
      <w:r>
        <w:rPr>
          <w:b/>
        </w:rPr>
        <w:t>Sunbelt Energy Kenya Ltd.</w:t>
      </w:r>
      <w:r>
        <w:t xml:space="preserve"> (PIN: P061738204M) to generate </w:t>
      </w:r>
      <w:r>
        <w:rPr>
          <w:b/>
        </w:rPr>
        <w:t>45 MW</w:t>
      </w:r>
      <w:r>
        <w:t xml:space="preserve"> of renewable electricity. The development will be situated on </w:t>
      </w:r>
      <w:r>
        <w:rPr>
          <w:b/>
        </w:rPr>
        <w:t>38.6 ha</w:t>
      </w:r>
      <w:r>
        <w:t xml:space="preserve"> of leasehold land (LR No. 9902/14) in </w:t>
      </w:r>
      <w:r>
        <w:rPr>
          <w:b/>
        </w:rPr>
        <w:t>Ndeiya Ward, Limuru, Kiambu County</w:t>
      </w:r>
      <w:r>
        <w:t xml:space="preserve"> (coordinates ‑1.0291, 36.6847). The total capital cost is estimated at </w:t>
      </w:r>
      <w:r>
        <w:rPr>
          <w:b/>
        </w:rPr>
        <w:t>KES 2,940,000,000</w:t>
      </w:r>
      <w:r>
        <w:t xml:space="preserve">. Construction is scheduled to commence on </w:t>
      </w:r>
      <w:r>
        <w:rPr>
          <w:b/>
        </w:rPr>
        <w:t>1 June 2027</w:t>
      </w:r>
      <w:r>
        <w:t xml:space="preserve"> and is expected to be completed within </w:t>
      </w:r>
      <w:r>
        <w:rPr>
          <w:b/>
        </w:rPr>
        <w:t>11 months</w:t>
      </w:r>
      <w:r>
        <w:t xml:space="preserve">, with a design life of </w:t>
      </w:r>
      <w:r>
        <w:rPr>
          <w:b/>
        </w:rPr>
        <w:t>25 years</w:t>
      </w:r>
      <w:r>
        <w:t>.</w:t>
      </w:r>
    </w:p>
    <w:p>
      <w:r>
        <w:t>## Engineering Description</w:t>
      </w:r>
    </w:p>
    <w:p>
      <w:pPr>
        <w:pStyle w:val="ListBullet"/>
      </w:pPr>
      <w:r/>
      <w:r>
        <w:rPr>
          <w:b/>
        </w:rPr>
        <w:t>Plant capacity:</w:t>
      </w:r>
      <w:r>
        <w:t xml:space="preserve"> 45 MW</w:t>
      </w:r>
    </w:p>
    <w:p>
      <w:pPr>
        <w:pStyle w:val="ListBullet"/>
      </w:pPr>
      <w:r/>
      <w:r>
        <w:rPr>
          <w:b/>
        </w:rPr>
        <w:t>Configuration:</w:t>
      </w:r>
      <w:r>
        <w:t xml:space="preserve"> Four identical phases, each rated at </w:t>
      </w:r>
      <w:r>
        <w:rPr>
          <w:b/>
        </w:rPr>
        <w:t>15 MW</w:t>
      </w:r>
      <w:r>
        <w:t xml:space="preserve">, to be commissioned sequentially. </w:t>
      </w:r>
      <w:r>
        <w:rPr>
          <w:b/>
        </w:rPr>
        <w:t>[CONTRADICTION: Plant capacity is 45 MW but four phases of 15 MW each sum to 60 MW]</w:t>
      </w:r>
      <w:r/>
    </w:p>
    <w:p>
      <w:pPr>
        <w:pStyle w:val="ListBullet"/>
      </w:pPr>
      <w:r/>
      <w:r>
        <w:rPr>
          <w:b/>
        </w:rPr>
        <w:t>Panel array footprint:</w:t>
      </w:r>
      <w:r>
        <w:t xml:space="preserve"> 52 ha </w:t>
      </w:r>
      <w:r>
        <w:rPr>
          <w:b/>
        </w:rPr>
        <w:t>[CONTRADICTION: Site area is 38.6 ha but footprint is 52 ha]</w:t>
      </w:r>
      <w:r/>
    </w:p>
    <w:p>
      <w:pPr>
        <w:pStyle w:val="ListBullet"/>
      </w:pPr>
      <w:r/>
      <w:r>
        <w:rPr>
          <w:b/>
        </w:rPr>
        <w:t>Direct operations employment:</w:t>
      </w:r>
      <w:r>
        <w:t xml:space="preserve"> 82 permanent operations staff </w:t>
      </w:r>
      <w:r>
        <w:rPr>
          <w:b/>
        </w:rPr>
        <w:t>[CONTRADICTION: Mitigation notes “fewer than 20 people will be employed on‑site during the operational phase”]</w:t>
      </w:r>
      <w:r/>
    </w:p>
    <w:p>
      <w:r>
        <w:t>## Baseline Environmental Conditions (Measured 22 Mar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w:t>
            </w:r>
          </w:p>
        </w:tc>
        <w:tc>
          <w:tcPr>
            <w:tcW w:type="dxa" w:w="2160"/>
          </w:tcPr>
          <w:p>
            <w:r>
              <w:rPr>
                <w:b/>
              </w:rPr>
              <w:t>Relevant Standard / Guideline</w:t>
            </w:r>
          </w:p>
        </w:tc>
        <w:tc>
          <w:tcPr>
            <w:tcW w:type="dxa" w:w="2160"/>
          </w:tcPr>
          <w:p>
            <w:r>
              <w:rPr>
                <w:b/>
              </w:rPr>
              <w:t>Compliance</w:t>
            </w:r>
          </w:p>
        </w:tc>
      </w:tr>
      <w:tr>
        <w:tc>
          <w:tcPr>
            <w:tcW w:type="dxa" w:w="2160"/>
          </w:tcPr>
          <w:p>
            <w:r/>
            <w:r>
              <w:rPr>
                <w:b/>
              </w:rPr>
              <w:t>Air Quality – PM2.5</w:t>
            </w:r>
            <w:r/>
          </w:p>
        </w:tc>
        <w:tc>
          <w:tcPr>
            <w:tcW w:type="dxa" w:w="2160"/>
          </w:tcPr>
          <w:p>
            <w:r>
              <w:t>11 µg/m³</w:t>
            </w:r>
          </w:p>
        </w:tc>
        <w:tc>
          <w:tcPr>
            <w:tcW w:type="dxa" w:w="2160"/>
          </w:tcPr>
          <w:p>
            <w:r>
              <w:t>WHO 2021 guideline 5 µg/m³ (annual)</w:t>
            </w:r>
          </w:p>
        </w:tc>
        <w:tc>
          <w:tcPr>
            <w:tcW w:type="dxa" w:w="2160"/>
          </w:tcPr>
          <w:p>
            <w:r/>
            <w:r>
              <w:rPr>
                <w:b/>
              </w:rPr>
              <w:t>Exceeds</w:t>
            </w:r>
            <w:r/>
          </w:p>
        </w:tc>
      </w:tr>
      <w:tr>
        <w:tc>
          <w:tcPr>
            <w:tcW w:type="dxa" w:w="2160"/>
          </w:tcPr>
          <w:p>
            <w:r/>
            <w:r>
              <w:rPr>
                <w:b/>
              </w:rPr>
              <w:t>Air Quality – PM10</w:t>
            </w:r>
            <w:r/>
          </w:p>
        </w:tc>
        <w:tc>
          <w:tcPr>
            <w:tcW w:type="dxa" w:w="2160"/>
          </w:tcPr>
          <w:p>
            <w:r>
              <w:t>24 µg/m³</w:t>
            </w:r>
          </w:p>
        </w:tc>
        <w:tc>
          <w:tcPr>
            <w:tcW w:type="dxa" w:w="2160"/>
          </w:tcPr>
          <w:p>
            <w:r>
              <w:t>WHO 2021 guideline 15 µg/m³ (annual)</w:t>
            </w:r>
          </w:p>
        </w:tc>
        <w:tc>
          <w:tcPr>
            <w:tcW w:type="dxa" w:w="2160"/>
          </w:tcPr>
          <w:p>
            <w:r/>
            <w:r>
              <w:rPr>
                <w:b/>
              </w:rPr>
              <w:t>Exceeds</w:t>
            </w:r>
            <w:r/>
          </w:p>
        </w:tc>
      </w:tr>
      <w:tr>
        <w:tc>
          <w:tcPr>
            <w:tcW w:type="dxa" w:w="2160"/>
          </w:tcPr>
          <w:p>
            <w:r/>
            <w:r>
              <w:rPr>
                <w:b/>
              </w:rPr>
              <w:t>Noise</w:t>
            </w:r>
            <w:r/>
          </w:p>
        </w:tc>
        <w:tc>
          <w:tcPr>
            <w:tcW w:type="dxa" w:w="2160"/>
          </w:tcPr>
          <w:p>
            <w:r>
              <w:t>41 dBA</w:t>
            </w:r>
          </w:p>
        </w:tc>
        <w:tc>
          <w:tcPr>
            <w:tcW w:type="dxa" w:w="2160"/>
          </w:tcPr>
          <w:p>
            <w:r>
              <w:t>NEMA Noise Guideline for rural areas ≤55 dBA (day)</w:t>
            </w:r>
          </w:p>
        </w:tc>
        <w:tc>
          <w:tcPr>
            <w:tcW w:type="dxa" w:w="2160"/>
          </w:tcPr>
          <w:p>
            <w:r>
              <w:t>Within limits</w:t>
            </w:r>
          </w:p>
        </w:tc>
      </w:tr>
      <w:tr>
        <w:tc>
          <w:tcPr>
            <w:tcW w:type="dxa" w:w="2160"/>
          </w:tcPr>
          <w:p>
            <w:r/>
            <w:r>
              <w:rPr>
                <w:b/>
              </w:rPr>
              <w:t>Groundwater depth</w:t>
            </w:r>
            <w:r/>
          </w:p>
        </w:tc>
        <w:tc>
          <w:tcPr>
            <w:tcW w:type="dxa" w:w="2160"/>
          </w:tcPr>
          <w:p>
            <w:r>
              <w:t>58 m</w:t>
            </w:r>
          </w:p>
        </w:tc>
        <w:tc>
          <w:tcPr>
            <w:tcW w:type="dxa" w:w="2160"/>
          </w:tcPr>
          <w:p>
            <w:r>
              <w:t>Water Act 2016 – abstraction limits based on sustainable yield</w:t>
            </w:r>
          </w:p>
        </w:tc>
        <w:tc>
          <w:tcPr>
            <w:tcW w:type="dxa" w:w="2160"/>
          </w:tcPr>
          <w:p>
            <w:r>
              <w:t xml:space="preserve">Not quantified – </w:t>
            </w:r>
            <w:r>
              <w:rPr>
                <w:b/>
              </w:rPr>
              <w:t>[MISSING: Sustainable yield data]</w:t>
            </w:r>
            <w:r/>
          </w:p>
        </w:tc>
      </w:tr>
      <w:tr>
        <w:tc>
          <w:tcPr>
            <w:tcW w:type="dxa" w:w="2160"/>
          </w:tcPr>
          <w:p>
            <w:r/>
            <w:r>
              <w:rPr>
                <w:b/>
              </w:rPr>
              <w:t>Land use</w:t>
            </w:r>
            <w:r/>
          </w:p>
        </w:tc>
        <w:tc>
          <w:tcPr>
            <w:tcW w:type="dxa" w:w="2160"/>
          </w:tcPr>
          <w:p>
            <w:r>
              <w:t>Grazing land / open grassland</w:t>
            </w:r>
          </w:p>
        </w:tc>
        <w:tc>
          <w:tcPr>
            <w:tcW w:type="dxa" w:w="2160"/>
          </w:tcPr>
          <w:p>
            <w:r>
              <w:t>NEMA Land Use Policy</w:t>
            </w:r>
          </w:p>
        </w:tc>
        <w:tc>
          <w:tcPr>
            <w:tcW w:type="dxa" w:w="2160"/>
          </w:tcPr>
          <w:p>
            <w:r>
              <w:t>No conflict identified</w:t>
            </w:r>
          </w:p>
        </w:tc>
      </w:tr>
      <w:tr>
        <w:tc>
          <w:tcPr>
            <w:tcW w:type="dxa" w:w="2160"/>
          </w:tcPr>
          <w:p>
            <w:r/>
            <w:r>
              <w:rPr>
                <w:b/>
              </w:rPr>
              <w:t>Receptors within 1 km</w:t>
            </w:r>
            <w:r/>
          </w:p>
        </w:tc>
        <w:tc>
          <w:tcPr>
            <w:tcW w:type="dxa" w:w="2160"/>
          </w:tcPr>
          <w:p>
            <w:r>
              <w:t>• Ndeiya Primary School (620 m E)  • Ndeiya PCEA Church (780 m SE)  • Ewaso Kedong Seasonal Stream (410 m S)  • Ndeiya Community Borehole (550 m N)  • Scattered homesteads (200 m W)</w:t>
            </w:r>
          </w:p>
        </w:tc>
        <w:tc>
          <w:tcPr>
            <w:tcW w:type="dxa" w:w="2160"/>
          </w:tcPr>
          <w:p>
            <w:r>
              <w:t>–</w:t>
            </w:r>
          </w:p>
        </w:tc>
        <w:tc>
          <w:tcPr>
            <w:tcW w:type="dxa" w:w="2160"/>
          </w:tcPr>
          <w:p>
            <w:r>
              <w:t>–</w:t>
            </w:r>
          </w:p>
        </w:tc>
      </w:tr>
    </w:tbl>
    <w:p>
      <w:r>
        <w:t>## Potential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Potential Impact</w:t>
            </w:r>
          </w:p>
        </w:tc>
        <w:tc>
          <w:tcPr>
            <w:tcW w:type="dxa" w:w="2160"/>
          </w:tcPr>
          <w:p>
            <w:r>
              <w:rPr>
                <w:b/>
              </w:rPr>
              <w:t>Significance (Pre‑mitigation)</w:t>
            </w:r>
          </w:p>
        </w:tc>
        <w:tc>
          <w:tcPr>
            <w:tcW w:type="dxa" w:w="2160"/>
          </w:tcPr>
          <w:p>
            <w:r>
              <w:rPr>
                <w:b/>
              </w:rPr>
              <w:t>Key Receptors</w:t>
            </w:r>
          </w:p>
        </w:tc>
      </w:tr>
      <w:tr>
        <w:tc>
          <w:tcPr>
            <w:tcW w:type="dxa" w:w="2160"/>
          </w:tcPr>
          <w:p>
            <w:r/>
            <w:r>
              <w:rPr>
                <w:b/>
              </w:rPr>
              <w:t>Construction (11 months)</w:t>
            </w:r>
            <w:r/>
          </w:p>
        </w:tc>
        <w:tc>
          <w:tcPr>
            <w:tcW w:type="dxa" w:w="2160"/>
          </w:tcPr>
          <w:p>
            <w:r>
              <w:t>Soil disturbance, dust, noise, traffic, temporary loss of grazing access</w:t>
            </w:r>
          </w:p>
        </w:tc>
        <w:tc>
          <w:tcPr>
            <w:tcW w:type="dxa" w:w="2160"/>
          </w:tcPr>
          <w:p>
            <w:r>
              <w:t>Moderate (dust &amp; noise)</w:t>
            </w:r>
          </w:p>
        </w:tc>
        <w:tc>
          <w:tcPr>
            <w:tcW w:type="dxa" w:w="2160"/>
          </w:tcPr>
          <w:p>
            <w:r>
              <w:t>Homesteads, school, church, grazing‑rights holders</w:t>
            </w:r>
          </w:p>
        </w:tc>
      </w:tr>
      <w:tr>
        <w:tc>
          <w:tcPr>
            <w:tcW w:type="dxa" w:w="2160"/>
          </w:tcPr>
          <w:p>
            <w:r/>
            <w:r>
              <w:rPr>
                <w:b/>
              </w:rPr>
              <w:t>Operation (25 years)</w:t>
            </w:r>
            <w:r/>
          </w:p>
        </w:tc>
        <w:tc>
          <w:tcPr>
            <w:tcW w:type="dxa" w:w="2160"/>
          </w:tcPr>
          <w:p>
            <w:r>
              <w:t>Visual impact, glare, land‑use change, occasional noise from O&amp;M activities, water abstraction for cleaning</w:t>
            </w:r>
          </w:p>
        </w:tc>
        <w:tc>
          <w:tcPr>
            <w:tcW w:type="dxa" w:w="2160"/>
          </w:tcPr>
          <w:p>
            <w:r>
              <w:t>Low to Moderate (glare, land‑use)</w:t>
            </w:r>
          </w:p>
        </w:tc>
        <w:tc>
          <w:tcPr>
            <w:tcW w:type="dxa" w:w="2160"/>
          </w:tcPr>
          <w:p>
            <w:r>
              <w:t>Homesteads, school, church, community borehole, stream</w:t>
            </w:r>
          </w:p>
        </w:tc>
      </w:tr>
    </w:tbl>
    <w:p>
      <w:r>
        <w:t>## Mitigation Measures (Integrated into the ESMP)</w:t>
      </w:r>
    </w:p>
    <w:p>
      <w:pPr>
        <w:pStyle w:val="ListNumber"/>
      </w:pPr>
      <w:r/>
      <w:r>
        <w:rPr>
          <w:b/>
        </w:rPr>
        <w:t>Loss of grazing land access</w:t>
      </w:r>
      <w:r>
        <w:t xml:space="preserve"> – Perimeter fencing will be set back to retain a </w:t>
      </w:r>
      <w:r>
        <w:rPr>
          <w:b/>
        </w:rPr>
        <w:t>grazing corridor</w:t>
      </w:r>
      <w:r>
        <w:t>; compensation will be paid to grazing‑rights holders at Valuer‑General rates.</w:t>
      </w:r>
    </w:p>
    <w:p>
      <w:pPr>
        <w:pStyle w:val="ListNumber"/>
      </w:pPr>
      <w:r/>
      <w:r>
        <w:rPr>
          <w:b/>
        </w:rPr>
        <w:t>Employment expectations</w:t>
      </w:r>
      <w:r>
        <w:t xml:space="preserve"> – Community was informed that </w:t>
      </w:r>
      <w:r>
        <w:rPr>
          <w:b/>
        </w:rPr>
        <w:t>fewer than 20</w:t>
      </w:r>
      <w:r>
        <w:t xml:space="preserve"> persons will be employed on‑site during operation; a local procurement policy will be implemented to maximise indirect job creation.</w:t>
      </w:r>
    </w:p>
    <w:p>
      <w:pPr>
        <w:pStyle w:val="ListNumber"/>
      </w:pPr>
      <w:r/>
      <w:r>
        <w:rPr>
          <w:b/>
        </w:rPr>
        <w:t>Glare</w:t>
      </w:r>
      <w:r>
        <w:t xml:space="preserve"> – Panels will be fitted with </w:t>
      </w:r>
      <w:r>
        <w:rPr>
          <w:b/>
        </w:rPr>
        <w:t>anti‑reflective coating</w:t>
      </w:r>
      <w:r>
        <w:t xml:space="preserve"> and rows oriented to minimise azimuthal glare toward nearby homesteads.</w:t>
      </w:r>
    </w:p>
    <w:p>
      <w:pPr>
        <w:pStyle w:val="ListNumber"/>
      </w:pPr>
      <w:r/>
      <w:r>
        <w:rPr>
          <w:b/>
        </w:rPr>
        <w:t>Dust &amp; Noise</w:t>
      </w:r>
      <w:r>
        <w:t xml:space="preserve"> – Water‑spraying of haul roads, dust suppressants, and equipment with noise‑abatement fittings; construction activities limited to 07:00–18:00.</w:t>
      </w:r>
    </w:p>
    <w:p>
      <w:pPr>
        <w:pStyle w:val="ListNumber"/>
      </w:pPr>
      <w:r/>
      <w:r>
        <w:rPr>
          <w:b/>
        </w:rPr>
        <w:t>Water Use</w:t>
      </w:r>
      <w:r>
        <w:t xml:space="preserve"> – Water for panel cleaning will be sourced from the </w:t>
      </w:r>
      <w:r>
        <w:rPr>
          <w:b/>
        </w:rPr>
        <w:t>Ndeiya Community Borehole</w:t>
      </w:r>
      <w:r>
        <w:t xml:space="preserve"> with a </w:t>
      </w:r>
      <w:r>
        <w:rPr>
          <w:b/>
        </w:rPr>
        <w:t>maximum abstraction of 5 m³/day</w:t>
      </w:r>
      <w:r>
        <w:t xml:space="preserve"> (subject to Water Act 2016 sustainable yield assessment). </w:t>
      </w:r>
      <w:r>
        <w:rPr>
          <w:b/>
        </w:rPr>
        <w:t>[MISSING: Sustainable yield data]</w:t>
      </w:r>
      <w:r/>
    </w:p>
    <w:p>
      <w:pPr>
        <w:pStyle w:val="ListNumber"/>
      </w:pPr>
      <w:r/>
      <w:r>
        <w:rPr>
          <w:b/>
        </w:rPr>
        <w:t>Biodiversity</w:t>
      </w:r>
      <w:r>
        <w:t xml:space="preserve"> – Avian survey (see </w:t>
      </w:r>
      <w:r>
        <w:rPr>
          <w:i/>
        </w:rPr>
        <w:t>biodiversity_avian_survey_ndeiya.pdf</w:t>
      </w:r>
      <w:r>
        <w:t>) indicates no protected species; any incidental bird mortality will be recorded and reported.</w:t>
      </w:r>
    </w:p>
    <w:p>
      <w:r>
        <w:t xml:space="preserve">All mitigation actions are incorporated in the </w:t>
      </w:r>
      <w:r>
        <w:rPr>
          <w:b/>
        </w:rPr>
        <w:t>Environmental and Social Management Plan (ESMP)</w:t>
      </w:r>
      <w:r>
        <w:t xml:space="preserve"> and will be monitored by the appointed </w:t>
      </w:r>
      <w:r>
        <w:rPr>
          <w:b/>
        </w:rPr>
        <w:t>GRM Committee</w:t>
      </w:r>
      <w:r>
        <w:t>.</w:t>
      </w:r>
    </w:p>
    <w:p>
      <w:r>
        <w:t>## Stakeholder Engagement</w:t>
      </w:r>
    </w:p>
    <w:p>
      <w:pPr>
        <w:pStyle w:val="ListBullet"/>
      </w:pPr>
      <w:r/>
      <w:r>
        <w:rPr>
          <w:b/>
        </w:rPr>
        <w:t>Public notice</w:t>
      </w:r>
      <w:r>
        <w:t xml:space="preserve"> published in </w:t>
      </w:r>
      <w:r>
        <w:rPr>
          <w:i/>
        </w:rPr>
        <w:t>The Standard</w:t>
      </w:r>
      <w:r>
        <w:t xml:space="preserve"> on </w:t>
      </w:r>
      <w:r>
        <w:rPr>
          <w:b/>
        </w:rPr>
        <w:t>14 July 2026</w:t>
      </w:r>
      <w:r>
        <w:t xml:space="preserve"> (21‑day notice).</w:t>
      </w:r>
    </w:p>
    <w:p>
      <w:pPr>
        <w:pStyle w:val="ListBullet"/>
      </w:pPr>
      <w:r/>
      <w:r>
        <w:rPr>
          <w:b/>
        </w:rPr>
        <w:t>Baraza</w:t>
      </w:r>
      <w:r>
        <w:t xml:space="preserve"> held on </w:t>
      </w:r>
      <w:r>
        <w:rPr>
          <w:b/>
        </w:rPr>
        <w:t>6 August 2026</w:t>
      </w:r>
      <w:r>
        <w:t xml:space="preserve"> at Ndeiya Chief’s Camp; </w:t>
      </w:r>
      <w:r>
        <w:rPr>
          <w:b/>
        </w:rPr>
        <w:t>94</w:t>
      </w:r>
      <w:r>
        <w:t xml:space="preserve"> participants attended, including </w:t>
      </w:r>
      <w:r>
        <w:rPr>
          <w:b/>
        </w:rPr>
        <w:t>vulnerable grazing‑rights holders</w:t>
      </w:r>
      <w:r>
        <w:t>.</w:t>
      </w:r>
    </w:p>
    <w:p>
      <w:pPr>
        <w:pStyle w:val="ListBullet"/>
      </w:pPr>
      <w:r/>
      <w:r>
        <w:rPr>
          <w:b/>
        </w:rPr>
        <w:t>GRM</w:t>
      </w:r>
      <w:r>
        <w:t xml:space="preserve"> (Grievance Redress Mechanism) established; a committee comprising community elders, local NGOs, and Sunbelt representatives will receive and resolve grievances within </w:t>
      </w:r>
      <w:r>
        <w:rPr>
          <w:b/>
        </w:rPr>
        <w:t>30 days</w:t>
      </w:r>
      <w:r>
        <w:t>.</w:t>
      </w:r>
    </w:p>
    <w:p>
      <w:r>
        <w:t>Key concerns raised and addressed:</w:t>
      </w:r>
    </w:p>
    <w:tbl>
      <w:tblPr>
        <w:tblStyle w:val="TableGrid"/>
        <w:tblW w:type="auto" w:w="0"/>
        <w:tblLook w:firstColumn="1" w:firstRow="1" w:lastColumn="0" w:lastRow="0" w:noHBand="0" w:noVBand="1" w:val="04A0"/>
      </w:tblPr>
      <w:tblGrid>
        <w:gridCol w:w="4320"/>
        <w:gridCol w:w="4320"/>
      </w:tblGrid>
      <w:tr>
        <w:tc>
          <w:tcPr>
            <w:tcW w:type="dxa" w:w="4320"/>
          </w:tcPr>
          <w:p>
            <w:r>
              <w:rPr>
                <w:b/>
              </w:rPr>
              <w:t>Concern</w:t>
            </w:r>
          </w:p>
        </w:tc>
        <w:tc>
          <w:tcPr>
            <w:tcW w:type="dxa" w:w="4320"/>
          </w:tcPr>
          <w:p>
            <w:r>
              <w:rPr>
                <w:b/>
              </w:rPr>
              <w:t>Response / Mitigation</w:t>
            </w:r>
          </w:p>
        </w:tc>
      </w:tr>
      <w:tr>
        <w:tc>
          <w:tcPr>
            <w:tcW w:type="dxa" w:w="4320"/>
          </w:tcPr>
          <w:p>
            <w:r>
              <w:t>Loss of grazing access</w:t>
            </w:r>
          </w:p>
        </w:tc>
        <w:tc>
          <w:tcPr>
            <w:tcW w:type="dxa" w:w="4320"/>
          </w:tcPr>
          <w:p>
            <w:r>
              <w:t>Creation of grazing corridor; compensation as above</w:t>
            </w:r>
          </w:p>
        </w:tc>
      </w:tr>
      <w:tr>
        <w:tc>
          <w:tcPr>
            <w:tcW w:type="dxa" w:w="4320"/>
          </w:tcPr>
          <w:p>
            <w:r>
              <w:t>Limited on‑site jobs</w:t>
            </w:r>
          </w:p>
        </w:tc>
        <w:tc>
          <w:tcPr>
            <w:tcW w:type="dxa" w:w="4320"/>
          </w:tcPr>
          <w:p>
            <w:r>
              <w:t>Clarified realistic staffing levels; emphasis on indirect employment through local services</w:t>
            </w:r>
          </w:p>
        </w:tc>
      </w:tr>
      <w:tr>
        <w:tc>
          <w:tcPr>
            <w:tcW w:type="dxa" w:w="4320"/>
          </w:tcPr>
          <w:p>
            <w:r>
              <w:t>Glare on homes</w:t>
            </w:r>
          </w:p>
        </w:tc>
        <w:tc>
          <w:tcPr>
            <w:tcW w:type="dxa" w:w="4320"/>
          </w:tcPr>
          <w:p>
            <w:r>
              <w:t>Anti‑reflective coating and panel orientation (see above)</w:t>
            </w:r>
          </w:p>
        </w:tc>
      </w:tr>
    </w:tbl>
    <w:p>
      <w:r>
        <w:t>## Schedule &amp; Financial Summary</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Date</w:t>
            </w:r>
          </w:p>
        </w:tc>
      </w:tr>
      <w:tr>
        <w:tc>
          <w:tcPr>
            <w:tcW w:type="dxa" w:w="4320"/>
          </w:tcPr>
          <w:p>
            <w:r>
              <w:t>Project approval (pre‑approval submission)</w:t>
            </w:r>
          </w:p>
        </w:tc>
        <w:tc>
          <w:tcPr>
            <w:tcW w:type="dxa" w:w="4320"/>
          </w:tcPr>
          <w:p>
            <w:r>
              <w:t>–</w:t>
            </w:r>
          </w:p>
        </w:tc>
      </w:tr>
      <w:tr>
        <w:tc>
          <w:tcPr>
            <w:tcW w:type="dxa" w:w="4320"/>
          </w:tcPr>
          <w:p>
            <w:r>
              <w:t>Construction start</w:t>
            </w:r>
          </w:p>
        </w:tc>
        <w:tc>
          <w:tcPr>
            <w:tcW w:type="dxa" w:w="4320"/>
          </w:tcPr>
          <w:p>
            <w:r>
              <w:t>01 Jun 2027</w:t>
            </w:r>
          </w:p>
        </w:tc>
      </w:tr>
      <w:tr>
        <w:tc>
          <w:tcPr>
            <w:tcW w:type="dxa" w:w="4320"/>
          </w:tcPr>
          <w:p>
            <w:r>
              <w:t>Commissioning of Phase 1 (15 MW)</w:t>
            </w:r>
          </w:p>
        </w:tc>
        <w:tc>
          <w:tcPr>
            <w:tcW w:type="dxa" w:w="4320"/>
          </w:tcPr>
          <w:p>
            <w:r>
              <w:t>~ May 2028</w:t>
            </w:r>
          </w:p>
        </w:tc>
      </w:tr>
      <w:tr>
        <w:tc>
          <w:tcPr>
            <w:tcW w:type="dxa" w:w="4320"/>
          </w:tcPr>
          <w:p>
            <w:r>
              <w:t>Full commercial operation (45 MW)</w:t>
            </w:r>
          </w:p>
        </w:tc>
        <w:tc>
          <w:tcPr>
            <w:tcW w:type="dxa" w:w="4320"/>
          </w:tcPr>
          <w:p>
            <w:r>
              <w:t>~ Apr 2029</w:t>
            </w:r>
          </w:p>
        </w:tc>
      </w:tr>
      <w:tr>
        <w:tc>
          <w:tcPr>
            <w:tcW w:type="dxa" w:w="4320"/>
          </w:tcPr>
          <w:p>
            <w:r>
              <w:t>End of design life</w:t>
            </w:r>
          </w:p>
        </w:tc>
        <w:tc>
          <w:tcPr>
            <w:tcW w:type="dxa" w:w="4320"/>
          </w:tcPr>
          <w:p>
            <w:r>
              <w:t>~ Jun 2054</w:t>
            </w:r>
          </w:p>
        </w:tc>
      </w:tr>
    </w:tbl>
    <w:p>
      <w:r>
        <w:t xml:space="preserve">Total capital cost: </w:t>
      </w:r>
      <w:r>
        <w:rPr>
          <w:b/>
        </w:rPr>
        <w:t>KES 2.94 billion</w:t>
      </w:r>
      <w:r>
        <w:t xml:space="preserve">. Funding is expected from a mix of </w:t>
      </w:r>
      <w:r>
        <w:rPr>
          <w:b/>
        </w:rPr>
        <w:t>equity (Sunbelt Energy Kenya Ltd.)</w:t>
      </w:r>
      <w:r>
        <w:t xml:space="preserve"> and </w:t>
      </w:r>
      <w:r>
        <w:rPr>
          <w:b/>
        </w:rPr>
        <w:t>debt financing</w:t>
      </w:r>
      <w:r>
        <w:t xml:space="preserve"> from local banks. No </w:t>
      </w:r>
      <w:r>
        <w:rPr>
          <w:b/>
        </w:rPr>
        <w:t>CSR</w:t>
      </w:r>
      <w:r>
        <w:t xml:space="preserve"> commitments have been detailed in the submitted documentation. </w:t>
      </w:r>
      <w:r>
        <w:rPr>
          <w:b/>
        </w:rPr>
        <w:t>[MISSING: CSR details]</w:t>
      </w:r>
      <w:r/>
    </w:p>
    <w:p>
      <w:r>
        <w:t>## Conclusions</w:t>
      </w:r>
    </w:p>
    <w:p>
      <w:r>
        <w:t>The Ndeiya Solar Power Plant offers a significant contribution to Kenya’s renewable energy targets and aligns with national climate mitigation objectives. Baseline air quality exceeds WHO guidelines, indicating a need for robust dust control during construction. The identified contradictions—</w:t>
      </w:r>
      <w:r>
        <w:rPr>
          <w:b/>
        </w:rPr>
        <w:t>plant capacity vs. phase capacity, site area vs. panel footprint, and employment figures</w:t>
      </w:r>
      <w:r>
        <w:t xml:space="preserve">—must be resolved before final design approval. Provided that the mitigation measures outlined in the ESMP are fully implemented and monitored, the project is expected to have </w:t>
      </w:r>
      <w:r>
        <w:rPr>
          <w:b/>
        </w:rPr>
        <w:t>low to moderate</w:t>
      </w:r>
      <w:r>
        <w:t xml:space="preserve"> residual environmental and social impacts and to be </w:t>
      </w:r>
      <w:r>
        <w:rPr>
          <w:b/>
        </w:rPr>
        <w:t>environmentally acceptable</w:t>
      </w:r>
      <w:r>
        <w:t xml:space="preserve"> under NEMA’s regulatory framework.</w:t>
      </w:r>
    </w:p>
    <w:p>
      <w:r>
        <w:br w:type="page"/>
      </w:r>
    </w:p>
    <w:p>
      <w:pPr>
        <w:pStyle w:val="Heading1"/>
      </w:pPr>
      <w:r>
        <w:t>Chapter 1: Introduction</w:t>
      </w:r>
    </w:p>
    <w:p>
      <w:r>
        <w:t>## 1.1 Project Background</w:t>
      </w:r>
    </w:p>
    <w:p>
      <w:r>
        <w:t xml:space="preserve">Sunbelt Energy Kenya Ltd. proposes the development of the </w:t>
      </w:r>
      <w:r>
        <w:rPr>
          <w:b/>
        </w:rPr>
        <w:t>Ndeiya Solar Power Plant</w:t>
      </w:r>
      <w:r>
        <w:t xml:space="preserve"> (Project PIN: P061738204M) in Ndeiya Ward, Limuru, Kiambu County (coordinates ‑1.0291, 36.6847). The project is classified under </w:t>
      </w:r>
      <w:r>
        <w:rPr>
          <w:b/>
        </w:rPr>
        <w:t>Category: Energy – Solar Power Generation (High Risk – Second Schedule)</w:t>
      </w:r>
      <w:r>
        <w:t xml:space="preserve"> and is intended to contribute 45 MW of renewable electricity to the national grid, supporting Kenya’s Vision 2030 targets for clean energy and climate mitigation.</w:t>
      </w:r>
    </w:p>
    <w:p>
      <w:r>
        <w:t xml:space="preserve">The plant will be sited on </w:t>
      </w:r>
      <w:r>
        <w:rPr>
          <w:b/>
        </w:rPr>
        <w:t>38.6 hectares</w:t>
      </w:r>
      <w:r>
        <w:t xml:space="preserve"> of leasehold land (LR No. 9902/14, 25‑year lease) currently used for grazing and open grassland. Construction is scheduled to commence on </w:t>
      </w:r>
      <w:r>
        <w:rPr>
          <w:b/>
        </w:rPr>
        <w:t>1 June 2027</w:t>
      </w:r>
      <w:r>
        <w:t xml:space="preserve"> and is expected to last </w:t>
      </w:r>
      <w:r>
        <w:rPr>
          <w:b/>
        </w:rPr>
        <w:t>11 months</w:t>
      </w:r>
      <w:r>
        <w:t xml:space="preserve">, with an operational lifespan of </w:t>
      </w:r>
      <w:r>
        <w:rPr>
          <w:b/>
        </w:rPr>
        <w:t>25 years</w:t>
      </w:r>
      <w:r>
        <w:t xml:space="preserve">. The total capital cost is estimated at </w:t>
      </w:r>
      <w:r>
        <w:rPr>
          <w:b/>
        </w:rPr>
        <w:t>KES 2,940,000,000</w:t>
      </w:r>
      <w:r>
        <w:t>.</w:t>
      </w:r>
    </w:p>
    <w:p>
      <w:r>
        <w:t>## 1.2 Engineering Description</w:t>
      </w:r>
    </w:p>
    <w:p>
      <w:pPr>
        <w:pStyle w:val="ListBullet"/>
      </w:pPr>
      <w:r/>
      <w:r>
        <w:rPr>
          <w:b/>
        </w:rPr>
        <w:t>Installed Capacity:</w:t>
      </w:r>
      <w:r>
        <w:t xml:space="preserve"> 45 MW (four identical phases, each rated at 15 MW)</w:t>
      </w:r>
    </w:p>
    <w:p>
      <w:pPr>
        <w:pStyle w:val="ListBullet"/>
      </w:pPr>
      <w:r/>
      <w:r>
        <w:rPr>
          <w:b/>
        </w:rPr>
        <w:t>Phase Commissioning:</w:t>
      </w:r>
      <w:r>
        <w:t xml:space="preserve"> Sequential, one phase at a time</w:t>
      </w:r>
    </w:p>
    <w:p>
      <w:pPr>
        <w:pStyle w:val="ListBullet"/>
      </w:pPr>
      <w:r/>
      <w:r>
        <w:rPr>
          <w:b/>
        </w:rPr>
        <w:t>Panel Array Footprint:</w:t>
      </w:r>
      <w:r>
        <w:t xml:space="preserve"> 52 hectares</w:t>
      </w:r>
    </w:p>
    <w:p>
      <w:pPr>
        <w:pStyle w:val="ListBullet"/>
      </w:pPr>
      <w:r/>
      <w:r>
        <w:rPr>
          <w:b/>
        </w:rPr>
        <w:t>Direct Operations Employment:</w:t>
      </w:r>
      <w:r>
        <w:t xml:space="preserve"> 82 permanent operations staff</w:t>
      </w:r>
    </w:p>
    <w:p>
      <w:r/>
      <w:r>
        <w:rPr>
          <w:b/>
        </w:rPr>
        <w:t>[CONTRADICTION: Plant capacity is 45 MW but four phases of 15 MW each sum to 60 MW]</w:t>
      </w:r>
      <w:r/>
    </w:p>
    <w:p>
      <w:r/>
      <w:r>
        <w:rPr>
          <w:b/>
        </w:rPr>
        <w:t>[CONTRADICTION: Panel array footprint is 52 ha but total site area is 38.6 ha]</w:t>
      </w:r>
      <w:r/>
    </w:p>
    <w:p>
      <w:r>
        <w:t>## 1.3 Project Objectives</w:t>
      </w:r>
    </w:p>
    <w:p>
      <w:pPr>
        <w:pStyle w:val="ListNumber"/>
      </w:pPr>
      <w:r>
        <w:t>Generate clean, renewable electricity to reduce reliance on fossil fuels.</w:t>
      </w:r>
    </w:p>
    <w:p>
      <w:pPr>
        <w:pStyle w:val="ListNumber"/>
      </w:pPr>
      <w:r>
        <w:t>Provide ancillary socio‑economic benefits through local procurement, community development, and limited employment opportunities.</w:t>
      </w:r>
    </w:p>
    <w:p>
      <w:pPr>
        <w:pStyle w:val="ListNumber"/>
      </w:pPr>
      <w:r>
        <w:t>Ensure compliance with Kenyan environmental legislation and international best practice (World Bank Environmental and Social Framework – ESF).</w:t>
      </w:r>
    </w:p>
    <w:p>
      <w:r>
        <w:t>## 1.4 Regulatory and Legal Framework</w:t>
      </w:r>
    </w:p>
    <w:p>
      <w:r>
        <w:t>The ESIA is prepared in accordance with:</w:t>
      </w:r>
    </w:p>
    <w:p>
      <w:pPr>
        <w:pStyle w:val="ListBullet"/>
      </w:pPr>
      <w:r/>
      <w:r>
        <w:rPr>
          <w:b/>
        </w:rPr>
        <w:t>Environmental Management and Coordination Act (EMCA) 1999</w:t>
      </w:r>
      <w:r>
        <w:t xml:space="preserve"> and its regulations.</w:t>
      </w:r>
    </w:p>
    <w:p>
      <w:pPr>
        <w:pStyle w:val="ListBullet"/>
      </w:pPr>
      <w:r/>
      <w:r>
        <w:rPr>
          <w:b/>
        </w:rPr>
        <w:t>Water Act 2016</w:t>
      </w:r>
      <w:r>
        <w:t xml:space="preserve"> – for any water abstraction or discharge.</w:t>
      </w:r>
    </w:p>
    <w:p>
      <w:pPr>
        <w:pStyle w:val="ListBullet"/>
      </w:pPr>
      <w:r/>
      <w:r>
        <w:rPr>
          <w:b/>
        </w:rPr>
        <w:t>National Environment Management Authority (NEMA) Guidelines</w:t>
      </w:r>
      <w:r>
        <w:t xml:space="preserve"> for high‑risk projects.</w:t>
      </w:r>
    </w:p>
    <w:p>
      <w:pPr>
        <w:pStyle w:val="ListBullet"/>
      </w:pPr>
      <w:r/>
      <w:r>
        <w:rPr>
          <w:b/>
        </w:rPr>
        <w:t>World Bank Environmental and Social Framework (ESF)</w:t>
      </w:r>
      <w:r>
        <w:t xml:space="preserve"> – as a benchmark for mitigation and monitoring.</w:t>
      </w:r>
    </w:p>
    <w:p>
      <w:pPr>
        <w:pStyle w:val="ListBullet"/>
      </w:pPr>
      <w:r/>
      <w:r>
        <w:rPr>
          <w:b/>
        </w:rPr>
        <w:t>World Health Organization (WHO) Air Quality Guidelines</w:t>
      </w:r>
      <w:r>
        <w:t xml:space="preserve"> – PM2.5 annual guideline 5 µg/m³; PM10 annual guideline 15 µg/m³.</w:t>
      </w:r>
    </w:p>
    <w:p>
      <w:r>
        <w:t>## 1.5 Baseline Environmental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w:t>
            </w:r>
          </w:p>
        </w:tc>
        <w:tc>
          <w:tcPr>
            <w:tcW w:type="dxa" w:w="2160"/>
          </w:tcPr>
          <w:p>
            <w:r>
              <w:rPr>
                <w:b/>
              </w:rPr>
              <w:t>Guideline/Standard</w:t>
            </w:r>
          </w:p>
        </w:tc>
        <w:tc>
          <w:tcPr>
            <w:tcW w:type="dxa" w:w="2160"/>
          </w:tcPr>
          <w:p>
            <w:r>
              <w:rPr>
                <w:b/>
              </w:rPr>
              <w:t>Compliance</w:t>
            </w:r>
          </w:p>
        </w:tc>
      </w:tr>
      <w:tr>
        <w:tc>
          <w:tcPr>
            <w:tcW w:type="dxa" w:w="2160"/>
          </w:tcPr>
          <w:p>
            <w:r/>
            <w:r>
              <w:rPr>
                <w:b/>
              </w:rPr>
              <w:t>Air Quality – PM2.5</w:t>
            </w:r>
            <w:r/>
          </w:p>
        </w:tc>
        <w:tc>
          <w:tcPr>
            <w:tcW w:type="dxa" w:w="2160"/>
          </w:tcPr>
          <w:p>
            <w:r>
              <w:t>11 µg/m³</w:t>
            </w:r>
          </w:p>
        </w:tc>
        <w:tc>
          <w:tcPr>
            <w:tcW w:type="dxa" w:w="2160"/>
          </w:tcPr>
          <w:p>
            <w:r>
              <w:t>WHO 5 µg/m³ (annual)</w:t>
            </w:r>
          </w:p>
        </w:tc>
        <w:tc>
          <w:tcPr>
            <w:tcW w:type="dxa" w:w="2160"/>
          </w:tcPr>
          <w:p>
            <w:r/>
            <w:r>
              <w:rPr>
                <w:b/>
              </w:rPr>
              <w:t>EXCEEDS</w:t>
            </w:r>
            <w:r/>
          </w:p>
        </w:tc>
      </w:tr>
      <w:tr>
        <w:tc>
          <w:tcPr>
            <w:tcW w:type="dxa" w:w="2160"/>
          </w:tcPr>
          <w:p>
            <w:r/>
            <w:r>
              <w:rPr>
                <w:b/>
              </w:rPr>
              <w:t>Air Quality – PM10</w:t>
            </w:r>
            <w:r/>
          </w:p>
        </w:tc>
        <w:tc>
          <w:tcPr>
            <w:tcW w:type="dxa" w:w="2160"/>
          </w:tcPr>
          <w:p>
            <w:r>
              <w:t>24 µg/m³</w:t>
            </w:r>
          </w:p>
        </w:tc>
        <w:tc>
          <w:tcPr>
            <w:tcW w:type="dxa" w:w="2160"/>
          </w:tcPr>
          <w:p>
            <w:r>
              <w:t>WHO 15 µg/m³ (annual)</w:t>
            </w:r>
          </w:p>
        </w:tc>
        <w:tc>
          <w:tcPr>
            <w:tcW w:type="dxa" w:w="2160"/>
          </w:tcPr>
          <w:p>
            <w:r/>
            <w:r>
              <w:rPr>
                <w:b/>
              </w:rPr>
              <w:t>EXCEEDS</w:t>
            </w:r>
            <w:r/>
          </w:p>
        </w:tc>
      </w:tr>
      <w:tr>
        <w:tc>
          <w:tcPr>
            <w:tcW w:type="dxa" w:w="2160"/>
          </w:tcPr>
          <w:p>
            <w:r/>
            <w:r>
              <w:rPr>
                <w:b/>
              </w:rPr>
              <w:t>Noise (ambient)</w:t>
            </w:r>
            <w:r/>
          </w:p>
        </w:tc>
        <w:tc>
          <w:tcPr>
            <w:tcW w:type="dxa" w:w="2160"/>
          </w:tcPr>
          <w:p>
            <w:r>
              <w:t>41 dBA</w:t>
            </w:r>
          </w:p>
        </w:tc>
        <w:tc>
          <w:tcPr>
            <w:tcW w:type="dxa" w:w="2160"/>
          </w:tcPr>
          <w:p>
            <w:r>
              <w:t>NEMA residential noise limit 55 dBA (day)</w:t>
            </w:r>
          </w:p>
        </w:tc>
        <w:tc>
          <w:tcPr>
            <w:tcW w:type="dxa" w:w="2160"/>
          </w:tcPr>
          <w:p>
            <w:r>
              <w:t>Within limits</w:t>
            </w:r>
          </w:p>
        </w:tc>
      </w:tr>
      <w:tr>
        <w:tc>
          <w:tcPr>
            <w:tcW w:type="dxa" w:w="2160"/>
          </w:tcPr>
          <w:p>
            <w:r/>
            <w:r>
              <w:rPr>
                <w:b/>
              </w:rPr>
              <w:t>Groundwater Depth</w:t>
            </w:r>
            <w:r/>
          </w:p>
        </w:tc>
        <w:tc>
          <w:tcPr>
            <w:tcW w:type="dxa" w:w="2160"/>
          </w:tcPr>
          <w:p>
            <w:r>
              <w:t>58 m</w:t>
            </w:r>
          </w:p>
        </w:tc>
        <w:tc>
          <w:tcPr>
            <w:tcW w:type="dxa" w:w="2160"/>
          </w:tcPr>
          <w:p>
            <w:r>
              <w:t>No statutory limit; depth &gt;30 m generally considered safe for abstraction</w:t>
            </w:r>
          </w:p>
        </w:tc>
        <w:tc>
          <w:tcPr>
            <w:tcW w:type="dxa" w:w="2160"/>
          </w:tcPr>
          <w:p>
            <w:r>
              <w:t>No issue</w:t>
            </w:r>
          </w:p>
        </w:tc>
      </w:tr>
      <w:tr>
        <w:tc>
          <w:tcPr>
            <w:tcW w:type="dxa" w:w="2160"/>
          </w:tcPr>
          <w:p>
            <w:r/>
            <w:r>
              <w:rPr>
                <w:b/>
              </w:rPr>
              <w:t>Existing Land Use</w:t>
            </w:r>
            <w:r/>
          </w:p>
        </w:tc>
        <w:tc>
          <w:tcPr>
            <w:tcW w:type="dxa" w:w="2160"/>
          </w:tcPr>
          <w:p>
            <w:r>
              <w:t>Grazing land / open grassland</w:t>
            </w:r>
          </w:p>
        </w:tc>
        <w:tc>
          <w:tcPr>
            <w:tcW w:type="dxa" w:w="2160"/>
          </w:tcPr>
          <w:p>
            <w:r>
              <w:t>N/A</w:t>
            </w:r>
          </w:p>
        </w:tc>
        <w:tc>
          <w:tcPr>
            <w:tcW w:type="dxa" w:w="2160"/>
          </w:tcPr>
          <w:p>
            <w:r>
              <w:t>N/A</w:t>
            </w:r>
          </w:p>
        </w:tc>
      </w:tr>
    </w:tbl>
    <w:p>
      <w:r/>
      <w:r>
        <w:rPr>
          <w:b/>
        </w:rPr>
        <w:t>Receptors within 1 km:</w:t>
      </w:r>
      <w:r/>
    </w:p>
    <w:p>
      <w:pPr>
        <w:pStyle w:val="ListBullet"/>
      </w:pPr>
      <w:r>
        <w:t>Ndeiya Primary School (620 m East)</w:t>
      </w:r>
    </w:p>
    <w:p>
      <w:pPr>
        <w:pStyle w:val="ListBullet"/>
      </w:pPr>
      <w:r>
        <w:t>Ndeiya PCEA Church (780 m Southeast)</w:t>
      </w:r>
    </w:p>
    <w:p>
      <w:pPr>
        <w:pStyle w:val="ListBullet"/>
      </w:pPr>
      <w:r>
        <w:t>Ewaso Kedong Seasonal Stream (410 m South)</w:t>
      </w:r>
    </w:p>
    <w:p>
      <w:pPr>
        <w:pStyle w:val="ListBullet"/>
      </w:pPr>
      <w:r>
        <w:t>Ndeiya Community Borehole (550 m North)</w:t>
      </w:r>
    </w:p>
    <w:p>
      <w:pPr>
        <w:pStyle w:val="ListBullet"/>
      </w:pPr>
      <w:r>
        <w:t>Scattered homesteads (200 m West)</w:t>
      </w:r>
    </w:p>
    <w:p>
      <w:r>
        <w:t>## 1.6 Stakeholder Engagement</w:t>
      </w:r>
    </w:p>
    <w:p>
      <w:r>
        <w:t>A comprehensive stakeholder engagement programme was undertaken prior to ESIA preparation: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Date</w:t>
            </w:r>
          </w:p>
        </w:tc>
        <w:tc>
          <w:tcPr>
            <w:tcW w:type="dxa" w:w="2880"/>
          </w:tcPr>
          <w:p>
            <w:r>
              <w:rPr>
                <w:b/>
              </w:rPr>
              <w:t>Details</w:t>
            </w:r>
          </w:p>
        </w:tc>
      </w:tr>
      <w:tr>
        <w:tc>
          <w:tcPr>
            <w:tcW w:type="dxa" w:w="2880"/>
          </w:tcPr>
          <w:p>
            <w:r>
              <w:t>Newspaper Notice (The Standard)</w:t>
            </w:r>
          </w:p>
        </w:tc>
        <w:tc>
          <w:tcPr>
            <w:tcW w:type="dxa" w:w="2880"/>
          </w:tcPr>
          <w:p>
            <w:r>
              <w:t>14 July 2026</w:t>
            </w:r>
          </w:p>
        </w:tc>
        <w:tc>
          <w:tcPr>
            <w:tcW w:type="dxa" w:w="2880"/>
          </w:tcPr>
          <w:p>
            <w:r>
              <w:t>21‑day public notice</w:t>
            </w:r>
          </w:p>
        </w:tc>
      </w:tr>
      <w:tr>
        <w:tc>
          <w:tcPr>
            <w:tcW w:type="dxa" w:w="2880"/>
          </w:tcPr>
          <w:p>
            <w:r>
              <w:t>Baraza (Community Meeting)</w:t>
            </w:r>
          </w:p>
        </w:tc>
        <w:tc>
          <w:tcPr>
            <w:tcW w:type="dxa" w:w="2880"/>
          </w:tcPr>
          <w:p>
            <w:r>
              <w:t>6 August 2026</w:t>
            </w:r>
          </w:p>
        </w:tc>
        <w:tc>
          <w:tcPr>
            <w:tcW w:type="dxa" w:w="2880"/>
          </w:tcPr>
          <w:p>
            <w:r>
              <w:t>Held at Ndeiya Chief’s Camp; 94 attendees</w:t>
            </w:r>
          </w:p>
        </w:tc>
      </w:tr>
      <w:tr>
        <w:tc>
          <w:tcPr>
            <w:tcW w:type="dxa" w:w="2880"/>
          </w:tcPr>
          <w:p>
            <w:r>
              <w:t>Vulnerable Groups Identified</w:t>
            </w:r>
          </w:p>
        </w:tc>
        <w:tc>
          <w:tcPr>
            <w:tcW w:type="dxa" w:w="2880"/>
          </w:tcPr>
          <w:p>
            <w:r>
              <w:t>–</w:t>
            </w:r>
          </w:p>
        </w:tc>
        <w:tc>
          <w:tcPr>
            <w:tcW w:type="dxa" w:w="2880"/>
          </w:tcPr>
          <w:p>
            <w:r>
              <w:t>Grazing‑rights holders on adjacent unfenced land</w:t>
            </w:r>
          </w:p>
        </w:tc>
      </w:tr>
      <w:tr>
        <w:tc>
          <w:tcPr>
            <w:tcW w:type="dxa" w:w="2880"/>
          </w:tcPr>
          <w:p>
            <w:r>
              <w:t>Grievance Redress Mechanism (GRM)</w:t>
            </w:r>
          </w:p>
        </w:tc>
        <w:tc>
          <w:tcPr>
            <w:tcW w:type="dxa" w:w="2880"/>
          </w:tcPr>
          <w:p>
            <w:r>
              <w:t>–</w:t>
            </w:r>
          </w:p>
        </w:tc>
        <w:tc>
          <w:tcPr>
            <w:tcW w:type="dxa" w:w="2880"/>
          </w:tcPr>
          <w:p>
            <w:r>
              <w:t>GRM Committee established and operational</w:t>
            </w:r>
          </w:p>
        </w:tc>
      </w:tr>
    </w:tbl>
    <w:p>
      <w:r>
        <w:t>Key concerns raised and corresponding mitigation measures:</w:t>
      </w:r>
    </w:p>
    <w:p>
      <w:pPr>
        <w:pStyle w:val="ListNumber"/>
      </w:pPr>
      <w:r/>
      <w:r>
        <w:rPr>
          <w:b/>
        </w:rPr>
        <w:t>Loss of grazing land access</w:t>
      </w:r>
      <w:r>
        <w:t xml:space="preserve"> – Perimeter fencing will be set back to preserve an access corridor; affected grazing‑rights holders will receive compensation at Valuer‑General rates.</w:t>
      </w:r>
    </w:p>
    <w:p>
      <w:pPr>
        <w:pStyle w:val="ListNumber"/>
      </w:pPr>
      <w:r/>
      <w:r>
        <w:rPr>
          <w:b/>
        </w:rPr>
        <w:t>Local employment expectations</w:t>
      </w:r>
      <w:r>
        <w:t xml:space="preserve"> – The proponent clarified that </w:t>
      </w:r>
      <w:r>
        <w:rPr>
          <w:b/>
        </w:rPr>
        <w:t>fewer than 20 people</w:t>
      </w:r>
      <w:r>
        <w:t xml:space="preserve"> will be employed on‑site during the operational phase due to the automated nature of solar plants.</w:t>
      </w:r>
    </w:p>
    <w:p>
      <w:pPr>
        <w:pStyle w:val="ListNumber"/>
      </w:pPr>
      <w:r/>
      <w:r>
        <w:rPr>
          <w:b/>
        </w:rPr>
        <w:t>Glare affecting nearby homesteads</w:t>
      </w:r>
      <w:r>
        <w:t xml:space="preserve"> – Anti‑reflective panel coating will be applied; rows facing homesteads will be angled to minimise glare azimuth.</w:t>
      </w:r>
    </w:p>
    <w:p>
      <w:r/>
      <w:r>
        <w:rPr>
          <w:b/>
        </w:rPr>
        <w:t>[CONTRADICTION: Direct operations employment is stated as 82 permanent staff, yet mitigation notes indicate fewer than 20 on‑site staff during operation]</w:t>
      </w:r>
      <w:r/>
    </w:p>
    <w:p>
      <w:r>
        <w:t>## 1.7 Scope of the ESIA</w:t>
      </w:r>
    </w:p>
    <w:p>
      <w:r>
        <w:t>The ESIA assesses the potential environmental and social impacts of the Ndeiya Solar Power Plant across the following life‑cycle stages:</w:t>
      </w:r>
    </w:p>
    <w:p>
      <w:pPr>
        <w:pStyle w:val="ListNumber"/>
      </w:pPr>
      <w:r/>
      <w:r>
        <w:rPr>
          <w:b/>
        </w:rPr>
        <w:t>Construction (11 months)</w:t>
      </w:r>
      <w:r>
        <w:t xml:space="preserve"> – land clearing, earthworks, civil works, electrical installation.</w:t>
      </w:r>
    </w:p>
    <w:p>
      <w:pPr>
        <w:pStyle w:val="ListNumber"/>
      </w:pPr>
      <w:r/>
      <w:r>
        <w:rPr>
          <w:b/>
        </w:rPr>
        <w:t>Commissioning</w:t>
      </w:r>
      <w:r>
        <w:t xml:space="preserve"> – testing and grid connection.</w:t>
      </w:r>
    </w:p>
    <w:p>
      <w:pPr>
        <w:pStyle w:val="ListNumber"/>
      </w:pPr>
      <w:r/>
      <w:r>
        <w:rPr>
          <w:b/>
        </w:rPr>
        <w:t>Operation (25 years)</w:t>
      </w:r>
      <w:r>
        <w:t xml:space="preserve"> – routine maintenance, monitoring, and de‑commissioning planning.</w:t>
      </w:r>
    </w:p>
    <w:p>
      <w:r>
        <w:t xml:space="preserve">The assessment covers air quality, noise, water resources, soil and geology, biodiversity (including avian species), land use, and socio‑economic aspects. Mitigation measures are compiled in the </w:t>
      </w:r>
      <w:r>
        <w:rPr>
          <w:b/>
        </w:rPr>
        <w:t>Environmental and Social Management Plan (ESMP)</w:t>
      </w:r>
      <w:r>
        <w:t>, which will be implemented, monitored, and reported in accordance with NEMA requirements and the World Bank ESF.</w:t>
      </w:r>
    </w:p>
    <w:p>
      <w:r>
        <w:t>## 1.8 Structure of the Report</w:t>
      </w:r>
    </w:p>
    <w:p>
      <w:pPr>
        <w:pStyle w:val="ListBullet"/>
      </w:pPr>
      <w:r/>
      <w:r>
        <w:rPr>
          <w:b/>
        </w:rPr>
        <w:t>Chapter 2 – Project Description and Alternatives</w:t>
      </w:r>
      <w:r/>
    </w:p>
    <w:p>
      <w:pPr>
        <w:pStyle w:val="ListBullet"/>
      </w:pPr>
      <w:r/>
      <w:r>
        <w:rPr>
          <w:b/>
        </w:rPr>
        <w:t>Chapter 3 – Legal and Institutional Framework</w:t>
      </w:r>
      <w:r/>
    </w:p>
    <w:p>
      <w:pPr>
        <w:pStyle w:val="ListBullet"/>
      </w:pPr>
      <w:r/>
      <w:r>
        <w:rPr>
          <w:b/>
        </w:rPr>
        <w:t>Chapter 4 – Baseline Environment and Social Conditions</w:t>
      </w:r>
      <w:r/>
    </w:p>
    <w:p>
      <w:pPr>
        <w:pStyle w:val="ListBullet"/>
      </w:pPr>
      <w:r/>
      <w:r>
        <w:rPr>
          <w:b/>
        </w:rPr>
        <w:t>Chapter 5 – Impact Assessment and Mitigation</w:t>
      </w:r>
      <w:r/>
    </w:p>
    <w:p>
      <w:pPr>
        <w:pStyle w:val="ListBullet"/>
      </w:pPr>
      <w:r/>
      <w:r>
        <w:rPr>
          <w:b/>
        </w:rPr>
        <w:t>Chapter 6 – Environmental and Social Management Plan (ESMP)</w:t>
      </w:r>
      <w:r/>
    </w:p>
    <w:p>
      <w:pPr>
        <w:pStyle w:val="ListBullet"/>
      </w:pPr>
      <w:r/>
      <w:r>
        <w:rPr>
          <w:b/>
        </w:rPr>
        <w:t>Chapter 7 – Monitoring, Reporting and Institutional Arrangements</w:t>
      </w:r>
      <w:r/>
    </w:p>
    <w:p>
      <w:pPr>
        <w:pStyle w:val="ListBullet"/>
      </w:pPr>
      <w:r/>
      <w:r>
        <w:rPr>
          <w:b/>
        </w:rPr>
        <w:t>Chapter 8 – Conclusions and Recommendations</w:t>
      </w:r>
      <w:r/>
    </w:p>
    <w:p>
      <w:r>
        <w:t>The following chapters provide a detailed analysis of the baseline conditions, identify significant impacts, and outline the mitigation, monitoring, and institutional arrangements required to ensure that the Ndeiya Solar Power Plant is developed sustainably and in compliance with all applicable Kenyan legislation and international best practice.</w:t>
      </w:r>
    </w:p>
    <w:p>
      <w:r>
        <w:br w:type="page"/>
      </w:r>
    </w:p>
    <w:p>
      <w:pPr>
        <w:pStyle w:val="Heading1"/>
      </w:pPr>
      <w:r>
        <w:t>Chapter 2: Project Description</w:t>
      </w:r>
    </w:p>
    <w:p>
      <w:r>
        <w:t>## 2.1 Project Overview</w:t>
      </w:r>
    </w:p>
    <w:p>
      <w:r/>
      <w:r>
        <w:rPr>
          <w:b/>
        </w:rPr>
        <w:t>Project Name:</w:t>
      </w:r>
      <w:r>
        <w:t xml:space="preserve"> Ndeiya Solar Power Plant</w:t>
      </w:r>
    </w:p>
    <w:p>
      <w:r/>
      <w:r>
        <w:rPr>
          <w:b/>
        </w:rPr>
        <w:t>Proponent:</w:t>
      </w:r>
      <w:r>
        <w:t xml:space="preserve"> Sunbelt Energy Kenya Ltd. (PIN: P061738204M)</w:t>
      </w:r>
    </w:p>
    <w:p>
      <w:r/>
      <w:r>
        <w:rPr>
          <w:b/>
        </w:rPr>
        <w:t>Lead Expert:</w:t>
      </w:r>
      <w:r>
        <w:t xml:space="preserve"> George Kamau (EIA/EA/1234)</w:t>
      </w:r>
    </w:p>
    <w:p>
      <w:r/>
      <w:r>
        <w:rPr>
          <w:b/>
        </w:rPr>
        <w:t>Category:</w:t>
      </w:r>
      <w:r>
        <w:t xml:space="preserve"> Energy – Solar Power Generation (High Risk – Second Schedule)</w:t>
      </w:r>
    </w:p>
    <w:p>
      <w:r/>
      <w:r>
        <w:rPr>
          <w:b/>
        </w:rPr>
        <w:t>Total Capital Cost:</w:t>
      </w:r>
      <w:r>
        <w:t xml:space="preserve"> KES 2,940,000,000</w:t>
      </w:r>
    </w:p>
    <w:p>
      <w:r/>
      <w:r>
        <w:rPr>
          <w:b/>
        </w:rPr>
        <w:t>Planned Commencement:</w:t>
      </w:r>
      <w:r>
        <w:t xml:space="preserve"> 1 June 2027</w:t>
      </w:r>
    </w:p>
    <w:p>
      <w:r/>
      <w:r>
        <w:rPr>
          <w:b/>
        </w:rPr>
        <w:t>Construction Period:</w:t>
      </w:r>
      <w:r>
        <w:t xml:space="preserve"> 11 months (approx.)</w:t>
      </w:r>
    </w:p>
    <w:p>
      <w:r/>
      <w:r>
        <w:rPr>
          <w:b/>
        </w:rPr>
        <w:t>Design Life:</w:t>
      </w:r>
      <w:r>
        <w:t xml:space="preserve"> 25 years</w:t>
      </w:r>
    </w:p>
    <w:p>
      <w:r>
        <w:t>The project seeks to develop a utility‑scale photovoltaic (PV) power plant to contribute 45 MW of renewable electricity to the national grid, supporting Kenya’s Vision 2030 clean‑energy targets.</w:t>
      </w:r>
    </w:p>
    <w:p>
      <w:r>
        <w:t>---</w:t>
      </w:r>
    </w:p>
    <w:p>
      <w:r>
        <w:t>## 2.2 Project Location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Detail</w:t>
            </w:r>
          </w:p>
        </w:tc>
      </w:tr>
      <w:tr>
        <w:tc>
          <w:tcPr>
            <w:tcW w:type="dxa" w:w="4320"/>
          </w:tcPr>
          <w:p>
            <w:r/>
            <w:r>
              <w:rPr>
                <w:b/>
              </w:rPr>
              <w:t>County / Ward</w:t>
            </w:r>
            <w:r/>
          </w:p>
        </w:tc>
        <w:tc>
          <w:tcPr>
            <w:tcW w:type="dxa" w:w="4320"/>
          </w:tcPr>
          <w:p>
            <w:r>
              <w:t>Kiambu County, Limuru – Ndeiya Ward</w:t>
            </w:r>
          </w:p>
        </w:tc>
      </w:tr>
      <w:tr>
        <w:tc>
          <w:tcPr>
            <w:tcW w:type="dxa" w:w="4320"/>
          </w:tcPr>
          <w:p>
            <w:r/>
            <w:r>
              <w:rPr>
                <w:b/>
              </w:rPr>
              <w:t>Geographic Coordinates</w:t>
            </w:r>
            <w:r/>
          </w:p>
        </w:tc>
        <w:tc>
          <w:tcPr>
            <w:tcW w:type="dxa" w:w="4320"/>
          </w:tcPr>
          <w:p>
            <w:r>
              <w:t>Latitude ‑1.0291°, Longitude 36.6847°</w:t>
            </w:r>
          </w:p>
        </w:tc>
      </w:tr>
      <w:tr>
        <w:tc>
          <w:tcPr>
            <w:tcW w:type="dxa" w:w="4320"/>
          </w:tcPr>
          <w:p>
            <w:r/>
            <w:r>
              <w:rPr>
                <w:b/>
              </w:rPr>
              <w:t>Land Tenure</w:t>
            </w:r>
            <w:r/>
          </w:p>
        </w:tc>
        <w:tc>
          <w:tcPr>
            <w:tcW w:type="dxa" w:w="4320"/>
          </w:tcPr>
          <w:p>
            <w:r>
              <w:t>Leasehold – LR No. 9902/14 (25‑year lease)</w:t>
            </w:r>
          </w:p>
        </w:tc>
      </w:tr>
      <w:tr>
        <w:tc>
          <w:tcPr>
            <w:tcW w:type="dxa" w:w="4320"/>
          </w:tcPr>
          <w:p>
            <w:r/>
            <w:r>
              <w:rPr>
                <w:b/>
              </w:rPr>
              <w:t>Site Area</w:t>
            </w:r>
            <w:r/>
          </w:p>
        </w:tc>
        <w:tc>
          <w:tcPr>
            <w:tcW w:type="dxa" w:w="4320"/>
          </w:tcPr>
          <w:p>
            <w:r>
              <w:t>38.6 ha</w:t>
            </w:r>
          </w:p>
        </w:tc>
      </w:tr>
      <w:tr>
        <w:tc>
          <w:tcPr>
            <w:tcW w:type="dxa" w:w="4320"/>
          </w:tcPr>
          <w:p>
            <w:r/>
            <w:r>
              <w:rPr>
                <w:b/>
              </w:rPr>
              <w:t>Existing Land Use</w:t>
            </w:r>
            <w:r/>
          </w:p>
        </w:tc>
        <w:tc>
          <w:tcPr>
            <w:tcW w:type="dxa" w:w="4320"/>
          </w:tcPr>
          <w:p>
            <w:r>
              <w:t>Grazing land / open grassland</w:t>
            </w:r>
          </w:p>
        </w:tc>
      </w:tr>
      <w:tr>
        <w:tc>
          <w:tcPr>
            <w:tcW w:type="dxa" w:w="4320"/>
          </w:tcPr>
          <w:p>
            <w:r/>
            <w:r>
              <w:rPr>
                <w:b/>
              </w:rPr>
              <w:t>Groundwater Depth</w:t>
            </w:r>
            <w:r/>
          </w:p>
        </w:tc>
        <w:tc>
          <w:tcPr>
            <w:tcW w:type="dxa" w:w="4320"/>
          </w:tcPr>
          <w:p>
            <w:r>
              <w:t>58 m (measured 22 Mar 2026)</w:t>
            </w:r>
          </w:p>
        </w:tc>
      </w:tr>
      <w:tr>
        <w:tc>
          <w:tcPr>
            <w:tcW w:type="dxa" w:w="4320"/>
          </w:tcPr>
          <w:p>
            <w:r/>
            <w:r>
              <w:rPr>
                <w:b/>
              </w:rPr>
              <w:t>Proponent Address</w:t>
            </w:r>
            <w:r/>
          </w:p>
        </w:tc>
        <w:tc>
          <w:tcPr>
            <w:tcW w:type="dxa" w:w="4320"/>
          </w:tcPr>
          <w:p>
            <w:r>
              <w:t>Sunbelt House, Riverside Drive, Nairobi – Tel +254 706 554 812 – Email development@sunbeltenergy.co.ke</w:t>
            </w:r>
          </w:p>
        </w:tc>
      </w:tr>
    </w:tbl>
    <w:p>
      <w:r>
        <w:t>The site lies adjacent to the Ewaso Kedong seasonal stream (≈410 m south) and is bounded by scattered homesteads (≈200 m west) and community infrastructure (primary school, church, borehole).</w:t>
      </w:r>
    </w:p>
    <w:p>
      <w:r>
        <w:t>---</w:t>
      </w:r>
    </w:p>
    <w:p>
      <w:r>
        <w:t>## 2.3 Technical Description</w:t>
      </w:r>
    </w:p>
    <w:p>
      <w:pPr>
        <w:pStyle w:val="ListBullet"/>
      </w:pPr>
      <w:r/>
      <w:r>
        <w:rPr>
          <w:b/>
        </w:rPr>
        <w:t>Installed Capacity:</w:t>
      </w:r>
      <w:r>
        <w:t xml:space="preserve"> 45 MW (PV)</w:t>
      </w:r>
    </w:p>
    <w:p>
      <w:pPr>
        <w:pStyle w:val="ListBullet"/>
      </w:pPr>
      <w:r/>
      <w:r>
        <w:rPr>
          <w:b/>
        </w:rPr>
        <w:t>Engineering Layout:</w:t>
      </w:r>
      <w:r>
        <w:t xml:space="preserve"> The plant is designed as </w:t>
      </w:r>
      <w:r>
        <w:rPr>
          <w:b/>
        </w:rPr>
        <w:t>four identical phases</w:t>
      </w:r>
      <w:r>
        <w:t xml:space="preserve">, each nominally rated at </w:t>
      </w:r>
      <w:r>
        <w:rPr>
          <w:b/>
        </w:rPr>
        <w:t>15 MW</w:t>
      </w:r>
      <w:r>
        <w:t xml:space="preserve">. </w:t>
      </w:r>
      <w:r>
        <w:rPr>
          <w:b/>
        </w:rPr>
        <w:t>[CONTRADICTION: Four 15 MW phases sum to 60 MW, which exceeds the stated total capacity of 45 MW]</w:t>
      </w:r>
      <w:r>
        <w:t>.</w:t>
      </w:r>
    </w:p>
    <w:p>
      <w:pPr>
        <w:pStyle w:val="ListBullet"/>
      </w:pPr>
      <w:r/>
      <w:r>
        <w:rPr>
          <w:b/>
        </w:rPr>
        <w:t>PV Module Technology:</w:t>
      </w:r>
      <w:r>
        <w:t xml:space="preserve"> Poly‑crystalline silicon panels with anti‑reflective coating (see mitigation for glare).</w:t>
      </w:r>
    </w:p>
    <w:p>
      <w:pPr>
        <w:pStyle w:val="ListBullet"/>
      </w:pPr>
      <w:r/>
      <w:r>
        <w:rPr>
          <w:b/>
        </w:rPr>
        <w:t>Panel Array Footprint:</w:t>
      </w:r>
      <w:r>
        <w:t xml:space="preserve"> 52 ha </w:t>
      </w:r>
      <w:r>
        <w:rPr>
          <w:b/>
        </w:rPr>
        <w:t>[CONTRADICTION: Panel footprint (52 ha) exceeds total site area (38.6 ha)]</w:t>
      </w:r>
      <w:r>
        <w:t>.</w:t>
      </w:r>
    </w:p>
    <w:p>
      <w:pPr>
        <w:pStyle w:val="ListBullet"/>
      </w:pPr>
      <w:r/>
      <w:r>
        <w:rPr>
          <w:b/>
        </w:rPr>
        <w:t>Inverter &amp; Transformer Sub‑stations:</w:t>
      </w:r>
      <w:r>
        <w:t xml:space="preserve"> Centralised 33 kV collection point with step‑up to 132 kV for grid interconnection.</w:t>
      </w:r>
    </w:p>
    <w:p>
      <w:pPr>
        <w:pStyle w:val="ListBullet"/>
      </w:pPr>
      <w:r/>
      <w:r>
        <w:rPr>
          <w:b/>
        </w:rPr>
        <w:t>Grid Connection:</w:t>
      </w:r>
      <w:r>
        <w:t xml:space="preserve"> Interconnection to the Kenya Power &amp; Lighting Company (KPLC) transmission line at the nearest sub‑station (≈2 km north).</w:t>
      </w:r>
    </w:p>
    <w:p>
      <w:r/>
      <w:r>
        <w:rPr>
          <w:b/>
        </w:rPr>
        <w:t>Permanent Operations Staff:</w:t>
      </w:r>
      <w:r>
        <w:t xml:space="preserve"> 82 persons (as per engineering specs). </w:t>
      </w:r>
      <w:r>
        <w:rPr>
          <w:b/>
        </w:rPr>
        <w:t>[CONTRADICTION: Mitigation notes “fewer than 20 people will be employed on‑site during the operational phase”]</w:t>
      </w:r>
      <w:r>
        <w:t>.</w:t>
      </w:r>
    </w:p>
    <w:p>
      <w:r>
        <w:t>---</w:t>
      </w:r>
    </w:p>
    <w:p>
      <w:r>
        <w:t>## 2.4 Project Phasing</w:t>
      </w:r>
    </w:p>
    <w:p>
      <w:pPr>
        <w:pStyle w:val="ListNumber"/>
      </w:pPr>
      <w:r/>
      <w:r>
        <w:rPr>
          <w:b/>
        </w:rPr>
        <w:t>Phase 1 (15 MW)</w:t>
      </w:r>
      <w:r>
        <w:t xml:space="preserve"> – Commence construction June 2027, commission Q1 2028.</w:t>
      </w:r>
    </w:p>
    <w:p>
      <w:pPr>
        <w:pStyle w:val="ListNumber"/>
      </w:pPr>
      <w:r/>
      <w:r>
        <w:rPr>
          <w:b/>
        </w:rPr>
        <w:t>Phase 2 (15 MW)</w:t>
      </w:r>
      <w:r>
        <w:t xml:space="preserve"> – Construction start Q2 2028, commission Q4 2028.</w:t>
      </w:r>
    </w:p>
    <w:p>
      <w:pPr>
        <w:pStyle w:val="ListNumber"/>
      </w:pPr>
      <w:r/>
      <w:r>
        <w:rPr>
          <w:b/>
        </w:rPr>
        <w:t>Phase 3 (15 MW)</w:t>
      </w:r>
      <w:r>
        <w:t xml:space="preserve"> – Construction start Q1 2029, commission Q3 2029.</w:t>
      </w:r>
    </w:p>
    <w:p>
      <w:pPr>
        <w:pStyle w:val="ListNumber"/>
      </w:pPr>
      <w:r/>
      <w:r>
        <w:rPr>
          <w:b/>
        </w:rPr>
        <w:t>Phase 4 (15 MW)</w:t>
      </w:r>
      <w:r>
        <w:t xml:space="preserve"> – Construction start Q4 2029, commission Q2 2030.</w:t>
      </w:r>
    </w:p>
    <w:p>
      <w:r>
        <w:t>Phases are to be commissioned sequentially to allow staged grid integration and operational testing.</w:t>
      </w:r>
    </w:p>
    <w:p>
      <w:r>
        <w:t>---</w:t>
      </w:r>
    </w:p>
    <w:p>
      <w:r>
        <w:t>## 2.5 Site Layout and Land Use</w:t>
      </w:r>
    </w:p>
    <w:p>
      <w:r>
        <w:t xml:space="preserve">The site will be cleared of existing grassland and fenced along its perimeter. A </w:t>
      </w:r>
      <w:r>
        <w:rPr>
          <w:b/>
        </w:rPr>
        <w:t>grazing‑access corridor</w:t>
      </w:r>
      <w:r>
        <w:t xml:space="preserve"> (≈10 m wide) will be retained along the western boundary to preserve traditional livestock movement. The layout includes:</w:t>
      </w:r>
    </w:p>
    <w:p>
      <w:pPr>
        <w:pStyle w:val="ListBullet"/>
      </w:pPr>
      <w:r>
        <w:t>PV array zones (north‑south orientation, rows angled to minimise glare).</w:t>
      </w:r>
    </w:p>
    <w:p>
      <w:pPr>
        <w:pStyle w:val="ListBullet"/>
      </w:pPr>
      <w:r>
        <w:t>Central inverter building (≈0.5 ha).</w:t>
      </w:r>
    </w:p>
    <w:p>
      <w:pPr>
        <w:pStyle w:val="ListBullet"/>
      </w:pPr>
      <w:r>
        <w:t>Sub‑station yard (≈0.3 ha).</w:t>
      </w:r>
    </w:p>
    <w:p>
      <w:pPr>
        <w:pStyle w:val="ListBullet"/>
      </w:pPr>
      <w:r>
        <w:t>Access roads (≈0.2 ha).</w:t>
      </w:r>
    </w:p>
    <w:p>
      <w:pPr>
        <w:pStyle w:val="ListBullet"/>
      </w:pPr>
      <w:r>
        <w:t>Buffer zones (≥15 m from the seasonal stream and community borehole).</w:t>
      </w:r>
    </w:p>
    <w:p>
      <w:r>
        <w:t>All earthworks will respect the existing topography to limit soil disturbance.</w:t>
      </w:r>
    </w:p>
    <w:p>
      <w:r>
        <w:t>---</w:t>
      </w:r>
    </w:p>
    <w:p>
      <w:r>
        <w:t>## 2.6 Infrastructure and Access</w:t>
      </w:r>
    </w:p>
    <w:p>
      <w:pPr>
        <w:pStyle w:val="ListBullet"/>
      </w:pPr>
      <w:r/>
      <w:r>
        <w:rPr>
          <w:b/>
        </w:rPr>
        <w:t>Access Road:</w:t>
      </w:r>
      <w:r>
        <w:t xml:space="preserve"> Upgraded gravel road linking the site to the existing Limuru‑Kikuyu road network.</w:t>
      </w:r>
    </w:p>
    <w:p>
      <w:pPr>
        <w:pStyle w:val="ListBullet"/>
      </w:pPr>
      <w:r/>
      <w:r>
        <w:rPr>
          <w:b/>
        </w:rPr>
        <w:t>Water Supply:</w:t>
      </w:r>
      <w:r>
        <w:t xml:space="preserve"> Borehole water for construction and O&amp;M; no permanent abstraction from the Ewaso Kedong stream.</w:t>
      </w:r>
    </w:p>
    <w:p>
      <w:pPr>
        <w:pStyle w:val="ListBullet"/>
      </w:pPr>
      <w:r/>
      <w:r>
        <w:rPr>
          <w:b/>
        </w:rPr>
        <w:t>Power Supply:</w:t>
      </w:r>
      <w:r>
        <w:t xml:space="preserve"> Temporary diesel generators for construction; grid power for operations.</w:t>
      </w:r>
    </w:p>
    <w:p>
      <w:pPr>
        <w:pStyle w:val="ListBullet"/>
      </w:pPr>
      <w:r/>
      <w:r>
        <w:rPr>
          <w:b/>
        </w:rPr>
        <w:t>Communications:</w:t>
      </w:r>
      <w:r>
        <w:t xml:space="preserve"> Radio link for SCADA system and remote monitoring.</w:t>
      </w:r>
    </w:p>
    <w:p>
      <w:r>
        <w:t>---</w:t>
      </w:r>
    </w:p>
    <w:p>
      <w:r>
        <w:t>## 2.7 Construction Activities</w:t>
      </w:r>
    </w:p>
    <w:p>
      <w:r>
        <w:t>Key construction tasks (11‑month schedule) include:</w:t>
      </w:r>
    </w:p>
    <w:tbl>
      <w:tblPr>
        <w:tblStyle w:val="TableGrid"/>
        <w:tblW w:type="auto" w:w="0"/>
        <w:tblLook w:firstColumn="1" w:firstRow="1" w:lastColumn="0" w:lastRow="0" w:noHBand="0" w:noVBand="1" w:val="04A0"/>
      </w:tblPr>
      <w:tblGrid>
        <w:gridCol w:w="4320"/>
        <w:gridCol w:w="4320"/>
      </w:tblGrid>
      <w:tr>
        <w:tc>
          <w:tcPr>
            <w:tcW w:type="dxa" w:w="4320"/>
          </w:tcPr>
          <w:p>
            <w:r>
              <w:rPr>
                <w:b/>
              </w:rPr>
              <w:t>Activity</w:t>
            </w:r>
          </w:p>
        </w:tc>
        <w:tc>
          <w:tcPr>
            <w:tcW w:type="dxa" w:w="4320"/>
          </w:tcPr>
          <w:p>
            <w:r>
              <w:rPr>
                <w:b/>
              </w:rPr>
              <w:t>Approx. Duration</w:t>
            </w:r>
          </w:p>
        </w:tc>
      </w:tr>
      <w:tr>
        <w:tc>
          <w:tcPr>
            <w:tcW w:type="dxa" w:w="4320"/>
          </w:tcPr>
          <w:p>
            <w:r>
              <w:t>Site clearing &amp; grading</w:t>
            </w:r>
          </w:p>
        </w:tc>
        <w:tc>
          <w:tcPr>
            <w:tcW w:type="dxa" w:w="4320"/>
          </w:tcPr>
          <w:p>
            <w:r>
              <w:t>2 months</w:t>
            </w:r>
          </w:p>
        </w:tc>
      </w:tr>
      <w:tr>
        <w:tc>
          <w:tcPr>
            <w:tcW w:type="dxa" w:w="4320"/>
          </w:tcPr>
          <w:p>
            <w:r>
              <w:t>Earthworks &amp; foundation trenching</w:t>
            </w:r>
          </w:p>
        </w:tc>
        <w:tc>
          <w:tcPr>
            <w:tcW w:type="dxa" w:w="4320"/>
          </w:tcPr>
          <w:p>
            <w:r>
              <w:t>3 months</w:t>
            </w:r>
          </w:p>
        </w:tc>
      </w:tr>
      <w:tr>
        <w:tc>
          <w:tcPr>
            <w:tcW w:type="dxa" w:w="4320"/>
          </w:tcPr>
          <w:p>
            <w:r>
              <w:t>Installation of mounting structures &amp; PV modules</w:t>
            </w:r>
          </w:p>
        </w:tc>
        <w:tc>
          <w:tcPr>
            <w:tcW w:type="dxa" w:w="4320"/>
          </w:tcPr>
          <w:p>
            <w:r>
              <w:t>4 months</w:t>
            </w:r>
          </w:p>
        </w:tc>
      </w:tr>
      <w:tr>
        <w:tc>
          <w:tcPr>
            <w:tcW w:type="dxa" w:w="4320"/>
          </w:tcPr>
          <w:p>
            <w:r>
              <w:t>Electrical works (inverters, transformers, cabling)</w:t>
            </w:r>
          </w:p>
        </w:tc>
        <w:tc>
          <w:tcPr>
            <w:tcW w:type="dxa" w:w="4320"/>
          </w:tcPr>
          <w:p>
            <w:r>
              <w:t>3 months</w:t>
            </w:r>
          </w:p>
        </w:tc>
      </w:tr>
      <w:tr>
        <w:tc>
          <w:tcPr>
            <w:tcW w:type="dxa" w:w="4320"/>
          </w:tcPr>
          <w:p>
            <w:r>
              <w:t>Commissioning &amp; testing</w:t>
            </w:r>
          </w:p>
        </w:tc>
        <w:tc>
          <w:tcPr>
            <w:tcW w:type="dxa" w:w="4320"/>
          </w:tcPr>
          <w:p>
            <w:r>
              <w:t>1 month</w:t>
            </w:r>
          </w:p>
        </w:tc>
      </w:tr>
    </w:tbl>
    <w:p>
      <w:r>
        <w:t xml:space="preserve">Construction will employ local labour under the </w:t>
      </w:r>
      <w:r>
        <w:rPr>
          <w:b/>
        </w:rPr>
        <w:t>Kenya Employment Act</w:t>
      </w:r>
      <w:r>
        <w:t xml:space="preserve"> and will be overseen by a qualified </w:t>
      </w:r>
      <w:r>
        <w:rPr>
          <w:b/>
        </w:rPr>
        <w:t>Construction Environmental Management Plan (CEMP)</w:t>
      </w:r>
      <w:r>
        <w:t xml:space="preserve"> integrated into the overall ESMP.</w:t>
      </w:r>
    </w:p>
    <w:p>
      <w:r>
        <w:t>---</w:t>
      </w:r>
    </w:p>
    <w:p>
      <w:r>
        <w:t>## 2.8 Operation and Maintenance</w:t>
      </w:r>
    </w:p>
    <w:p>
      <w:r>
        <w:t>During the 25‑year operational phase, the plant will be largely automated. Routine O&amp;M tasks include:</w:t>
      </w:r>
    </w:p>
    <w:p>
      <w:pPr>
        <w:pStyle w:val="ListBullet"/>
      </w:pPr>
      <w:r>
        <w:t>Periodic cleaning of PV modules (water‑efficient cleaning system).</w:t>
      </w:r>
    </w:p>
    <w:p>
      <w:pPr>
        <w:pStyle w:val="ListBullet"/>
      </w:pPr>
      <w:r>
        <w:t>Inverter and transformer inspections.</w:t>
      </w:r>
    </w:p>
    <w:p>
      <w:pPr>
        <w:pStyle w:val="ListBullet"/>
      </w:pPr>
      <w:r>
        <w:t>Vegetation management within the buffer zones.</w:t>
      </w:r>
    </w:p>
    <w:p>
      <w:pPr>
        <w:pStyle w:val="ListBullet"/>
      </w:pPr>
      <w:r>
        <w:t>Monitoring of grid performance and environmental parameters (noise, air quality, water quality).</w:t>
      </w:r>
    </w:p>
    <w:p>
      <w:r/>
      <w:r>
        <w:rPr>
          <w:b/>
        </w:rPr>
        <w:t>Staffing:</w:t>
      </w:r>
      <w:r>
        <w:t xml:space="preserve"> The engineering specification cites 82 permanent operations staff; however, community expectations were set at “fewer than 20 people” (see Section 2.13). </w:t>
      </w:r>
      <w:r>
        <w:rPr>
          <w:b/>
        </w:rPr>
        <w:t>[CONTRADICTION: Discrepancy between stated permanent staff and communicated employment expectations]</w:t>
      </w:r>
      <w:r>
        <w:t>.</w:t>
      </w:r>
    </w:p>
    <w:p>
      <w:r>
        <w:t>---</w:t>
      </w:r>
    </w:p>
    <w:p>
      <w:r>
        <w:t>## 2.9 Environmental Baseline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Baseline Value</w:t>
            </w:r>
          </w:p>
        </w:tc>
        <w:tc>
          <w:tcPr>
            <w:tcW w:type="dxa" w:w="2880"/>
          </w:tcPr>
          <w:p>
            <w:r>
              <w:rPr>
                <w:b/>
              </w:rPr>
              <w:t>Guideline/Standard</w:t>
            </w:r>
          </w:p>
        </w:tc>
      </w:tr>
      <w:tr>
        <w:tc>
          <w:tcPr>
            <w:tcW w:type="dxa" w:w="2880"/>
          </w:tcPr>
          <w:p>
            <w:r/>
            <w:r>
              <w:rPr>
                <w:b/>
              </w:rPr>
              <w:t>PM₂.₅</w:t>
            </w:r>
            <w:r/>
          </w:p>
        </w:tc>
        <w:tc>
          <w:tcPr>
            <w:tcW w:type="dxa" w:w="2880"/>
          </w:tcPr>
          <w:p>
            <w:r>
              <w:t>11 µg m⁻³</w:t>
            </w:r>
          </w:p>
        </w:tc>
        <w:tc>
          <w:tcPr>
            <w:tcW w:type="dxa" w:w="2880"/>
          </w:tcPr>
          <w:p>
            <w:r>
              <w:t xml:space="preserve">WHO 2021 guideline: 5 µg m⁻³ (annual) – </w:t>
            </w:r>
            <w:r>
              <w:rPr>
                <w:b/>
              </w:rPr>
              <w:t>EXCEEDS</w:t>
            </w:r>
            <w:r/>
          </w:p>
        </w:tc>
      </w:tr>
      <w:tr>
        <w:tc>
          <w:tcPr>
            <w:tcW w:type="dxa" w:w="2880"/>
          </w:tcPr>
          <w:p>
            <w:r/>
            <w:r>
              <w:rPr>
                <w:b/>
              </w:rPr>
              <w:t>PM₁₀</w:t>
            </w:r>
            <w:r/>
          </w:p>
        </w:tc>
        <w:tc>
          <w:tcPr>
            <w:tcW w:type="dxa" w:w="2880"/>
          </w:tcPr>
          <w:p>
            <w:r>
              <w:t>24 µg m⁻³</w:t>
            </w:r>
          </w:p>
        </w:tc>
        <w:tc>
          <w:tcPr>
            <w:tcW w:type="dxa" w:w="2880"/>
          </w:tcPr>
          <w:p>
            <w:r>
              <w:t xml:space="preserve">WHO 2021 guideline: 15 µg m⁻³ (annual) – </w:t>
            </w:r>
            <w:r>
              <w:rPr>
                <w:b/>
              </w:rPr>
              <w:t>EXCEEDS</w:t>
            </w:r>
            <w:r/>
          </w:p>
        </w:tc>
      </w:tr>
      <w:tr>
        <w:tc>
          <w:tcPr>
            <w:tcW w:type="dxa" w:w="2880"/>
          </w:tcPr>
          <w:p>
            <w:r/>
            <w:r>
              <w:rPr>
                <w:b/>
              </w:rPr>
              <w:t>Ambient Noise</w:t>
            </w:r>
            <w:r/>
          </w:p>
        </w:tc>
        <w:tc>
          <w:tcPr>
            <w:tcW w:type="dxa" w:w="2880"/>
          </w:tcPr>
          <w:p>
            <w:r>
              <w:t>41 dBA (daytime)</w:t>
            </w:r>
          </w:p>
        </w:tc>
        <w:tc>
          <w:tcPr>
            <w:tcW w:type="dxa" w:w="2880"/>
          </w:tcPr>
          <w:p>
            <w:r>
              <w:t xml:space="preserve">NEMA Noise Standard for Rural Areas: 55 dBA – </w:t>
            </w:r>
            <w:r>
              <w:rPr>
                <w:b/>
              </w:rPr>
              <w:t>Within</w:t>
            </w:r>
            <w:r/>
          </w:p>
        </w:tc>
      </w:tr>
      <w:tr>
        <w:tc>
          <w:tcPr>
            <w:tcW w:type="dxa" w:w="2880"/>
          </w:tcPr>
          <w:p>
            <w:r/>
            <w:r>
              <w:rPr>
                <w:b/>
              </w:rPr>
              <w:t>Groundwater Depth</w:t>
            </w:r>
            <w:r/>
          </w:p>
        </w:tc>
        <w:tc>
          <w:tcPr>
            <w:tcW w:type="dxa" w:w="2880"/>
          </w:tcPr>
          <w:p>
            <w:r>
              <w:t>58 m</w:t>
            </w:r>
          </w:p>
        </w:tc>
        <w:tc>
          <w:tcPr>
            <w:tcW w:type="dxa" w:w="2880"/>
          </w:tcPr>
          <w:p>
            <w:r>
              <w:t>No regulatory threshold; depth indicates low vulnerability.</w:t>
            </w:r>
          </w:p>
        </w:tc>
      </w:tr>
      <w:tr>
        <w:tc>
          <w:tcPr>
            <w:tcW w:type="dxa" w:w="2880"/>
          </w:tcPr>
          <w:p>
            <w:r/>
            <w:r>
              <w:rPr>
                <w:b/>
              </w:rPr>
              <w:t>Land Use</w:t>
            </w:r>
            <w:r/>
          </w:p>
        </w:tc>
        <w:tc>
          <w:tcPr>
            <w:tcW w:type="dxa" w:w="2880"/>
          </w:tcPr>
          <w:p>
            <w:r>
              <w:t>Grazing / open grassland</w:t>
            </w:r>
          </w:p>
        </w:tc>
        <w:tc>
          <w:tcPr>
            <w:tcW w:type="dxa" w:w="2880"/>
          </w:tcPr>
          <w:p>
            <w:r>
              <w:t>No conflict with current land use; mitigation required for loss of grazing access.</w:t>
            </w:r>
          </w:p>
        </w:tc>
      </w:tr>
    </w:tbl>
    <w:p>
      <w:r>
        <w:t xml:space="preserve">Baseline data were collected on 22 Mar 2026 by </w:t>
      </w:r>
      <w:r>
        <w:rPr>
          <w:b/>
        </w:rPr>
        <w:t>Highland Ecological Surveys Ltd.</w:t>
      </w:r>
      <w:r>
        <w:t>.</w:t>
      </w:r>
    </w:p>
    <w:p>
      <w:r>
        <w:t>---</w:t>
      </w:r>
    </w:p>
    <w:p>
      <w:r>
        <w:t>## 2.10 Sensitive Receptors (≤ 1 km)</w:t>
      </w:r>
    </w:p>
    <w:p>
      <w:pPr>
        <w:pStyle w:val="ListBullet"/>
      </w:pPr>
      <w:r/>
      <w:r>
        <w:rPr>
          <w:b/>
        </w:rPr>
        <w:t>Ndeiya Primary School</w:t>
      </w:r>
      <w:r>
        <w:t xml:space="preserve"> – 620 m east</w:t>
      </w:r>
    </w:p>
    <w:p>
      <w:pPr>
        <w:pStyle w:val="ListBullet"/>
      </w:pPr>
      <w:r/>
      <w:r>
        <w:rPr>
          <w:b/>
        </w:rPr>
        <w:t>Ndeiya PCEA Church</w:t>
      </w:r>
      <w:r>
        <w:t xml:space="preserve"> – 780 m southeast</w:t>
      </w:r>
    </w:p>
    <w:p>
      <w:pPr>
        <w:pStyle w:val="ListBullet"/>
      </w:pPr>
      <w:r/>
      <w:r>
        <w:rPr>
          <w:b/>
        </w:rPr>
        <w:t>Ewaso Kedong Seasonal Stream</w:t>
      </w:r>
      <w:r>
        <w:t xml:space="preserve"> – 410 m south</w:t>
      </w:r>
    </w:p>
    <w:p>
      <w:pPr>
        <w:pStyle w:val="ListBullet"/>
      </w:pPr>
      <w:r/>
      <w:r>
        <w:rPr>
          <w:b/>
        </w:rPr>
        <w:t>Ndeiya Community Borehole</w:t>
      </w:r>
      <w:r>
        <w:t xml:space="preserve"> – 550 m north</w:t>
      </w:r>
    </w:p>
    <w:p>
      <w:pPr>
        <w:pStyle w:val="ListBullet"/>
      </w:pPr>
      <w:r/>
      <w:r>
        <w:rPr>
          <w:b/>
        </w:rPr>
        <w:t>Scattered Homesteads</w:t>
      </w:r>
      <w:r>
        <w:t xml:space="preserve"> – 200 m west</w:t>
      </w:r>
    </w:p>
    <w:p>
      <w:r>
        <w:t>These receptors are considered in the impact assessment for noise, glare, dust, and water quality.</w:t>
      </w:r>
    </w:p>
    <w:p>
      <w:r>
        <w:t>---</w:t>
      </w:r>
    </w:p>
    <w:p>
      <w:r>
        <w:t>## 2.11 Stakeholder Engagement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Engagement Tool</w:t>
            </w:r>
          </w:p>
        </w:tc>
        <w:tc>
          <w:tcPr>
            <w:tcW w:type="dxa" w:w="2880"/>
          </w:tcPr>
          <w:p>
            <w:r>
              <w:rPr>
                <w:b/>
              </w:rPr>
              <w:t>Date</w:t>
            </w:r>
          </w:p>
        </w:tc>
        <w:tc>
          <w:tcPr>
            <w:tcW w:type="dxa" w:w="2880"/>
          </w:tcPr>
          <w:p>
            <w:r>
              <w:rPr>
                <w:b/>
              </w:rPr>
              <w:t>Details</w:t>
            </w:r>
          </w:p>
        </w:tc>
      </w:tr>
      <w:tr>
        <w:tc>
          <w:tcPr>
            <w:tcW w:type="dxa" w:w="2880"/>
          </w:tcPr>
          <w:p>
            <w:r>
              <w:t>Newspaper Notice (The Standard)</w:t>
            </w:r>
          </w:p>
        </w:tc>
        <w:tc>
          <w:tcPr>
            <w:tcW w:type="dxa" w:w="2880"/>
          </w:tcPr>
          <w:p>
            <w:r>
              <w:t>14 Jul 2026</w:t>
            </w:r>
          </w:p>
        </w:tc>
        <w:tc>
          <w:tcPr>
            <w:tcW w:type="dxa" w:w="2880"/>
          </w:tcPr>
          <w:p>
            <w:r>
              <w:t>21‑day public notice published.</w:t>
            </w:r>
          </w:p>
        </w:tc>
      </w:tr>
      <w:tr>
        <w:tc>
          <w:tcPr>
            <w:tcW w:type="dxa" w:w="2880"/>
          </w:tcPr>
          <w:p>
            <w:r>
              <w:t>Baraza (Community Meeting)</w:t>
            </w:r>
          </w:p>
        </w:tc>
        <w:tc>
          <w:tcPr>
            <w:tcW w:type="dxa" w:w="2880"/>
          </w:tcPr>
          <w:p>
            <w:r>
              <w:t>6 Aug 2026</w:t>
            </w:r>
          </w:p>
        </w:tc>
        <w:tc>
          <w:tcPr>
            <w:tcW w:type="dxa" w:w="2880"/>
          </w:tcPr>
          <w:p>
            <w:r>
              <w:t>Held at Ndeiya Chief’s Camp; 94 attendees.</w:t>
            </w:r>
          </w:p>
        </w:tc>
      </w:tr>
      <w:tr>
        <w:tc>
          <w:tcPr>
            <w:tcW w:type="dxa" w:w="2880"/>
          </w:tcPr>
          <w:p>
            <w:r>
              <w:t>GRM</w:t>
            </w:r>
          </w:p>
        </w:tc>
        <w:tc>
          <w:tcPr>
            <w:tcW w:type="dxa" w:w="2880"/>
          </w:tcPr>
          <w:p>
            <w:r>
              <w:t>Ongoing</w:t>
            </w:r>
          </w:p>
        </w:tc>
        <w:tc>
          <w:tcPr>
            <w:tcW w:type="dxa" w:w="2880"/>
          </w:tcPr>
          <w:p>
            <w:r>
              <w:t>GRM Committee established; grievance register active.</w:t>
            </w:r>
          </w:p>
        </w:tc>
      </w:tr>
      <w:tr>
        <w:tc>
          <w:tcPr>
            <w:tcW w:type="dxa" w:w="2880"/>
          </w:tcPr>
          <w:p>
            <w:r>
              <w:t>Vulnerable Groups Identified</w:t>
            </w:r>
          </w:p>
        </w:tc>
        <w:tc>
          <w:tcPr>
            <w:tcW w:type="dxa" w:w="2880"/>
          </w:tcPr>
          <w:p>
            <w:r>
              <w:t>–</w:t>
            </w:r>
          </w:p>
        </w:tc>
        <w:tc>
          <w:tcPr>
            <w:tcW w:type="dxa" w:w="2880"/>
          </w:tcPr>
          <w:p>
            <w:r>
              <w:t>Grazing‑rights holders on adjacent unfenced land (distinct affected group).</w:t>
            </w:r>
          </w:p>
        </w:tc>
      </w:tr>
    </w:tbl>
    <w:p>
      <w:r>
        <w:t>Key concerns raised and corresponding mitigation actions are listed in Section 2.13.</w:t>
      </w:r>
    </w:p>
    <w:p>
      <w:r>
        <w:t>---</w:t>
      </w:r>
    </w:p>
    <w:p>
      <w:r>
        <w:t>## 2.12 Potential Environmental and Social Impacts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 Category</w:t>
            </w:r>
          </w:p>
        </w:tc>
        <w:tc>
          <w:tcPr>
            <w:tcW w:type="dxa" w:w="2880"/>
          </w:tcPr>
          <w:p>
            <w:r>
              <w:rPr>
                <w:b/>
              </w:rPr>
              <w:t>Potential Positive Impacts</w:t>
            </w:r>
          </w:p>
        </w:tc>
        <w:tc>
          <w:tcPr>
            <w:tcW w:type="dxa" w:w="2880"/>
          </w:tcPr>
          <w:p>
            <w:r>
              <w:rPr>
                <w:b/>
              </w:rPr>
              <w:t>Potential Negative Impacts</w:t>
            </w:r>
          </w:p>
        </w:tc>
      </w:tr>
      <w:tr>
        <w:tc>
          <w:tcPr>
            <w:tcW w:type="dxa" w:w="2880"/>
          </w:tcPr>
          <w:p>
            <w:r/>
            <w:r>
              <w:rPr>
                <w:b/>
              </w:rPr>
              <w:t>Air Quality</w:t>
            </w:r>
            <w:r/>
          </w:p>
        </w:tc>
        <w:tc>
          <w:tcPr>
            <w:tcW w:type="dxa" w:w="2880"/>
          </w:tcPr>
          <w:p>
            <w:r>
              <w:t>Reduction in fossil‑fuel‑based generation emissions.</w:t>
            </w:r>
          </w:p>
        </w:tc>
        <w:tc>
          <w:tcPr>
            <w:tcW w:type="dxa" w:w="2880"/>
          </w:tcPr>
          <w:p>
            <w:r>
              <w:t>Construction dust; baseline PM exceeds WHO limits – may exacerbate local exposure.</w:t>
            </w:r>
          </w:p>
        </w:tc>
      </w:tr>
      <w:tr>
        <w:tc>
          <w:tcPr>
            <w:tcW w:type="dxa" w:w="2880"/>
          </w:tcPr>
          <w:p>
            <w:r/>
            <w:r>
              <w:rPr>
                <w:b/>
              </w:rPr>
              <w:t>Noise</w:t>
            </w:r>
            <w:r/>
          </w:p>
        </w:tc>
        <w:tc>
          <w:tcPr>
            <w:tcW w:type="dxa" w:w="2880"/>
          </w:tcPr>
          <w:p>
            <w:r>
              <w:t>Low operational noise levels.</w:t>
            </w:r>
          </w:p>
        </w:tc>
        <w:tc>
          <w:tcPr>
            <w:tcW w:type="dxa" w:w="2880"/>
          </w:tcPr>
          <w:p>
            <w:r>
              <w:t>Temporary construction noise (equipment, traffic).</w:t>
            </w:r>
          </w:p>
        </w:tc>
      </w:tr>
      <w:tr>
        <w:tc>
          <w:tcPr>
            <w:tcW w:type="dxa" w:w="2880"/>
          </w:tcPr>
          <w:p>
            <w:r/>
            <w:r>
              <w:rPr>
                <w:b/>
              </w:rPr>
              <w:t>Land Use</w:t>
            </w:r>
            <w:r/>
          </w:p>
        </w:tc>
        <w:tc>
          <w:tcPr>
            <w:tcW w:type="dxa" w:w="2880"/>
          </w:tcPr>
          <w:p>
            <w:r>
              <w:t>Utilisation of under‑utilised grazing land for renewable energy.</w:t>
            </w:r>
          </w:p>
        </w:tc>
        <w:tc>
          <w:tcPr>
            <w:tcW w:type="dxa" w:w="2880"/>
          </w:tcPr>
          <w:p>
            <w:r>
              <w:t>Permanent loss of grazing area; restricted livestock movement.</w:t>
            </w:r>
          </w:p>
        </w:tc>
      </w:tr>
      <w:tr>
        <w:tc>
          <w:tcPr>
            <w:tcW w:type="dxa" w:w="2880"/>
          </w:tcPr>
          <w:p>
            <w:r/>
            <w:r>
              <w:rPr>
                <w:b/>
              </w:rPr>
              <w:t>Water Resources</w:t>
            </w:r>
            <w:r/>
          </w:p>
        </w:tc>
        <w:tc>
          <w:tcPr>
            <w:tcW w:type="dxa" w:w="2880"/>
          </w:tcPr>
          <w:p>
            <w:r>
              <w:t>No permanent abstraction from the seasonal stream.</w:t>
            </w:r>
          </w:p>
        </w:tc>
        <w:tc>
          <w:tcPr>
            <w:tcW w:type="dxa" w:w="2880"/>
          </w:tcPr>
          <w:p>
            <w:r>
              <w:t>Potential runoff and sedimentation affecting Ewaso Kedong (Water Act 2016).</w:t>
            </w:r>
          </w:p>
        </w:tc>
      </w:tr>
      <w:tr>
        <w:tc>
          <w:tcPr>
            <w:tcW w:type="dxa" w:w="2880"/>
          </w:tcPr>
          <w:p>
            <w:r/>
            <w:r>
              <w:rPr>
                <w:b/>
              </w:rPr>
              <w:t>Biodiversity</w:t>
            </w:r>
            <w:r/>
          </w:p>
        </w:tc>
        <w:tc>
          <w:tcPr>
            <w:tcW w:type="dxa" w:w="2880"/>
          </w:tcPr>
          <w:p>
            <w:r>
              <w:t>Minimal habitat disturbance due to low‑profile PV structures.</w:t>
            </w:r>
          </w:p>
        </w:tc>
        <w:tc>
          <w:tcPr>
            <w:tcW w:type="dxa" w:w="2880"/>
          </w:tcPr>
          <w:p>
            <w:r>
              <w:t>Habitat loss for ground‑nesting birds; possible collision risk.</w:t>
            </w:r>
          </w:p>
        </w:tc>
      </w:tr>
      <w:tr>
        <w:tc>
          <w:tcPr>
            <w:tcW w:type="dxa" w:w="2880"/>
          </w:tcPr>
          <w:p>
            <w:r/>
            <w:r>
              <w:rPr>
                <w:b/>
              </w:rPr>
              <w:t>Socio‑Economic</w:t>
            </w:r>
            <w:r/>
          </w:p>
        </w:tc>
        <w:tc>
          <w:tcPr>
            <w:tcW w:type="dxa" w:w="2880"/>
          </w:tcPr>
          <w:p>
            <w:r>
              <w:t>Creation of construction jobs; long‑term clean energy supply.</w:t>
            </w:r>
          </w:p>
        </w:tc>
        <w:tc>
          <w:tcPr>
            <w:tcW w:type="dxa" w:w="2880"/>
          </w:tcPr>
          <w:p>
            <w:r>
              <w:t>Limited permanent employment (contradictory staffing figures).</w:t>
            </w:r>
          </w:p>
        </w:tc>
      </w:tr>
      <w:tr>
        <w:tc>
          <w:tcPr>
            <w:tcW w:type="dxa" w:w="2880"/>
          </w:tcPr>
          <w:p>
            <w:r/>
            <w:r>
              <w:rPr>
                <w:b/>
              </w:rPr>
              <w:t>Visual &amp; Glare</w:t>
            </w:r>
            <w:r/>
          </w:p>
        </w:tc>
        <w:tc>
          <w:tcPr>
            <w:tcW w:type="dxa" w:w="2880"/>
          </w:tcPr>
          <w:p>
            <w:r>
              <w:t>Modern infrastructure may be perceived positively.</w:t>
            </w:r>
          </w:p>
        </w:tc>
        <w:tc>
          <w:tcPr>
            <w:tcW w:type="dxa" w:w="2880"/>
          </w:tcPr>
          <w:p>
            <w:r>
              <w:t>Glare affecting nearby homesteads and the primary school.</w:t>
            </w:r>
          </w:p>
        </w:tc>
      </w:tr>
    </w:tbl>
    <w:p>
      <w:r>
        <w:t>---</w:t>
      </w:r>
    </w:p>
    <w:p>
      <w:r>
        <w:t>## 2.13 Mitigation Measures and ESMP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Mitigation Measure</w:t>
            </w:r>
          </w:p>
        </w:tc>
        <w:tc>
          <w:tcPr>
            <w:tcW w:type="dxa" w:w="2880"/>
          </w:tcPr>
          <w:p>
            <w:r>
              <w:rPr>
                <w:b/>
              </w:rPr>
              <w:t>Reference</w:t>
            </w:r>
          </w:p>
        </w:tc>
      </w:tr>
      <w:tr>
        <w:tc>
          <w:tcPr>
            <w:tcW w:type="dxa" w:w="2880"/>
          </w:tcPr>
          <w:p>
            <w:r/>
            <w:r>
              <w:rPr>
                <w:b/>
              </w:rPr>
              <w:t>Loss of grazing land access</w:t>
            </w:r>
            <w:r/>
          </w:p>
        </w:tc>
        <w:tc>
          <w:tcPr>
            <w:tcW w:type="dxa" w:w="2880"/>
          </w:tcPr>
          <w:p>
            <w:r>
              <w:t>• Perimeter fencing set back to retain a 10 m grazing corridor.&lt;br&gt;• Compensation to grazing‑rights holders at Valuer‑General rates.&lt;br&gt;• Ongoing liaison through the GRM.</w:t>
            </w:r>
          </w:p>
        </w:tc>
        <w:tc>
          <w:tcPr>
            <w:tcW w:type="dxa" w:w="2880"/>
          </w:tcPr>
          <w:p>
            <w:r>
              <w:t>NEMA Guidelines on Land Use Change</w:t>
            </w:r>
          </w:p>
        </w:tc>
      </w:tr>
      <w:tr>
        <w:tc>
          <w:tcPr>
            <w:tcW w:type="dxa" w:w="2880"/>
          </w:tcPr>
          <w:p>
            <w:r/>
            <w:r>
              <w:rPr>
                <w:b/>
              </w:rPr>
              <w:t>Local employment expectations</w:t>
            </w:r>
            <w:r/>
          </w:p>
        </w:tc>
        <w:tc>
          <w:tcPr>
            <w:tcW w:type="dxa" w:w="2880"/>
          </w:tcPr>
          <w:p>
            <w:r>
              <w:t>• Transparent communication at the baraza that “fewer than 20 people will be employed on‑site during the operational phase” (automation reduces staffing needs).&lt;br&gt;• Prioritise local labour for construction (target 60 % local hires).</w:t>
            </w:r>
          </w:p>
        </w:tc>
        <w:tc>
          <w:tcPr>
            <w:tcW w:type="dxa" w:w="2880"/>
          </w:tcPr>
          <w:p>
            <w:r>
              <w:t>Kenya Employment Act; World Bank ESF – Employment</w:t>
            </w:r>
          </w:p>
        </w:tc>
      </w:tr>
      <w:tr>
        <w:tc>
          <w:tcPr>
            <w:tcW w:type="dxa" w:w="2880"/>
          </w:tcPr>
          <w:p>
            <w:r/>
            <w:r>
              <w:rPr>
                <w:b/>
              </w:rPr>
              <w:t>Glare affecting homesteads</w:t>
            </w:r>
            <w:r/>
          </w:p>
        </w:tc>
        <w:tc>
          <w:tcPr>
            <w:tcW w:type="dxa" w:w="2880"/>
          </w:tcPr>
          <w:p>
            <w:r>
              <w:t>• Use of anti‑reflective coating on PV modules.&lt;br&gt;• Orientation of homestead‑facing rows to minimise azimuthal glare.&lt;br&gt;• Post‑commissioning glare monitoring (quarterly).</w:t>
            </w:r>
          </w:p>
        </w:tc>
        <w:tc>
          <w:tcPr>
            <w:tcW w:type="dxa" w:w="2880"/>
          </w:tcPr>
          <w:p>
            <w:r>
              <w:t>NEMA Visual Impact Guidelines</w:t>
            </w:r>
          </w:p>
        </w:tc>
      </w:tr>
      <w:tr>
        <w:tc>
          <w:tcPr>
            <w:tcW w:type="dxa" w:w="2880"/>
          </w:tcPr>
          <w:p>
            <w:r/>
            <w:r>
              <w:rPr>
                <w:b/>
              </w:rPr>
              <w:t>Dust and particulate emissions</w:t>
            </w:r>
            <w:r/>
          </w:p>
        </w:tc>
        <w:tc>
          <w:tcPr>
            <w:tcW w:type="dxa" w:w="2880"/>
          </w:tcPr>
          <w:p>
            <w:r>
              <w:t>• Water‑spray dust suppression on unpaved roads.&lt;br&gt;• Speed limit of 20 km h on site roads.&lt;br&gt;• Daily monitoring of PM₂.₅ and PM₁₀; reporting to NEMA if exceedances occur.</w:t>
            </w:r>
          </w:p>
        </w:tc>
        <w:tc>
          <w:tcPr>
            <w:tcW w:type="dxa" w:w="2880"/>
          </w:tcPr>
          <w:p>
            <w:r>
              <w:t>WHO Air Quality Guidelines</w:t>
            </w:r>
          </w:p>
        </w:tc>
      </w:tr>
      <w:tr>
        <w:tc>
          <w:tcPr>
            <w:tcW w:type="dxa" w:w="2880"/>
          </w:tcPr>
          <w:p>
            <w:r/>
            <w:r>
              <w:rPr>
                <w:b/>
              </w:rPr>
              <w:t>Construction noise</w:t>
            </w:r>
            <w:r/>
          </w:p>
        </w:tc>
        <w:tc>
          <w:tcPr>
            <w:tcW w:type="dxa" w:w="2880"/>
          </w:tcPr>
          <w:p>
            <w:r>
              <w:t>• Restrict noisy activities to 07:00–19:00.&lt;br&gt;• Use of low‑noise equipment where feasible.&lt;br&gt;• Noise monitoring at the primary school (baseline 41 dBA).</w:t>
            </w:r>
          </w:p>
        </w:tc>
        <w:tc>
          <w:tcPr>
            <w:tcW w:type="dxa" w:w="2880"/>
          </w:tcPr>
          <w:p>
            <w:r>
              <w:t>NEMA Noise Standard</w:t>
            </w:r>
          </w:p>
        </w:tc>
      </w:tr>
    </w:tbl>
    <w:p>
      <w:r>
        <w:t xml:space="preserve">| </w:t>
      </w:r>
      <w:r>
        <w:rPr>
          <w:b/>
        </w:rPr>
        <w:t>Water runoff &amp; sedimentation</w:t>
      </w:r>
      <w:r>
        <w:t xml:space="preserve"> | • Sediment basins at the southern edge of the site.&lt;br&gt;• No permanent abstraction from Ewaso Kedong; use of existing community borehole for construction water.&lt;br&gt;• Compliance with Water Act 2016 (no discharge without permit). | Water Act 201</w:t>
      </w:r>
    </w:p>
    <w:p>
      <w:r>
        <w:br w:type="page"/>
      </w:r>
    </w:p>
    <w:p>
      <w:pPr>
        <w:pStyle w:val="Heading1"/>
      </w:pPr>
      <w:r>
        <w:t>Chapter 3: Analysis of Project Alternatives</w:t>
      </w:r>
    </w:p>
    <w:p>
      <w:r>
        <w:t>## 3.1. Purpose of the Alternatives Analysis</w:t>
      </w:r>
    </w:p>
    <w:p>
      <w:r>
        <w:t xml:space="preserve">The alternatives analysis evaluates feasible options for the Ndeiya Solar Power Plant against the statutory criteria set out in the </w:t>
      </w:r>
      <w:r>
        <w:rPr>
          <w:b/>
        </w:rPr>
        <w:t>Environmental Management and Coordination Act (EMCA) 1999</w:t>
      </w:r>
      <w:r>
        <w:t xml:space="preserve">, the </w:t>
      </w:r>
      <w:r>
        <w:rPr>
          <w:b/>
        </w:rPr>
        <w:t>NEMA Guidelines for Renewable Energy Projects</w:t>
      </w:r>
      <w:r>
        <w:t xml:space="preserve">, and the </w:t>
      </w:r>
      <w:r>
        <w:rPr>
          <w:b/>
        </w:rPr>
        <w:t>World Bank Environmental and Social Framework (ESF)</w:t>
      </w:r>
      <w:r>
        <w:t xml:space="preserve">. The objective is to identify the option that delivers the required energy output while minimizing adverse environmental and social impacts, respecting the rights of affected communities, and complying with the </w:t>
      </w:r>
      <w:r>
        <w:rPr>
          <w:b/>
        </w:rPr>
        <w:t>Water Act 2016</w:t>
      </w:r>
      <w:r>
        <w:t xml:space="preserve"> and WHO air‑quality guidelines.</w:t>
      </w:r>
    </w:p>
    <w:p>
      <w:r>
        <w:t>## 3.2. Screening of Alternatives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Alternative</w:t>
            </w:r>
          </w:p>
        </w:tc>
        <w:tc>
          <w:tcPr>
            <w:tcW w:type="dxa" w:w="1728"/>
          </w:tcPr>
          <w:p>
            <w:r>
              <w:rPr>
                <w:b/>
              </w:rPr>
              <w:t>Description</w:t>
            </w:r>
          </w:p>
        </w:tc>
        <w:tc>
          <w:tcPr>
            <w:tcW w:type="dxa" w:w="1728"/>
          </w:tcPr>
          <w:p>
            <w:r>
              <w:rPr>
                <w:b/>
              </w:rPr>
              <w:t>Technical Feasibility</w:t>
            </w:r>
          </w:p>
        </w:tc>
        <w:tc>
          <w:tcPr>
            <w:tcW w:type="dxa" w:w="1728"/>
          </w:tcPr>
          <w:p>
            <w:r>
              <w:rPr>
                <w:b/>
              </w:rPr>
              <w:t>Potential Impacts (Key)</w:t>
            </w:r>
          </w:p>
        </w:tc>
        <w:tc>
          <w:tcPr>
            <w:tcW w:type="dxa" w:w="1728"/>
          </w:tcPr>
          <w:p>
            <w:r>
              <w:rPr>
                <w:b/>
              </w:rPr>
              <w:t>Mitigation Complexity</w:t>
            </w:r>
          </w:p>
        </w:tc>
      </w:tr>
      <w:tr>
        <w:tc>
          <w:tcPr>
            <w:tcW w:type="dxa" w:w="1728"/>
          </w:tcPr>
          <w:p>
            <w:r/>
            <w:r>
              <w:rPr>
                <w:b/>
              </w:rPr>
              <w:t>A – No‑Project (Baseline)</w:t>
            </w:r>
            <w:r/>
          </w:p>
        </w:tc>
        <w:tc>
          <w:tcPr>
            <w:tcW w:type="dxa" w:w="1728"/>
          </w:tcPr>
          <w:p>
            <w:r>
              <w:t>Retain existing grazing land and open grassland.</w:t>
            </w:r>
          </w:p>
        </w:tc>
        <w:tc>
          <w:tcPr>
            <w:tcW w:type="dxa" w:w="1728"/>
          </w:tcPr>
          <w:p>
            <w:r>
              <w:t>N/A – No generation.</w:t>
            </w:r>
          </w:p>
        </w:tc>
        <w:tc>
          <w:tcPr>
            <w:tcW w:type="dxa" w:w="1728"/>
          </w:tcPr>
          <w:p>
            <w:r>
              <w:t>Continued low‑level emissions; no new noise, glare, or water abstraction.</w:t>
            </w:r>
          </w:p>
        </w:tc>
        <w:tc>
          <w:tcPr>
            <w:tcW w:type="dxa" w:w="1728"/>
          </w:tcPr>
          <w:p>
            <w:r>
              <w:t>None.</w:t>
            </w:r>
          </w:p>
        </w:tc>
      </w:tr>
      <w:tr>
        <w:tc>
          <w:tcPr>
            <w:tcW w:type="dxa" w:w="1728"/>
          </w:tcPr>
          <w:p>
            <w:r/>
            <w:r>
              <w:rPr>
                <w:b/>
              </w:rPr>
              <w:t>B – Reduced‑Capacity Solar PV (30 MW)</w:t>
            </w:r>
            <w:r/>
          </w:p>
        </w:tc>
        <w:tc>
          <w:tcPr>
            <w:tcW w:type="dxa" w:w="1728"/>
          </w:tcPr>
          <w:p>
            <w:r>
              <w:t>Install a single 30 MW phase on a portion of the 38.6 ha site, using a compact layout to keep the panel footprint within the site boundary.</w:t>
            </w:r>
          </w:p>
        </w:tc>
        <w:tc>
          <w:tcPr>
            <w:tcW w:type="dxa" w:w="1728"/>
          </w:tcPr>
          <w:p>
            <w:r>
              <w:t>Technically viable; aligns with grid interconnection capacity.</w:t>
            </w:r>
          </w:p>
        </w:tc>
        <w:tc>
          <w:tcPr>
            <w:tcW w:type="dxa" w:w="1728"/>
          </w:tcPr>
          <w:p>
            <w:r>
              <w:t>Smaller land take, reduced glare, lower water use, lower employment expectations.</w:t>
            </w:r>
          </w:p>
        </w:tc>
        <w:tc>
          <w:tcPr>
            <w:tcW w:type="dxa" w:w="1728"/>
          </w:tcPr>
          <w:p>
            <w:r>
              <w:t>Moderate – redesign of layout, revised financing.</w:t>
            </w:r>
          </w:p>
        </w:tc>
      </w:tr>
      <w:tr>
        <w:tc>
          <w:tcPr>
            <w:tcW w:type="dxa" w:w="1728"/>
          </w:tcPr>
          <w:p>
            <w:r/>
            <w:r>
              <w:rPr>
                <w:b/>
              </w:rPr>
              <w:t>C – Full‑Capacity Solar PV (45 MW) – Optimised Layout</w:t>
            </w:r>
            <w:r/>
          </w:p>
        </w:tc>
        <w:tc>
          <w:tcPr>
            <w:tcW w:type="dxa" w:w="1728"/>
          </w:tcPr>
          <w:p>
            <w:r>
              <w:t>Re‑configure the plant to fit the 45 MW capacity within the 38.6 ha site by adopting higher‑efficiency modules (e.g., bifacial panels) and tighter row spacing while preserving a 5 ha buffer for grazing access.</w:t>
            </w:r>
          </w:p>
        </w:tc>
        <w:tc>
          <w:tcPr>
            <w:tcW w:type="dxa" w:w="1728"/>
          </w:tcPr>
          <w:p>
            <w:r/>
            <w:r>
              <w:rPr>
                <w:b/>
              </w:rPr>
              <w:t>[CONTRADICTION: Plant capacity is 45 MW but engineering description lists 4 phases of 15 MW each (total 60 MW)]</w:t>
            </w:r>
            <w:r>
              <w:t>. Feasibility depends on confirming the correct capacity.</w:t>
            </w:r>
          </w:p>
        </w:tc>
        <w:tc>
          <w:tcPr>
            <w:tcW w:type="dxa" w:w="1728"/>
          </w:tcPr>
          <w:p>
            <w:r>
              <w:t>Land‑use change, glare, noise during construction, water abstraction for panel cleaning.</w:t>
            </w:r>
          </w:p>
        </w:tc>
        <w:tc>
          <w:tcPr>
            <w:tcW w:type="dxa" w:w="1728"/>
          </w:tcPr>
          <w:p>
            <w:r>
              <w:t>High – requires detailed engineering redesign and additional mitigation for glare.</w:t>
            </w:r>
          </w:p>
        </w:tc>
      </w:tr>
      <w:tr>
        <w:tc>
          <w:tcPr>
            <w:tcW w:type="dxa" w:w="1728"/>
          </w:tcPr>
          <w:p>
            <w:r/>
            <w:r>
              <w:rPr>
                <w:b/>
              </w:rPr>
              <w:t>D – Full‑Capacity Solar PV (45 MW) – Relocated Site</w:t>
            </w:r>
            <w:r/>
          </w:p>
        </w:tc>
        <w:tc>
          <w:tcPr>
            <w:tcW w:type="dxa" w:w="1728"/>
          </w:tcPr>
          <w:p>
            <w:r>
              <w:t>Shift the plant to an adjacent, less‑sensitive parcel (≈45 ha) that is currently fallow agricultural land.</w:t>
            </w:r>
          </w:p>
        </w:tc>
        <w:tc>
          <w:tcPr>
            <w:tcW w:type="dxa" w:w="1728"/>
          </w:tcPr>
          <w:p>
            <w:r>
              <w:t>Feasible if land acquisition is secured.</w:t>
            </w:r>
          </w:p>
        </w:tc>
        <w:tc>
          <w:tcPr>
            <w:tcW w:type="dxa" w:w="1728"/>
          </w:tcPr>
          <w:p>
            <w:r>
              <w:t>Loss of agricultural land, potential displacement of different user groups, similar operational impacts as Alternative C.</w:t>
            </w:r>
          </w:p>
        </w:tc>
        <w:tc>
          <w:tcPr>
            <w:tcW w:type="dxa" w:w="1728"/>
          </w:tcPr>
          <w:p>
            <w:r>
              <w:t>High – new stakeholder engagement, land acquisition, and compensation processes.</w:t>
            </w:r>
          </w:p>
        </w:tc>
      </w:tr>
      <w:tr>
        <w:tc>
          <w:tcPr>
            <w:tcW w:type="dxa" w:w="1728"/>
          </w:tcPr>
          <w:p>
            <w:r/>
            <w:r>
              <w:rPr>
                <w:b/>
              </w:rPr>
              <w:t>E – Hybrid Solar‑Wind (45 MW equivalent)</w:t>
            </w:r>
            <w:r/>
          </w:p>
        </w:tc>
        <w:tc>
          <w:tcPr>
            <w:tcW w:type="dxa" w:w="1728"/>
          </w:tcPr>
          <w:p>
            <w:r>
              <w:t>Combine 30 MW PV with 15 MW small‑scale wind turbines on the same site.</w:t>
            </w:r>
          </w:p>
        </w:tc>
        <w:tc>
          <w:tcPr>
            <w:tcW w:type="dxa" w:w="1728"/>
          </w:tcPr>
          <w:p>
            <w:r>
              <w:t>Technically possible; wind resource data not provided.</w:t>
            </w:r>
          </w:p>
        </w:tc>
        <w:tc>
          <w:tcPr>
            <w:tcW w:type="dxa" w:w="1728"/>
          </w:tcPr>
          <w:p>
            <w:r>
              <w:t>Additional visual impact, noise from turbines, higher biodiversity disturbance.</w:t>
            </w:r>
          </w:p>
        </w:tc>
        <w:tc>
          <w:tcPr>
            <w:tcW w:type="dxa" w:w="1728"/>
          </w:tcPr>
          <w:p>
            <w:r>
              <w:t>Very high – need for wind‑resource assessment, additional mitigation for avian impacts.</w:t>
            </w:r>
          </w:p>
        </w:tc>
      </w:tr>
    </w:tbl>
    <w:p>
      <w:r>
        <w:t xml:space="preserve">Only alternatives </w:t>
      </w:r>
      <w:r>
        <w:rPr>
          <w:b/>
        </w:rPr>
        <w:t>B</w:t>
      </w:r>
      <w:r>
        <w:t xml:space="preserve">, </w:t>
      </w:r>
      <w:r>
        <w:rPr>
          <w:b/>
        </w:rPr>
        <w:t>C</w:t>
      </w:r>
      <w:r>
        <w:t xml:space="preserve">, and </w:t>
      </w:r>
      <w:r>
        <w:rPr>
          <w:b/>
        </w:rPr>
        <w:t>D</w:t>
      </w:r>
      <w:r>
        <w:t xml:space="preserve"> are considered technically and economically realistic for delivering the required electricity output. Alternatives </w:t>
      </w:r>
      <w:r>
        <w:rPr>
          <w:b/>
        </w:rPr>
        <w:t>A</w:t>
      </w:r>
      <w:r>
        <w:t xml:space="preserve"> and </w:t>
      </w:r>
      <w:r>
        <w:rPr>
          <w:b/>
        </w:rPr>
        <w:t>E</w:t>
      </w:r>
      <w:r>
        <w:t xml:space="preserve"> are retained for completeness but are not pursued further.</w:t>
      </w:r>
    </w:p>
    <w:p>
      <w:r>
        <w:t>## 3.3. Detailed Evaluation of Viable Alternatives</w:t>
      </w:r>
    </w:p>
    <w:p>
      <w:r>
        <w:t>### 3.3.1. Alternative B – Reduced‑Capacity Solar PV (30 MW)</w:t>
      </w:r>
    </w:p>
    <w:p>
      <w:r/>
      <w:r>
        <w:rPr>
          <w:b/>
        </w:rPr>
        <w:t>Land Use</w:t>
      </w:r>
      <w:r/>
    </w:p>
    <w:p>
      <w:pPr>
        <w:pStyle w:val="ListBullet"/>
      </w:pPr>
      <w:r>
        <w:t xml:space="preserve">Proposed footprint: </w:t>
      </w:r>
      <w:r>
        <w:rPr>
          <w:b/>
        </w:rPr>
        <w:t>[MISSING: Panel footprint for 30 MW]</w:t>
      </w:r>
      <w:r>
        <w:t xml:space="preserve"> (to be confined within the 38.6 ha site).</w:t>
      </w:r>
    </w:p>
    <w:p>
      <w:pPr>
        <w:pStyle w:val="ListBullet"/>
      </w:pPr>
      <w:r>
        <w:t>Retains a minimum of 8 ha of grazing land, addressing the grazing‑rights concerns raised at the baraza.</w:t>
      </w:r>
    </w:p>
    <w:p>
      <w:r/>
      <w:r>
        <w:rPr>
          <w:b/>
        </w:rPr>
        <w:t>Water Use</w:t>
      </w:r>
      <w:r/>
    </w:p>
    <w:p>
      <w:pPr>
        <w:pStyle w:val="ListBullet"/>
      </w:pPr>
      <w:r>
        <w:t xml:space="preserve">Estimated water demand for panel cleaning: </w:t>
      </w:r>
      <w:r>
        <w:rPr>
          <w:b/>
        </w:rPr>
        <w:t>[MISSING: Annual water abstraction volume]</w:t>
      </w:r>
      <w:r>
        <w:t>.</w:t>
      </w:r>
    </w:p>
    <w:p>
      <w:pPr>
        <w:pStyle w:val="ListBullet"/>
      </w:pPr>
      <w:r>
        <w:t xml:space="preserve">Under the </w:t>
      </w:r>
      <w:r>
        <w:rPr>
          <w:b/>
        </w:rPr>
        <w:t>Water Act 2016</w:t>
      </w:r>
      <w:r>
        <w:t>, any abstraction &gt;1 m³/day requires a permit; the projected volume is expected to be below this threshold, but a water‑use licence will be sought as a precaution.</w:t>
      </w:r>
    </w:p>
    <w:p>
      <w:r/>
      <w:r>
        <w:rPr>
          <w:b/>
        </w:rPr>
        <w:t>Air Quality &amp; Noise</w:t>
      </w:r>
      <w:r/>
    </w:p>
    <w:p>
      <w:pPr>
        <w:pStyle w:val="ListBullet"/>
      </w:pPr>
      <w:r>
        <w:t>Construction emissions are expected to be comparable to the baseline (PM2.5 11 µg/m³, PM10 24 µg/m³). Both exceed WHO 2021 guideline values of 5 µg/m³ (PM2.5) and 15 µg/m³ (PM10). Mitigation includes dust suppression and low‑emission construction equipment.</w:t>
      </w:r>
    </w:p>
    <w:p>
      <w:pPr>
        <w:pStyle w:val="ListBullet"/>
      </w:pPr>
      <w:r>
        <w:t xml:space="preserve">Operational noise is projected at </w:t>
      </w:r>
      <w:r>
        <w:rPr>
          <w:b/>
        </w:rPr>
        <w:t>41 dBA</w:t>
      </w:r>
      <w:r>
        <w:t>, matching the baseline and within NEMA’s acceptable limits for residential zones (&lt;55 dBA).</w:t>
      </w:r>
    </w:p>
    <w:p>
      <w:r/>
      <w:r>
        <w:rPr>
          <w:b/>
        </w:rPr>
        <w:t>Social Impacts</w:t>
      </w:r>
      <w:r/>
    </w:p>
    <w:p>
      <w:pPr>
        <w:pStyle w:val="ListBullet"/>
      </w:pPr>
      <w:r>
        <w:t xml:space="preserve">Permanent operational staff: </w:t>
      </w:r>
      <w:r>
        <w:rPr>
          <w:b/>
        </w:rPr>
        <w:t>[MISSING: Employment figure for 30 MW]</w:t>
      </w:r>
      <w:r>
        <w:t xml:space="preserve"> (expected to be lower than the 82 permanent staff cited for the 45 MW design). This aligns with community expectations that “fewer than 20 people will be employed on‑site during the operational phase.”</w:t>
      </w:r>
    </w:p>
    <w:p>
      <w:pPr>
        <w:pStyle w:val="ListBullet"/>
      </w:pPr>
      <w:r>
        <w:t>Grazing‑right holders retain access via a 5 m wide perimeter corridor; compensation will follow Valuer‑General rates.</w:t>
      </w:r>
    </w:p>
    <w:p>
      <w:r/>
      <w:r>
        <w:rPr>
          <w:b/>
        </w:rPr>
        <w:t>Overall Assessment</w:t>
      </w:r>
      <w:r/>
    </w:p>
    <w:p>
      <w:r>
        <w:t>Alternative B reduces land‑take, mitigates glare, and aligns better with community employment expectations, while still delivering a meaningful contribution to Kenya’s renewable‑energy targets.</w:t>
      </w:r>
    </w:p>
    <w:p>
      <w:r>
        <w:t>### 3.3.2. Alternative C – Full‑Capacity Optimised Solar PV (45 MW)</w:t>
      </w:r>
    </w:p>
    <w:p>
      <w:r/>
      <w:r>
        <w:rPr>
          <w:b/>
        </w:rPr>
        <w:t>Technical Note</w:t>
      </w:r>
      <w:r/>
    </w:p>
    <w:p>
      <w:pPr>
        <w:pStyle w:val="ListBullet"/>
      </w:pPr>
      <w:r/>
      <w:r>
        <w:rPr>
          <w:b/>
        </w:rPr>
        <w:t>[CONTRADICTION: Plant capacity is 45 MW but engineering description lists 4 phases of 15 MW each (total 60 MW)]</w:t>
      </w:r>
      <w:r>
        <w:t>. Clarification is required before final design.</w:t>
      </w:r>
    </w:p>
    <w:p>
      <w:r/>
      <w:r>
        <w:rPr>
          <w:b/>
        </w:rPr>
        <w:t>Land Use</w:t>
      </w:r>
      <w:r/>
    </w:p>
    <w:p>
      <w:pPr>
        <w:pStyle w:val="ListBullet"/>
      </w:pPr>
      <w:r>
        <w:t xml:space="preserve">Current panel footprint is </w:t>
      </w:r>
      <w:r>
        <w:rPr>
          <w:b/>
        </w:rPr>
        <w:t>52 ha</w:t>
      </w:r>
      <w:r>
        <w:t xml:space="preserve">, which exceeds the available </w:t>
      </w:r>
      <w:r>
        <w:rPr>
          <w:b/>
        </w:rPr>
        <w:t>38.6 ha</w:t>
      </w:r>
      <w:r>
        <w:t xml:space="preserve"> site area. </w:t>
      </w:r>
      <w:r>
        <w:rPr>
          <w:b/>
        </w:rPr>
        <w:t>[CONTRADICTION: Site area is 38.6 ha but footprint is 52 ha]</w:t>
      </w:r>
      <w:r>
        <w:t>. An optimised layout using higher‑efficiency modules is proposed to bring the footprint within the site boundary, but detailed engineering studies are pending.</w:t>
      </w:r>
    </w:p>
    <w:p>
      <w:r/>
      <w:r>
        <w:rPr>
          <w:b/>
        </w:rPr>
        <w:t>Water Use</w:t>
      </w:r>
      <w:r/>
    </w:p>
    <w:p>
      <w:pPr>
        <w:pStyle w:val="ListBullet"/>
      </w:pPr>
      <w:r>
        <w:t xml:space="preserve">Anticipated water abstraction for cleaning: </w:t>
      </w:r>
      <w:r>
        <w:rPr>
          <w:b/>
        </w:rPr>
        <w:t>[MISSING: Annual water abstraction volume for 45 MW]</w:t>
      </w:r>
      <w:r>
        <w:t xml:space="preserve">. Under the </w:t>
      </w:r>
      <w:r>
        <w:rPr>
          <w:b/>
        </w:rPr>
        <w:t>Water Act 2016</w:t>
      </w:r>
      <w:r>
        <w:t>, a water‑use licence will be required if abstraction exceeds 1 m³/day.</w:t>
      </w:r>
    </w:p>
    <w:p>
      <w:r/>
      <w:r>
        <w:rPr>
          <w:b/>
        </w:rPr>
        <w:t>Air Quality &amp; Noise</w:t>
      </w:r>
      <w:r/>
    </w:p>
    <w:p>
      <w:pPr>
        <w:pStyle w:val="ListBullet"/>
      </w:pPr>
      <w:r>
        <w:t>Construction‑phase dust and emissions are similar to Alternative B; baseline exceeds WHO limits, requiring continuous dust‑control measures.</w:t>
      </w:r>
    </w:p>
    <w:p>
      <w:pPr>
        <w:pStyle w:val="ListBullet"/>
      </w:pPr>
      <w:r>
        <w:t xml:space="preserve">Operational noise remains at </w:t>
      </w:r>
      <w:r>
        <w:rPr>
          <w:b/>
        </w:rPr>
        <w:t>41 dBA</w:t>
      </w:r>
      <w:r>
        <w:t>, within acceptable limits.</w:t>
      </w:r>
    </w:p>
    <w:p>
      <w:r/>
      <w:r>
        <w:rPr>
          <w:b/>
        </w:rPr>
        <w:t>Social Impacts</w:t>
      </w:r>
      <w:r/>
    </w:p>
    <w:p>
      <w:pPr>
        <w:pStyle w:val="ListBullet"/>
      </w:pPr>
      <w:r>
        <w:t xml:space="preserve">The project states </w:t>
      </w:r>
      <w:r>
        <w:rPr>
          <w:b/>
        </w:rPr>
        <w:t>82 permanent operations staff</w:t>
      </w:r>
      <w:r>
        <w:t xml:space="preserve">, yet the baraza communication indicated “fewer than 20 people will be employed on‑site during the operational phase.” </w:t>
      </w:r>
      <w:r>
        <w:rPr>
          <w:b/>
        </w:rPr>
        <w:t>[CONTRADICTION: Direct Operations Employment 82 vs. community expectation of &lt;20]</w:t>
      </w:r>
      <w:r>
        <w:t>. This discrepancy must be resolved to avoid community dissatisfaction.</w:t>
      </w:r>
    </w:p>
    <w:p>
      <w:pPr>
        <w:pStyle w:val="ListBullet"/>
      </w:pPr>
      <w:r>
        <w:t>Grazing‑right mitigation (perimeter fencing, compensation) remains applicable.</w:t>
      </w:r>
    </w:p>
    <w:p>
      <w:r/>
      <w:r>
        <w:rPr>
          <w:b/>
        </w:rPr>
        <w:t>Overall Assessment</w:t>
      </w:r>
      <w:r/>
    </w:p>
    <w:p>
      <w:r>
        <w:t>Alternative C offers the highest energy output but currently suffers from land‑area and employment contradictions that must be rectified. Additional engineering redesign and stakeholder dialogue are essential.</w:t>
      </w:r>
    </w:p>
    <w:p>
      <w:r>
        <w:t>### 3.3.3. Alternative D – Relocated Full‑Capacity Solar PV (45 MW)</w:t>
      </w:r>
    </w:p>
    <w:p>
      <w:r/>
      <w:r>
        <w:rPr>
          <w:b/>
        </w:rPr>
        <w:t>Site Characteristics</w:t>
      </w:r>
      <w:r/>
    </w:p>
    <w:p>
      <w:pPr>
        <w:pStyle w:val="ListBullet"/>
      </w:pPr>
      <w:r>
        <w:t xml:space="preserve">Proposed alternative parcel: </w:t>
      </w:r>
      <w:r>
        <w:rPr>
          <w:b/>
        </w:rPr>
        <w:t>≈45 ha</w:t>
      </w:r>
      <w:r>
        <w:t xml:space="preserve"> (size inferred from need to accommodate a 52 ha footprint after redesign). Detailed land‑use survey data are </w:t>
      </w:r>
      <w:r>
        <w:rPr>
          <w:b/>
        </w:rPr>
        <w:t>[MISSING: Soil and geotechnical data for the alternative parcel]</w:t>
      </w:r>
      <w:r>
        <w:t>.</w:t>
      </w:r>
    </w:p>
    <w:p>
      <w:r/>
      <w:r>
        <w:rPr>
          <w:b/>
        </w:rPr>
        <w:t>Impacts</w:t>
      </w:r>
      <w:r/>
    </w:p>
    <w:p>
      <w:pPr>
        <w:pStyle w:val="ListBullet"/>
      </w:pPr>
      <w:r>
        <w:t>Land conversion from fallow agriculture to solar PV will affect local food security and may displace different user groups.</w:t>
      </w:r>
    </w:p>
    <w:p>
      <w:pPr>
        <w:pStyle w:val="ListBullet"/>
      </w:pPr>
      <w:r>
        <w:t>Similar water, air‑quality, and noise impacts as Alternative C, but the relocation removes the direct conflict with grazing‑right holders at the original site.</w:t>
      </w:r>
    </w:p>
    <w:p>
      <w:r/>
      <w:r>
        <w:rPr>
          <w:b/>
        </w:rPr>
        <w:t>Social Considerations</w:t>
      </w:r>
      <w:r/>
    </w:p>
    <w:p>
      <w:pPr>
        <w:pStyle w:val="ListBullet"/>
      </w:pPr>
      <w:r>
        <w:t>New affected groups (e.g., smallholder farmers) will require a separate GRM process and compensation in line with NEMA guidelines.</w:t>
      </w:r>
    </w:p>
    <w:p>
      <w:pPr>
        <w:pStyle w:val="ListBullet"/>
      </w:pPr>
      <w:r>
        <w:t>Employment expectations remain unchanged; the same clarification on staff numbers is required.</w:t>
      </w:r>
    </w:p>
    <w:p>
      <w:r/>
      <w:r>
        <w:rPr>
          <w:b/>
        </w:rPr>
        <w:t>Overall Assessment</w:t>
      </w:r>
      <w:r/>
    </w:p>
    <w:p>
      <w:r>
        <w:t>Relocation eliminates the grazing‑right conflict but introduces new land‑use and stakeholder challenges. The cost and time implications of land acquisition and new community engagement are significant.</w:t>
      </w:r>
    </w:p>
    <w:p>
      <w:r>
        <w:t>## 3.4. Comparative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Alternative A (No‑Project)</w:t>
            </w:r>
          </w:p>
        </w:tc>
        <w:tc>
          <w:tcPr>
            <w:tcW w:type="dxa" w:w="1728"/>
          </w:tcPr>
          <w:p>
            <w:r>
              <w:rPr>
                <w:b/>
              </w:rPr>
              <w:t>Alternative B (30 MW)</w:t>
            </w:r>
          </w:p>
        </w:tc>
        <w:tc>
          <w:tcPr>
            <w:tcW w:type="dxa" w:w="1728"/>
          </w:tcPr>
          <w:p>
            <w:r>
              <w:rPr>
                <w:b/>
              </w:rPr>
              <w:t>Alternative C (45 MW – Optimised)</w:t>
            </w:r>
          </w:p>
        </w:tc>
        <w:tc>
          <w:tcPr>
            <w:tcW w:type="dxa" w:w="1728"/>
          </w:tcPr>
          <w:p>
            <w:r>
              <w:rPr>
                <w:b/>
              </w:rPr>
              <w:t>Alternative D (45 MW – Relocated)</w:t>
            </w:r>
          </w:p>
        </w:tc>
      </w:tr>
      <w:tr>
        <w:tc>
          <w:tcPr>
            <w:tcW w:type="dxa" w:w="1728"/>
          </w:tcPr>
          <w:p>
            <w:r>
              <w:t>Energy Output (MW)</w:t>
            </w:r>
          </w:p>
        </w:tc>
        <w:tc>
          <w:tcPr>
            <w:tcW w:type="dxa" w:w="1728"/>
          </w:tcPr>
          <w:p>
            <w:r>
              <w:t>0</w:t>
            </w:r>
          </w:p>
        </w:tc>
        <w:tc>
          <w:tcPr>
            <w:tcW w:type="dxa" w:w="1728"/>
          </w:tcPr>
          <w:p>
            <w:r>
              <w:t>30</w:t>
            </w:r>
          </w:p>
        </w:tc>
        <w:tc>
          <w:tcPr>
            <w:tcW w:type="dxa" w:w="1728"/>
          </w:tcPr>
          <w:p>
            <w:r>
              <w:t>45</w:t>
            </w:r>
          </w:p>
        </w:tc>
        <w:tc>
          <w:tcPr>
            <w:tcW w:type="dxa" w:w="1728"/>
          </w:tcPr>
          <w:p>
            <w:r>
              <w:t>45</w:t>
            </w:r>
          </w:p>
        </w:tc>
      </w:tr>
      <w:tr>
        <w:tc>
          <w:tcPr>
            <w:tcW w:type="dxa" w:w="1728"/>
          </w:tcPr>
          <w:p>
            <w:r>
              <w:t>Land Take (ha)</w:t>
            </w:r>
          </w:p>
        </w:tc>
        <w:tc>
          <w:tcPr>
            <w:tcW w:type="dxa" w:w="1728"/>
          </w:tcPr>
          <w:p>
            <w:r>
              <w:t>0</w:t>
            </w:r>
          </w:p>
        </w:tc>
        <w:tc>
          <w:tcPr>
            <w:tcW w:type="dxa" w:w="1728"/>
          </w:tcPr>
          <w:p>
            <w:r/>
            <w:r>
              <w:rPr>
                <w:b/>
              </w:rPr>
              <w:t>[MISSING: Footprint]</w:t>
            </w:r>
            <w:r>
              <w:t xml:space="preserve"> (≤38.6)</w:t>
            </w:r>
          </w:p>
        </w:tc>
        <w:tc>
          <w:tcPr>
            <w:tcW w:type="dxa" w:w="1728"/>
          </w:tcPr>
          <w:p>
            <w:r/>
            <w:r>
              <w:rPr>
                <w:b/>
              </w:rPr>
              <w:t>[MISSING: Optimised footprint]</w:t>
            </w:r>
            <w:r>
              <w:t xml:space="preserve"> (≤38.6)</w:t>
            </w:r>
          </w:p>
        </w:tc>
        <w:tc>
          <w:tcPr>
            <w:tcW w:type="dxa" w:w="1728"/>
          </w:tcPr>
          <w:p>
            <w:r>
              <w:t>≈45 (requires new land)</w:t>
            </w:r>
          </w:p>
        </w:tc>
      </w:tr>
      <w:tr>
        <w:tc>
          <w:tcPr>
            <w:tcW w:type="dxa" w:w="1728"/>
          </w:tcPr>
          <w:p>
            <w:r>
              <w:t>Water Abstraction (m³/day)</w:t>
            </w:r>
          </w:p>
        </w:tc>
        <w:tc>
          <w:tcPr>
            <w:tcW w:type="dxa" w:w="1728"/>
          </w:tcPr>
          <w:p>
            <w:r>
              <w:t>0</w:t>
            </w:r>
          </w:p>
        </w:tc>
        <w:tc>
          <w:tcPr>
            <w:tcW w:type="dxa" w:w="1728"/>
          </w:tcPr>
          <w:p>
            <w:r/>
            <w:r>
              <w:rPr>
                <w:b/>
              </w:rPr>
              <w:t>[MISSING]</w:t>
            </w:r>
            <w:r>
              <w:t xml:space="preserve"> (&lt;1)</w:t>
            </w:r>
          </w:p>
        </w:tc>
        <w:tc>
          <w:tcPr>
            <w:tcW w:type="dxa" w:w="1728"/>
          </w:tcPr>
          <w:p>
            <w:r/>
            <w:r>
              <w:rPr>
                <w:b/>
              </w:rPr>
              <w:t>[MISSING]</w:t>
            </w:r>
            <w:r>
              <w:t xml:space="preserve"> (likely &gt;1)</w:t>
            </w:r>
          </w:p>
        </w:tc>
        <w:tc>
          <w:tcPr>
            <w:tcW w:type="dxa" w:w="1728"/>
          </w:tcPr>
          <w:p>
            <w:r/>
            <w:r>
              <w:rPr>
                <w:b/>
              </w:rPr>
              <w:t>[MISSING]</w:t>
            </w:r>
            <w:r>
              <w:t xml:space="preserve"> (likely &gt;1)</w:t>
            </w:r>
          </w:p>
        </w:tc>
      </w:tr>
      <w:tr>
        <w:tc>
          <w:tcPr>
            <w:tcW w:type="dxa" w:w="1728"/>
          </w:tcPr>
          <w:p>
            <w:r>
              <w:t>Employment (permanent)</w:t>
            </w:r>
          </w:p>
        </w:tc>
        <w:tc>
          <w:tcPr>
            <w:tcW w:type="dxa" w:w="1728"/>
          </w:tcPr>
          <w:p>
            <w:r>
              <w:t>0</w:t>
            </w:r>
          </w:p>
        </w:tc>
        <w:tc>
          <w:tcPr>
            <w:tcW w:type="dxa" w:w="1728"/>
          </w:tcPr>
          <w:p>
            <w:r/>
            <w:r>
              <w:rPr>
                <w:b/>
              </w:rPr>
              <w:t>[MISSING]</w:t>
            </w:r>
            <w:r>
              <w:t xml:space="preserve"> (≤20)</w:t>
            </w:r>
          </w:p>
        </w:tc>
        <w:tc>
          <w:tcPr>
            <w:tcW w:type="dxa" w:w="1728"/>
          </w:tcPr>
          <w:p>
            <w:r>
              <w:t>82 (contradicts community expectation)</w:t>
            </w:r>
          </w:p>
        </w:tc>
        <w:tc>
          <w:tcPr>
            <w:tcW w:type="dxa" w:w="1728"/>
          </w:tcPr>
          <w:p>
            <w:r>
              <w:t>82 (same contradiction)</w:t>
            </w:r>
          </w:p>
        </w:tc>
      </w:tr>
      <w:tr>
        <w:tc>
          <w:tcPr>
            <w:tcW w:type="dxa" w:w="1728"/>
          </w:tcPr>
          <w:p>
            <w:r>
              <w:t>Grazing‑right Impact</w:t>
            </w:r>
          </w:p>
        </w:tc>
        <w:tc>
          <w:tcPr>
            <w:tcW w:type="dxa" w:w="1728"/>
          </w:tcPr>
          <w:p>
            <w:r>
              <w:t>None</w:t>
            </w:r>
          </w:p>
        </w:tc>
        <w:tc>
          <w:tcPr>
            <w:tcW w:type="dxa" w:w="1728"/>
          </w:tcPr>
          <w:p>
            <w:r>
              <w:t>Preserved corridor</w:t>
            </w:r>
          </w:p>
        </w:tc>
        <w:tc>
          <w:tcPr>
            <w:tcW w:type="dxa" w:w="1728"/>
          </w:tcPr>
          <w:p>
            <w:r/>
            <w:r>
              <w:rPr>
                <w:b/>
              </w:rPr>
              <w:t>[CONTRADICTION: Perimeter fencing vs. employment claim]</w:t>
            </w:r>
            <w:r/>
          </w:p>
        </w:tc>
        <w:tc>
          <w:tcPr>
            <w:tcW w:type="dxa" w:w="1728"/>
          </w:tcPr>
          <w:p>
            <w:r>
              <w:t>Not applicable (different site)</w:t>
            </w:r>
          </w:p>
        </w:tc>
      </w:tr>
      <w:tr>
        <w:tc>
          <w:tcPr>
            <w:tcW w:type="dxa" w:w="1728"/>
          </w:tcPr>
          <w:p>
            <w:r>
              <w:t>Glare Impact</w:t>
            </w:r>
          </w:p>
        </w:tc>
        <w:tc>
          <w:tcPr>
            <w:tcW w:type="dxa" w:w="1728"/>
          </w:tcPr>
          <w:p>
            <w:r>
              <w:t>None</w:t>
            </w:r>
          </w:p>
        </w:tc>
        <w:tc>
          <w:tcPr>
            <w:tcW w:type="dxa" w:w="1728"/>
          </w:tcPr>
          <w:p>
            <w:r>
              <w:t>Minimal (anti‑reflective coating)</w:t>
            </w:r>
          </w:p>
        </w:tc>
        <w:tc>
          <w:tcPr>
            <w:tcW w:type="dxa" w:w="1728"/>
          </w:tcPr>
          <w:p>
            <w:r>
              <w:t>Requires anti‑glare design; risk higher</w:t>
            </w:r>
          </w:p>
        </w:tc>
        <w:tc>
          <w:tcPr>
            <w:tcW w:type="dxa" w:w="1728"/>
          </w:tcPr>
          <w:p>
            <w:r>
              <w:t>Same as C</w:t>
            </w:r>
          </w:p>
        </w:tc>
      </w:tr>
      <w:tr>
        <w:tc>
          <w:tcPr>
            <w:tcW w:type="dxa" w:w="1728"/>
          </w:tcPr>
          <w:p>
            <w:r>
              <w:t>Compliance Complexity</w:t>
            </w:r>
          </w:p>
        </w:tc>
        <w:tc>
          <w:tcPr>
            <w:tcW w:type="dxa" w:w="1728"/>
          </w:tcPr>
          <w:p>
            <w:r>
              <w:t>N/A</w:t>
            </w:r>
          </w:p>
        </w:tc>
        <w:tc>
          <w:tcPr>
            <w:tcW w:type="dxa" w:w="1728"/>
          </w:tcPr>
          <w:p>
            <w:r>
              <w:t>Low</w:t>
            </w:r>
          </w:p>
        </w:tc>
        <w:tc>
          <w:tcPr>
            <w:tcW w:type="dxa" w:w="1728"/>
          </w:tcPr>
          <w:p>
            <w:r>
              <w:t>High (land‑area &amp; staffing contradictions)</w:t>
            </w:r>
          </w:p>
        </w:tc>
        <w:tc>
          <w:tcPr>
            <w:tcW w:type="dxa" w:w="1728"/>
          </w:tcPr>
          <w:p>
            <w:r>
              <w:t>High (new land acquisition)</w:t>
            </w:r>
          </w:p>
        </w:tc>
      </w:tr>
      <w:tr>
        <w:tc>
          <w:tcPr>
            <w:tcW w:type="dxa" w:w="1728"/>
          </w:tcPr>
          <w:p>
            <w:r>
              <w:t>Cost Implication (KES)</w:t>
            </w:r>
          </w:p>
        </w:tc>
        <w:tc>
          <w:tcPr>
            <w:tcW w:type="dxa" w:w="1728"/>
          </w:tcPr>
          <w:p>
            <w:r>
              <w:t>0</w:t>
            </w:r>
          </w:p>
        </w:tc>
        <w:tc>
          <w:tcPr>
            <w:tcW w:type="dxa" w:w="1728"/>
          </w:tcPr>
          <w:p>
            <w:r/>
            <w:r>
              <w:rPr>
                <w:b/>
              </w:rPr>
              <w:t>[MISSING: Revised CAPEX]</w:t>
            </w:r>
            <w:r/>
          </w:p>
        </w:tc>
        <w:tc>
          <w:tcPr>
            <w:tcW w:type="dxa" w:w="1728"/>
          </w:tcPr>
          <w:p>
            <w:r/>
            <w:r>
              <w:rPr>
                <w:b/>
              </w:rPr>
              <w:t>[MISSING: Revised CAPEX]</w:t>
            </w:r>
            <w:r/>
          </w:p>
        </w:tc>
        <w:tc>
          <w:tcPr>
            <w:tcW w:type="dxa" w:w="1728"/>
          </w:tcPr>
          <w:p>
            <w:r/>
            <w:r>
              <w:rPr>
                <w:b/>
              </w:rPr>
              <w:t>[MISSING: Additional land acquisition cost]</w:t>
            </w:r>
            <w:r/>
          </w:p>
        </w:tc>
      </w:tr>
    </w:tbl>
    <w:p>
      <w:r>
        <w:t>## 3.5. Preferred Alternative</w:t>
      </w:r>
    </w:p>
    <w:p>
      <w:r>
        <w:t xml:space="preserve">Based on the comparative assessment, </w:t>
      </w:r>
      <w:r>
        <w:rPr>
          <w:b/>
        </w:rPr>
        <w:t>Alternative B – Reduced‑Capacity Solar PV (30 MW)</w:t>
      </w:r>
      <w:r>
        <w:t xml:space="preserve"> emerges as the most balanced option:</w:t>
      </w:r>
    </w:p>
    <w:p>
      <w:pPr>
        <w:pStyle w:val="ListBullet"/>
      </w:pPr>
      <w:r>
        <w:t>It respects the grazing‑right holders’ access and compensation expectations.</w:t>
      </w:r>
    </w:p>
    <w:p>
      <w:pPr>
        <w:pStyle w:val="ListBullet"/>
      </w:pPr>
      <w:r>
        <w:t>It aligns the projected permanent employment with the community’s expectation of “fewer than 20 people” on‑site.</w:t>
      </w:r>
    </w:p>
    <w:p>
      <w:pPr>
        <w:pStyle w:val="ListBullet"/>
      </w:pPr>
      <w:r>
        <w:t xml:space="preserve">It reduces land‑take, thereby mitigating the </w:t>
      </w:r>
      <w:r>
        <w:rPr>
          <w:b/>
        </w:rPr>
        <w:t>[CONTRADICTION: Site area is 38.6 ha but footprint is 52 ha]</w:t>
      </w:r>
      <w:r>
        <w:t xml:space="preserve"> issue inherent in the full‑capacity design.</w:t>
      </w:r>
    </w:p>
    <w:p>
      <w:pPr>
        <w:pStyle w:val="ListBullet"/>
      </w:pPr>
      <w:r>
        <w:t xml:space="preserve">It lowers water abstraction, simplifying compliance with the </w:t>
      </w:r>
      <w:r>
        <w:rPr>
          <w:b/>
        </w:rPr>
        <w:t>Water Act 2016</w:t>
      </w:r>
      <w:r>
        <w:t>.</w:t>
      </w:r>
    </w:p>
    <w:p>
      <w:pPr>
        <w:pStyle w:val="ListBullet"/>
      </w:pPr>
      <w:r>
        <w:t>It still contributes a substantial renewable‑energy capacity toward Kenya’s 2030 targets.</w:t>
      </w:r>
    </w:p>
    <w:p>
      <w:r>
        <w:t xml:space="preserve">The proponent should undertake a detailed engineering redesign to confirm the 30 MW layout, update the water‑use estimate, and produce a revised cost estimate. All revised figures must be incorporated into the final ESIA and the </w:t>
      </w:r>
      <w:r>
        <w:rPr>
          <w:b/>
        </w:rPr>
        <w:t>Environmental and Social Management Plan (ESMP)</w:t>
      </w:r>
      <w:r>
        <w:t>.</w:t>
      </w:r>
    </w:p>
    <w:p>
      <w:r>
        <w:t>## 3.6. Recommendations for Further Work</w:t>
      </w:r>
    </w:p>
    <w:p>
      <w:pPr>
        <w:pStyle w:val="ListNumber"/>
      </w:pPr>
      <w:r/>
      <w:r>
        <w:rPr>
          <w:b/>
        </w:rPr>
        <w:t>Clarify Capacity Discrepancy</w:t>
      </w:r>
      <w:r>
        <w:t xml:space="preserve"> – Resolve the </w:t>
      </w:r>
      <w:r>
        <w:rPr>
          <w:b/>
        </w:rPr>
        <w:t>[CONTRADICTION: Plant capacity is 45 MW but engineering description lists 4 phases of 15 MW each (total 60 MW)]</w:t>
      </w:r>
      <w:r>
        <w:t xml:space="preserve"> before finalising any design.</w:t>
      </w:r>
    </w:p>
    <w:p>
      <w:pPr>
        <w:pStyle w:val="ListNumber"/>
      </w:pPr>
      <w:r/>
      <w:r>
        <w:rPr>
          <w:b/>
        </w:rPr>
        <w:t>Land‑Use Survey for Alternative B</w:t>
      </w:r>
      <w:r>
        <w:t xml:space="preserve"> – Conduct a detailed topographic and geotechnical survey to confirm that a 30 MW layout can be accommodated within the 38.6 ha site while preserving at least 8 ha of grazing land.</w:t>
      </w:r>
    </w:p>
    <w:p>
      <w:pPr>
        <w:pStyle w:val="ListNumber"/>
      </w:pPr>
      <w:r/>
      <w:r>
        <w:rPr>
          <w:b/>
        </w:rPr>
        <w:t>Water‑Use Quantification</w:t>
      </w:r>
      <w:r>
        <w:t xml:space="preserve"> – Prepare a water‑balance calculation for the chosen alternative to determine whether a water‑use licence under the </w:t>
      </w:r>
      <w:r>
        <w:rPr>
          <w:b/>
        </w:rPr>
        <w:t>Water Act 2016</w:t>
      </w:r>
      <w:r>
        <w:t xml:space="preserve"> is required.</w:t>
      </w:r>
    </w:p>
    <w:p>
      <w:pPr>
        <w:pStyle w:val="ListNumber"/>
      </w:pPr>
      <w:r/>
      <w:r>
        <w:rPr>
          <w:b/>
        </w:rPr>
        <w:t>Air‑Quality Management</w:t>
      </w:r>
      <w:r>
        <w:t xml:space="preserve"> – Since baseline PM2.5 (11 µg/m³) and PM10 (24 µg/m³) </w:t>
      </w:r>
      <w:r>
        <w:rPr>
          <w:b/>
        </w:rPr>
        <w:t>EXCEED</w:t>
      </w:r>
      <w:r>
        <w:t xml:space="preserve"> WHO 2021 guideline values, the ESMP must include continuous dust‑suppression, vehicle‑emission controls, and periodic ambient‑air monitoring.</w:t>
      </w:r>
    </w:p>
    <w:p>
      <w:pPr>
        <w:pStyle w:val="ListNumber"/>
      </w:pPr>
      <w:r/>
      <w:r>
        <w:rPr>
          <w:b/>
        </w:rPr>
        <w:t>Social Baseline Update</w:t>
      </w:r>
      <w:r>
        <w:t xml:space="preserve"> – Verify the permanent employment figure to ensure consistency with community expectations and the GRM findings.</w:t>
      </w:r>
    </w:p>
    <w:p>
      <w:pPr>
        <w:pStyle w:val="ListNumber"/>
      </w:pPr>
      <w:r/>
      <w:r>
        <w:rPr>
          <w:b/>
        </w:rPr>
        <w:t>Glare Mitigation Design</w:t>
      </w:r>
      <w:r>
        <w:t xml:space="preserve"> – Finalise anti‑reflective coating specifications and row‑orientation angles to meet the glare concerns of nearby homesteads.</w:t>
      </w:r>
    </w:p>
    <w:p>
      <w:r>
        <w:t>Implementation of these actions will enable the proponent to submit a robust, compliant ESIA that satisfies NEMA’s review criteria and addresses the concerns raised by the affected communities.</w:t>
      </w:r>
    </w:p>
    <w:p>
      <w:r>
        <w:br w:type="page"/>
      </w:r>
    </w:p>
    <w:p>
      <w:pPr>
        <w:pStyle w:val="Heading1"/>
      </w:pPr>
      <w:r>
        <w:t>Chapter 4: Policy, Legal and Institutional Framework</w:t>
      </w:r>
    </w:p>
    <w:p>
      <w:r>
        <w:t>## 4.1 National Policy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Policy / Strategy</w:t>
            </w:r>
          </w:p>
        </w:tc>
        <w:tc>
          <w:tcPr>
            <w:tcW w:type="dxa" w:w="2880"/>
          </w:tcPr>
          <w:p>
            <w:r>
              <w:rPr>
                <w:b/>
              </w:rPr>
              <w:t>Relevance to Ndeiya Solar Power Plant</w:t>
            </w:r>
          </w:p>
        </w:tc>
        <w:tc>
          <w:tcPr>
            <w:tcW w:type="dxa" w:w="2880"/>
          </w:tcPr>
          <w:p>
            <w:r>
              <w:rPr>
                <w:b/>
              </w:rPr>
              <w:t>Key Provisions</w:t>
            </w:r>
          </w:p>
        </w:tc>
      </w:tr>
      <w:tr>
        <w:tc>
          <w:tcPr>
            <w:tcW w:type="dxa" w:w="2880"/>
          </w:tcPr>
          <w:p>
            <w:r/>
            <w:r>
              <w:rPr>
                <w:b/>
              </w:rPr>
              <w:t>Vision 2030 (Economic Pillar – Energy)</w:t>
            </w:r>
            <w:r/>
          </w:p>
        </w:tc>
        <w:tc>
          <w:tcPr>
            <w:tcW w:type="dxa" w:w="2880"/>
          </w:tcPr>
          <w:p>
            <w:r>
              <w:t>Supports diversification of Kenya’s energy mix and increase of renewable electricity generation to 5 GW by 2030.</w:t>
            </w:r>
          </w:p>
        </w:tc>
        <w:tc>
          <w:tcPr>
            <w:tcW w:type="dxa" w:w="2880"/>
          </w:tcPr>
          <w:p>
            <w:r>
              <w:t>Targets ≥ 30 % renewable energy in the national generation mix.</w:t>
            </w:r>
          </w:p>
        </w:tc>
      </w:tr>
      <w:tr>
        <w:tc>
          <w:tcPr>
            <w:tcW w:type="dxa" w:w="2880"/>
          </w:tcPr>
          <w:p>
            <w:r/>
            <w:r>
              <w:rPr>
                <w:b/>
              </w:rPr>
              <w:t>Kenya Climate Change Action Plan (KCCAP) 2020‑2025</w:t>
            </w:r>
            <w:r/>
          </w:p>
        </w:tc>
        <w:tc>
          <w:tcPr>
            <w:tcW w:type="dxa" w:w="2880"/>
          </w:tcPr>
          <w:p>
            <w:r>
              <w:t>Provides the overarching framework for low‑carbon development and climate‑resilient infrastructure.</w:t>
            </w:r>
          </w:p>
        </w:tc>
        <w:tc>
          <w:tcPr>
            <w:tcW w:type="dxa" w:w="2880"/>
          </w:tcPr>
          <w:p>
            <w:r>
              <w:t>Emphasises promotion of solar PV, mitigation of GHG emissions, and climate‑smart land use.</w:t>
            </w:r>
          </w:p>
        </w:tc>
      </w:tr>
      <w:tr>
        <w:tc>
          <w:tcPr>
            <w:tcW w:type="dxa" w:w="2880"/>
          </w:tcPr>
          <w:p>
            <w:r/>
            <w:r>
              <w:rPr>
                <w:b/>
              </w:rPr>
              <w:t>National Climate Change Response Strategy (NCCRS) 2018‑2022</w:t>
            </w:r>
            <w:r/>
          </w:p>
        </w:tc>
        <w:tc>
          <w:tcPr>
            <w:tcW w:type="dxa" w:w="2880"/>
          </w:tcPr>
          <w:p>
            <w:r>
              <w:t>Aligns project with national mitigation commitments under the Paris Agreement.</w:t>
            </w:r>
          </w:p>
        </w:tc>
        <w:tc>
          <w:tcPr>
            <w:tcW w:type="dxa" w:w="2880"/>
          </w:tcPr>
          <w:p>
            <w:r>
              <w:t>Requires EIA/ESIA for all Second‑Schedule projects and integration of climate‑resilient design.</w:t>
            </w:r>
          </w:p>
        </w:tc>
      </w:tr>
      <w:tr>
        <w:tc>
          <w:tcPr>
            <w:tcW w:type="dxa" w:w="2880"/>
          </w:tcPr>
          <w:p>
            <w:r/>
            <w:r>
              <w:rPr>
                <w:b/>
              </w:rPr>
              <w:t>National Energy Policy (NEP) 2019</w:t>
            </w:r>
            <w:r/>
          </w:p>
        </w:tc>
        <w:tc>
          <w:tcPr>
            <w:tcW w:type="dxa" w:w="2880"/>
          </w:tcPr>
          <w:p>
            <w:r>
              <w:t>Directs the development of renewable energy projects, including solar PV, to improve energy security.</w:t>
            </w:r>
          </w:p>
        </w:tc>
        <w:tc>
          <w:tcPr>
            <w:tcW w:type="dxa" w:w="2880"/>
          </w:tcPr>
          <w:p>
            <w:r>
              <w:t>Stipulates that solar projects must comply with EMCA, NEMA Regulations, and sector‑specific licensing (e.g., Energy and Petroleum Regulatory Authority – EPRA).</w:t>
            </w:r>
          </w:p>
        </w:tc>
      </w:tr>
      <w:tr>
        <w:tc>
          <w:tcPr>
            <w:tcW w:type="dxa" w:w="2880"/>
          </w:tcPr>
          <w:p>
            <w:r/>
            <w:r>
              <w:rPr>
                <w:b/>
              </w:rPr>
              <w:t>National Environment Policy (NEP) 2003</w:t>
            </w:r>
            <w:r/>
          </w:p>
        </w:tc>
        <w:tc>
          <w:tcPr>
            <w:tcW w:type="dxa" w:w="2880"/>
          </w:tcPr>
          <w:p>
            <w:r>
              <w:t>Sets the principle of “polluter pays” and sustainable use of natural resources.</w:t>
            </w:r>
          </w:p>
        </w:tc>
        <w:tc>
          <w:tcPr>
            <w:tcW w:type="dxa" w:w="2880"/>
          </w:tcPr>
          <w:p>
            <w:r>
              <w:t>Mandates environmental impact assessment for projects with potential significant impacts.</w:t>
            </w:r>
          </w:p>
        </w:tc>
      </w:tr>
      <w:tr>
        <w:tc>
          <w:tcPr>
            <w:tcW w:type="dxa" w:w="2880"/>
          </w:tcPr>
          <w:p>
            <w:r/>
            <w:r>
              <w:rPr>
                <w:b/>
              </w:rPr>
              <w:t>County Integrated Development Plan (CIDP) – Kiambu County (2022‑2027)</w:t>
            </w:r>
            <w:r/>
          </w:p>
        </w:tc>
        <w:tc>
          <w:tcPr>
            <w:tcW w:type="dxa" w:w="2880"/>
          </w:tcPr>
          <w:p>
            <w:r>
              <w:t>Guides land‑use planning, socio‑economic development, and environmental management at the county level.</w:t>
            </w:r>
          </w:p>
        </w:tc>
        <w:tc>
          <w:tcPr>
            <w:tcW w:type="dxa" w:w="2880"/>
          </w:tcPr>
          <w:p>
            <w:r>
              <w:t>Identifies Limuru/Ndeiya as a “low‑density agricultural zone” and requires adherence to County Planning Act provisions.</w:t>
            </w:r>
          </w:p>
        </w:tc>
      </w:tr>
      <w:tr>
        <w:tc>
          <w:tcPr>
            <w:tcW w:type="dxa" w:w="2880"/>
          </w:tcPr>
          <w:p>
            <w:r/>
            <w:r>
              <w:rPr>
                <w:b/>
              </w:rPr>
              <w:t>World Bank Environmental and Social Framework (ESF)</w:t>
            </w:r>
            <w:r/>
          </w:p>
        </w:tc>
        <w:tc>
          <w:tcPr>
            <w:tcW w:type="dxa" w:w="2880"/>
          </w:tcPr>
          <w:p>
            <w:r>
              <w:t>Applies because the project seeks financing from the World Bank Group.</w:t>
            </w:r>
          </w:p>
        </w:tc>
        <w:tc>
          <w:tcPr>
            <w:tcW w:type="dxa" w:w="2880"/>
          </w:tcPr>
          <w:p>
            <w:r>
              <w:t>Requires compliance with the ESF’s safeguard policies, including the Environmental and Social Standards (ESS) 1‑10.</w:t>
            </w:r>
          </w:p>
        </w:tc>
      </w:tr>
    </w:tbl>
    <w:p>
      <w:r>
        <w:t>## 4.2 Sector‑Specific Legal 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 / Regulation</w:t>
            </w:r>
          </w:p>
        </w:tc>
        <w:tc>
          <w:tcPr>
            <w:tcW w:type="dxa" w:w="2880"/>
          </w:tcPr>
          <w:p>
            <w:r>
              <w:rPr>
                <w:b/>
              </w:rPr>
              <w:t>Section / Regulation</w:t>
            </w:r>
          </w:p>
        </w:tc>
        <w:tc>
          <w:tcPr>
            <w:tcW w:type="dxa" w:w="2880"/>
          </w:tcPr>
          <w:p>
            <w:r>
              <w:rPr>
                <w:b/>
              </w:rPr>
              <w:t>Applicability to the Project</w:t>
            </w:r>
          </w:p>
        </w:tc>
      </w:tr>
      <w:tr>
        <w:tc>
          <w:tcPr>
            <w:tcW w:type="dxa" w:w="2880"/>
          </w:tcPr>
          <w:p>
            <w:r/>
            <w:r>
              <w:rPr>
                <w:b/>
              </w:rPr>
              <w:t>Environmental Management and Co‑ordination Act (EMCA) 1999</w:t>
            </w:r>
            <w:r/>
          </w:p>
        </w:tc>
        <w:tc>
          <w:tcPr>
            <w:tcW w:type="dxa" w:w="2880"/>
          </w:tcPr>
          <w:p>
            <w:r/>
            <w:r>
              <w:rPr>
                <w:b/>
              </w:rPr>
              <w:t>Section 58</w:t>
            </w:r>
            <w:r>
              <w:t xml:space="preserve"> – Mandatory EIA for Second‑Schedule Projects</w:t>
            </w:r>
          </w:p>
        </w:tc>
        <w:tc>
          <w:tcPr>
            <w:tcW w:type="dxa" w:w="2880"/>
          </w:tcPr>
          <w:p>
            <w:r>
              <w:t>The Ndeiya Solar Power Plant is classified as “Energy – Solar Power Generation (High Risk – Second Schedule)”; therefore a full ESIA is required before any construction can commence.</w:t>
            </w:r>
          </w:p>
        </w:tc>
      </w:tr>
      <w:tr>
        <w:tc>
          <w:tcPr>
            <w:tcW w:type="dxa" w:w="2880"/>
          </w:tcPr>
          <w:p>
            <w:r/>
            <w:r>
              <w:rPr>
                <w:b/>
              </w:rPr>
              <w:t>Environmental (Impact Assessment and Audit) Regulations 2003 (NEMA REGS)</w:t>
            </w:r>
            <w:r/>
          </w:p>
        </w:tc>
        <w:tc>
          <w:tcPr>
            <w:tcW w:type="dxa" w:w="2880"/>
          </w:tcPr>
          <w:p>
            <w:r/>
            <w:r>
              <w:rPr>
                <w:b/>
              </w:rPr>
              <w:t>Regulation 17</w:t>
            </w:r>
            <w:r>
              <w:t xml:space="preserve"> – Public Participation Requirements</w:t>
            </w:r>
          </w:p>
        </w:tc>
        <w:tc>
          <w:tcPr>
            <w:tcW w:type="dxa" w:w="2880"/>
          </w:tcPr>
          <w:p>
            <w:r>
              <w:t>The proponent has conducted a newspaper notice (The Standard, 2026‑07‑14) and a Baraza (2026‑08‑06) with 94 attendees, satisfying the minimum public participation standards.</w:t>
            </w:r>
          </w:p>
        </w:tc>
      </w:tr>
      <w:tr>
        <w:tc>
          <w:tcPr>
            <w:tcW w:type="dxa" w:w="2880"/>
          </w:tcPr>
          <w:p>
            <w:r/>
            <w:r>
              <w:rPr>
                <w:b/>
              </w:rPr>
              <w:t>Water Act 2016</w:t>
            </w:r>
            <w:r/>
          </w:p>
        </w:tc>
        <w:tc>
          <w:tcPr>
            <w:tcW w:type="dxa" w:w="2880"/>
          </w:tcPr>
          <w:p>
            <w:r/>
            <w:r>
              <w:rPr>
                <w:b/>
              </w:rPr>
              <w:t>Section 143</w:t>
            </w:r>
            <w:r>
              <w:t xml:space="preserve"> – Prohibited activities near water resources</w:t>
            </w:r>
          </w:p>
        </w:tc>
        <w:tc>
          <w:tcPr>
            <w:tcW w:type="dxa" w:w="2880"/>
          </w:tcPr>
          <w:p>
            <w:r>
              <w:t>The project is located 410 m north of the Ewaso Kedong Seasonal Stream; any abstraction, discharge or alteration within the protected zone must obtain a Water Permit and comply with Section 143.</w:t>
            </w:r>
          </w:p>
        </w:tc>
      </w:tr>
      <w:tr>
        <w:tc>
          <w:tcPr>
            <w:tcW w:type="dxa" w:w="2880"/>
          </w:tcPr>
          <w:p>
            <w:r/>
            <w:r>
              <w:rPr>
                <w:b/>
              </w:rPr>
              <w:t>Wildlife Conservation and Management Act 2013</w:t>
            </w:r>
            <w:r/>
          </w:p>
        </w:tc>
        <w:tc>
          <w:tcPr>
            <w:tcW w:type="dxa" w:w="2880"/>
          </w:tcPr>
          <w:p>
            <w:r>
              <w:t>–</w:t>
            </w:r>
          </w:p>
        </w:tc>
        <w:tc>
          <w:tcPr>
            <w:tcW w:type="dxa" w:w="2880"/>
          </w:tcPr>
          <w:p>
            <w:r>
              <w:t>Requires avoidance of impacts on protected wildlife; avian survey (biodiversity_avian_survey_ndeiya.pdf) indicates no listed species of concern within the project footprint.</w:t>
            </w:r>
          </w:p>
        </w:tc>
      </w:tr>
      <w:tr>
        <w:tc>
          <w:tcPr>
            <w:tcW w:type="dxa" w:w="2880"/>
          </w:tcPr>
          <w:p>
            <w:r/>
            <w:r>
              <w:rPr>
                <w:b/>
              </w:rPr>
              <w:t>Physical and Land Use Planning Act 2019</w:t>
            </w:r>
            <w:r/>
          </w:p>
        </w:tc>
        <w:tc>
          <w:tcPr>
            <w:tcW w:type="dxa" w:w="2880"/>
          </w:tcPr>
          <w:p>
            <w:r>
              <w:t>–</w:t>
            </w:r>
          </w:p>
        </w:tc>
        <w:tc>
          <w:tcPr>
            <w:tcW w:type="dxa" w:w="2880"/>
          </w:tcPr>
          <w:p>
            <w:r>
              <w:t>The leasehold (LR No. 9902/14) is for 25 years; any land‑use change must be consistent with the County’s Zoning Plan.</w:t>
            </w:r>
          </w:p>
        </w:tc>
      </w:tr>
      <w:tr>
        <w:tc>
          <w:tcPr>
            <w:tcW w:type="dxa" w:w="2880"/>
          </w:tcPr>
          <w:p>
            <w:r/>
            <w:r>
              <w:rPr>
                <w:b/>
              </w:rPr>
              <w:t>County Government Act (Relevant County Government Act)</w:t>
            </w:r>
            <w:r/>
          </w:p>
        </w:tc>
        <w:tc>
          <w:tcPr>
            <w:tcW w:type="dxa" w:w="2880"/>
          </w:tcPr>
          <w:p>
            <w:r>
              <w:t>–</w:t>
            </w:r>
          </w:p>
        </w:tc>
        <w:tc>
          <w:tcPr>
            <w:tcW w:type="dxa" w:w="2880"/>
          </w:tcPr>
          <w:p>
            <w:r>
              <w:t>Kiambu County’s environmental unit will issue the County Environmental Impact Assessment (CEIA) clearance and monitor compliance.</w:t>
            </w:r>
          </w:p>
        </w:tc>
      </w:tr>
      <w:tr>
        <w:tc>
          <w:tcPr>
            <w:tcW w:type="dxa" w:w="2880"/>
          </w:tcPr>
          <w:p>
            <w:r/>
            <w:r>
              <w:rPr>
                <w:b/>
              </w:rPr>
              <w:t>Occupational Safety and Health Act (OSHA) 2007</w:t>
            </w:r>
            <w:r/>
          </w:p>
        </w:tc>
        <w:tc>
          <w:tcPr>
            <w:tcW w:type="dxa" w:w="2880"/>
          </w:tcPr>
          <w:p>
            <w:r>
              <w:t>–</w:t>
            </w:r>
          </w:p>
        </w:tc>
        <w:tc>
          <w:tcPr>
            <w:tcW w:type="dxa" w:w="2880"/>
          </w:tcPr>
          <w:p>
            <w:r>
              <w:t>Governs construction‑site health and safety management plans.</w:t>
            </w:r>
          </w:p>
        </w:tc>
      </w:tr>
      <w:tr>
        <w:tc>
          <w:tcPr>
            <w:tcW w:type="dxa" w:w="2880"/>
          </w:tcPr>
          <w:p>
            <w:r/>
            <w:r>
              <w:rPr>
                <w:b/>
              </w:rPr>
              <w:t>Public Health Act Cap 242</w:t>
            </w:r>
            <w:r/>
          </w:p>
        </w:tc>
        <w:tc>
          <w:tcPr>
            <w:tcW w:type="dxa" w:w="2880"/>
          </w:tcPr>
          <w:p>
            <w:r>
              <w:t>–</w:t>
            </w:r>
          </w:p>
        </w:tc>
        <w:tc>
          <w:tcPr>
            <w:tcW w:type="dxa" w:w="2880"/>
          </w:tcPr>
          <w:p>
            <w:r>
              <w:t>Requires control of dust, noise, and waste to protect public health during construction and operation.</w:t>
            </w:r>
          </w:p>
        </w:tc>
      </w:tr>
      <w:tr>
        <w:tc>
          <w:tcPr>
            <w:tcW w:type="dxa" w:w="2880"/>
          </w:tcPr>
          <w:p>
            <w:r/>
            <w:r>
              <w:rPr>
                <w:b/>
              </w:rPr>
              <w:t>Way Leave Act Cap 292</w:t>
            </w:r>
            <w:r/>
          </w:p>
        </w:tc>
        <w:tc>
          <w:tcPr>
            <w:tcW w:type="dxa" w:w="2880"/>
          </w:tcPr>
          <w:p>
            <w:r>
              <w:t>–</w:t>
            </w:r>
          </w:p>
        </w:tc>
        <w:tc>
          <w:tcPr>
            <w:tcW w:type="dxa" w:w="2880"/>
          </w:tcPr>
          <w:p>
            <w:r>
              <w:t>Any access easements for transmission lines must be formalised through way‑leave agreements.</w:t>
            </w:r>
          </w:p>
        </w:tc>
      </w:tr>
      <w:tr>
        <w:tc>
          <w:tcPr>
            <w:tcW w:type="dxa" w:w="2880"/>
          </w:tcPr>
          <w:p>
            <w:r/>
            <w:r>
              <w:rPr>
                <w:b/>
              </w:rPr>
              <w:t>Public Roads and Roads of Access Act (Cap 399)</w:t>
            </w:r>
            <w:r/>
          </w:p>
        </w:tc>
        <w:tc>
          <w:tcPr>
            <w:tcW w:type="dxa" w:w="2880"/>
          </w:tcPr>
          <w:p>
            <w:r>
              <w:t>–</w:t>
            </w:r>
          </w:p>
        </w:tc>
        <w:tc>
          <w:tcPr>
            <w:tcW w:type="dxa" w:w="2880"/>
          </w:tcPr>
          <w:p>
            <w:r>
              <w:t>If new access roads are required, a road‑access permit must be obtained.</w:t>
            </w:r>
          </w:p>
        </w:tc>
      </w:tr>
      <w:tr>
        <w:tc>
          <w:tcPr>
            <w:tcW w:type="dxa" w:w="2880"/>
          </w:tcPr>
          <w:p>
            <w:r/>
            <w:r>
              <w:rPr>
                <w:b/>
              </w:rPr>
              <w:t>Traffic Act Chapter 403</w:t>
            </w:r>
            <w:r/>
          </w:p>
        </w:tc>
        <w:tc>
          <w:tcPr>
            <w:tcW w:type="dxa" w:w="2880"/>
          </w:tcPr>
          <w:p>
            <w:r>
              <w:t>–</w:t>
            </w:r>
          </w:p>
        </w:tc>
        <w:tc>
          <w:tcPr>
            <w:tcW w:type="dxa" w:w="2880"/>
          </w:tcPr>
          <w:p>
            <w:r>
              <w:t>Governs transport of heavy equipment during construction.</w:t>
            </w:r>
          </w:p>
        </w:tc>
      </w:tr>
      <w:tr>
        <w:tc>
          <w:tcPr>
            <w:tcW w:type="dxa" w:w="2880"/>
          </w:tcPr>
          <w:p>
            <w:r/>
            <w:r>
              <w:rPr>
                <w:b/>
              </w:rPr>
              <w:t>HIV/AIDS Prevention and Control Act (Cap 246A)</w:t>
            </w:r>
            <w:r/>
          </w:p>
        </w:tc>
        <w:tc>
          <w:tcPr>
            <w:tcW w:type="dxa" w:w="2880"/>
          </w:tcPr>
          <w:p>
            <w:r>
              <w:t>–</w:t>
            </w:r>
          </w:p>
        </w:tc>
        <w:tc>
          <w:tcPr>
            <w:tcW w:type="dxa" w:w="2880"/>
          </w:tcPr>
          <w:p>
            <w:r>
              <w:t>The proponent must implement an HIV/AIDS awareness and prevention programme for construction workers.</w:t>
            </w:r>
          </w:p>
        </w:tc>
      </w:tr>
      <w:tr>
        <w:tc>
          <w:tcPr>
            <w:tcW w:type="dxa" w:w="2880"/>
          </w:tcPr>
          <w:p>
            <w:r/>
            <w:r>
              <w:rPr>
                <w:b/>
              </w:rPr>
              <w:t>World Bank Environmental and Social Framework (ESF)</w:t>
            </w:r>
            <w:r/>
          </w:p>
        </w:tc>
        <w:tc>
          <w:tcPr>
            <w:tcW w:type="dxa" w:w="2880"/>
          </w:tcPr>
          <w:p>
            <w:r>
              <w:t>–</w:t>
            </w:r>
          </w:p>
        </w:tc>
        <w:tc>
          <w:tcPr>
            <w:tcW w:type="dxa" w:w="2880"/>
          </w:tcPr>
          <w:p>
            <w:r>
              <w:t>The project must develop an ESMP that meets ESS 1 (Assessment and Management of Environmental and Social Risks and Impacts) and ESS 2 (Labor and Working Conditions).</w:t>
            </w:r>
          </w:p>
        </w:tc>
      </w:tr>
    </w:tbl>
    <w:p>
      <w:r>
        <w:t>## 4.3 Institutional Arrangements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Institution</w:t>
            </w:r>
          </w:p>
        </w:tc>
        <w:tc>
          <w:tcPr>
            <w:tcW w:type="dxa" w:w="2880"/>
          </w:tcPr>
          <w:p>
            <w:r>
              <w:rPr>
                <w:b/>
              </w:rPr>
              <w:t>Mandate / Role</w:t>
            </w:r>
          </w:p>
        </w:tc>
        <w:tc>
          <w:tcPr>
            <w:tcW w:type="dxa" w:w="2880"/>
          </w:tcPr>
          <w:p>
            <w:r>
              <w:rPr>
                <w:b/>
              </w:rPr>
              <w:t>Interaction with Project</w:t>
            </w:r>
          </w:p>
        </w:tc>
      </w:tr>
      <w:tr>
        <w:tc>
          <w:tcPr>
            <w:tcW w:type="dxa" w:w="2880"/>
          </w:tcPr>
          <w:p>
            <w:r/>
            <w:r>
              <w:rPr>
                <w:b/>
              </w:rPr>
              <w:t>National Environment Management Authority (NEMA)</w:t>
            </w:r>
            <w:r/>
          </w:p>
        </w:tc>
        <w:tc>
          <w:tcPr>
            <w:tcW w:type="dxa" w:w="2880"/>
          </w:tcPr>
          <w:p>
            <w:r>
              <w:t>Lead regulator for EMCA implementation; issues ESIA licence, monitors compliance, and enforces restoration orders (EMCA Section 102).</w:t>
            </w:r>
          </w:p>
        </w:tc>
        <w:tc>
          <w:tcPr>
            <w:tcW w:type="dxa" w:w="2880"/>
          </w:tcPr>
          <w:p>
            <w:r>
              <w:t>Reviews the ESIA, issues the ESIA licence, and conducts periodic compliance audits.</w:t>
            </w:r>
          </w:p>
        </w:tc>
      </w:tr>
      <w:tr>
        <w:tc>
          <w:tcPr>
            <w:tcW w:type="dxa" w:w="2880"/>
          </w:tcPr>
          <w:p>
            <w:r/>
            <w:r>
              <w:rPr>
                <w:b/>
              </w:rPr>
              <w:t>Ministry of Energy and Petroleum</w:t>
            </w:r>
            <w:r/>
          </w:p>
        </w:tc>
        <w:tc>
          <w:tcPr>
            <w:tcW w:type="dxa" w:w="2880"/>
          </w:tcPr>
          <w:p>
            <w:r>
              <w:t>Oversees energy sector policy, licensing of generation facilities, and coordination with EPRA.</w:t>
            </w:r>
          </w:p>
        </w:tc>
        <w:tc>
          <w:tcPr>
            <w:tcW w:type="dxa" w:w="2880"/>
          </w:tcPr>
          <w:p>
            <w:r>
              <w:t>Grants the generation licence and ensures alignment with the National Energy Policy.</w:t>
            </w:r>
          </w:p>
        </w:tc>
      </w:tr>
      <w:tr>
        <w:tc>
          <w:tcPr>
            <w:tcW w:type="dxa" w:w="2880"/>
          </w:tcPr>
          <w:p>
            <w:r/>
            <w:r>
              <w:rPr>
                <w:b/>
              </w:rPr>
              <w:t>Energy and Petroleum Regulatory Authority (EPRA)</w:t>
            </w:r>
            <w:r/>
          </w:p>
        </w:tc>
        <w:tc>
          <w:tcPr>
            <w:tcW w:type="dxa" w:w="2880"/>
          </w:tcPr>
          <w:p>
            <w:r>
              <w:t>Issues the Power Generation Licence and regulates grid interconnection.</w:t>
            </w:r>
          </w:p>
        </w:tc>
        <w:tc>
          <w:tcPr>
            <w:tcW w:type="dxa" w:w="2880"/>
          </w:tcPr>
          <w:p>
            <w:r>
              <w:t>Reviews technical specifications, grid connection agreements, and tariff proposals.</w:t>
            </w:r>
          </w:p>
        </w:tc>
      </w:tr>
      <w:tr>
        <w:tc>
          <w:tcPr>
            <w:tcW w:type="dxa" w:w="2880"/>
          </w:tcPr>
          <w:p>
            <w:r/>
            <w:r>
              <w:rPr>
                <w:b/>
              </w:rPr>
              <w:t>Kiambu County Government – Department of Environment &amp; Climate Change</w:t>
            </w:r>
            <w:r/>
          </w:p>
        </w:tc>
        <w:tc>
          <w:tcPr>
            <w:tcW w:type="dxa" w:w="2880"/>
          </w:tcPr>
          <w:p>
            <w:r>
              <w:t>County‑level environmental clearance, land‑use compliance, and enforcement of CIDP provisions.</w:t>
            </w:r>
          </w:p>
        </w:tc>
        <w:tc>
          <w:tcPr>
            <w:tcW w:type="dxa" w:w="2880"/>
          </w:tcPr>
          <w:p>
            <w:r>
              <w:t>Issues the County Environmental Impact Assessment (CEIA) clearance and monitors local mitigation measures.</w:t>
            </w:r>
          </w:p>
        </w:tc>
      </w:tr>
      <w:tr>
        <w:tc>
          <w:tcPr>
            <w:tcW w:type="dxa" w:w="2880"/>
          </w:tcPr>
          <w:p>
            <w:r/>
            <w:r>
              <w:rPr>
                <w:b/>
              </w:rPr>
              <w:t>County Planning Office – Limuru Sub‑County</w:t>
            </w:r>
            <w:r/>
          </w:p>
        </w:tc>
        <w:tc>
          <w:tcPr>
            <w:tcW w:type="dxa" w:w="2880"/>
          </w:tcPr>
          <w:p>
            <w:r>
              <w:t>Enforces zoning, land‑use plans, and building permits.</w:t>
            </w:r>
          </w:p>
        </w:tc>
        <w:tc>
          <w:tcPr>
            <w:tcW w:type="dxa" w:w="2880"/>
          </w:tcPr>
          <w:p>
            <w:r>
              <w:t>Verifies that the leasehold and site layout conform to the Physical and Land Use Planning Act.</w:t>
            </w:r>
          </w:p>
        </w:tc>
      </w:tr>
      <w:tr>
        <w:tc>
          <w:tcPr>
            <w:tcW w:type="dxa" w:w="2880"/>
          </w:tcPr>
          <w:p>
            <w:r/>
            <w:r>
              <w:rPr>
                <w:b/>
              </w:rPr>
              <w:t>Water Resources Authority (WRA)</w:t>
            </w:r>
            <w:r/>
          </w:p>
        </w:tc>
        <w:tc>
          <w:tcPr>
            <w:tcW w:type="dxa" w:w="2880"/>
          </w:tcPr>
          <w:p>
            <w:r>
              <w:t>Issues water abstraction permits and monitors compliance with the Water Act 2016.</w:t>
            </w:r>
          </w:p>
        </w:tc>
        <w:tc>
          <w:tcPr>
            <w:tcW w:type="dxa" w:w="2880"/>
          </w:tcPr>
          <w:p>
            <w:r>
              <w:t>Reviews the hydrology report (hydrology_ewaso_kedong.pdf) and issues any required permits for groundwater use or surface‑water protection.</w:t>
            </w:r>
          </w:p>
        </w:tc>
      </w:tr>
      <w:tr>
        <w:tc>
          <w:tcPr>
            <w:tcW w:type="dxa" w:w="2880"/>
          </w:tcPr>
          <w:p>
            <w:r/>
            <w:r>
              <w:rPr>
                <w:b/>
              </w:rPr>
              <w:t>Kenya Wildlife Service (KWS)</w:t>
            </w:r>
            <w:r/>
          </w:p>
        </w:tc>
        <w:tc>
          <w:tcPr>
            <w:tcW w:type="dxa" w:w="2880"/>
          </w:tcPr>
          <w:p>
            <w:r>
              <w:t>Protects wildlife and enforces the Wildlife Conservation and Management Act.</w:t>
            </w:r>
          </w:p>
        </w:tc>
        <w:tc>
          <w:tcPr>
            <w:tcW w:type="dxa" w:w="2880"/>
          </w:tcPr>
          <w:p>
            <w:r>
              <w:t>Reviews the avian biodiversity survey and issues any required wildlife mitigation guidelines.</w:t>
            </w:r>
          </w:p>
        </w:tc>
      </w:tr>
      <w:tr>
        <w:tc>
          <w:tcPr>
            <w:tcW w:type="dxa" w:w="2880"/>
          </w:tcPr>
          <w:p>
            <w:r/>
            <w:r>
              <w:rPr>
                <w:b/>
              </w:rPr>
              <w:t>GRM Committee (Project‑Specific)</w:t>
            </w:r>
            <w:r/>
          </w:p>
        </w:tc>
        <w:tc>
          <w:tcPr>
            <w:tcW w:type="dxa" w:w="2880"/>
          </w:tcPr>
          <w:p>
            <w:r>
              <w:t>Handles grievance redress for affected communities and vulnerable groups.</w:t>
            </w:r>
          </w:p>
        </w:tc>
        <w:tc>
          <w:tcPr>
            <w:tcW w:type="dxa" w:w="2880"/>
          </w:tcPr>
          <w:p>
            <w:r>
              <w:t>Receives and resolves complaints related to grazing‑rights loss, glare, and employment expectations.</w:t>
            </w:r>
          </w:p>
        </w:tc>
      </w:tr>
      <w:tr>
        <w:tc>
          <w:tcPr>
            <w:tcW w:type="dxa" w:w="2880"/>
          </w:tcPr>
          <w:p>
            <w:r/>
            <w:r>
              <w:rPr>
                <w:b/>
              </w:rPr>
              <w:t>Contractors &amp; Sub‑contractors</w:t>
            </w:r>
            <w:r/>
          </w:p>
        </w:tc>
        <w:tc>
          <w:tcPr>
            <w:tcW w:type="dxa" w:w="2880"/>
          </w:tcPr>
          <w:p>
            <w:r>
              <w:t>Implement construction works in accordance with the ESMP and occupational health &amp; safety standards.</w:t>
            </w:r>
          </w:p>
        </w:tc>
        <w:tc>
          <w:tcPr>
            <w:tcW w:type="dxa" w:w="2880"/>
          </w:tcPr>
          <w:p>
            <w:r>
              <w:t>Must submit Construction Health &amp; Safety Plans to NEMA and the County for approval.</w:t>
            </w:r>
          </w:p>
        </w:tc>
      </w:tr>
    </w:tbl>
    <w:p>
      <w:r>
        <w:t>## 4.4 Compliance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Environmental / Social Issue</w:t>
            </w:r>
          </w:p>
        </w:tc>
        <w:tc>
          <w:tcPr>
            <w:tcW w:type="dxa" w:w="2160"/>
          </w:tcPr>
          <w:p>
            <w:r>
              <w:rPr>
                <w:b/>
              </w:rPr>
              <w:t>Applicable Legal Requirement</w:t>
            </w:r>
          </w:p>
        </w:tc>
        <w:tc>
          <w:tcPr>
            <w:tcW w:type="dxa" w:w="2160"/>
          </w:tcPr>
          <w:p>
            <w:r>
              <w:rPr>
                <w:b/>
              </w:rPr>
              <w:t>Required Permit / Approval</w:t>
            </w:r>
          </w:p>
        </w:tc>
        <w:tc>
          <w:tcPr>
            <w:tcW w:type="dxa" w:w="2160"/>
          </w:tcPr>
          <w:p>
            <w:r>
              <w:rPr>
                <w:b/>
              </w:rPr>
              <w:t>Status (Pre‑Approval)</w:t>
            </w:r>
          </w:p>
        </w:tc>
      </w:tr>
      <w:tr>
        <w:tc>
          <w:tcPr>
            <w:tcW w:type="dxa" w:w="2160"/>
          </w:tcPr>
          <w:p>
            <w:r/>
            <w:r>
              <w:rPr>
                <w:b/>
              </w:rPr>
              <w:t>Environmental Impact Assessment</w:t>
            </w:r>
            <w:r/>
          </w:p>
        </w:tc>
        <w:tc>
          <w:tcPr>
            <w:tcW w:type="dxa" w:w="2160"/>
          </w:tcPr>
          <w:p>
            <w:r>
              <w:t>EMCA Section 58; NEMA Reg 17</w:t>
            </w:r>
          </w:p>
        </w:tc>
        <w:tc>
          <w:tcPr>
            <w:tcW w:type="dxa" w:w="2160"/>
          </w:tcPr>
          <w:p>
            <w:r>
              <w:t>ESIA licence (to be issued)</w:t>
            </w:r>
          </w:p>
        </w:tc>
        <w:tc>
          <w:tcPr>
            <w:tcW w:type="dxa" w:w="2160"/>
          </w:tcPr>
          <w:p>
            <w:r>
              <w:t>Application submitted; awaiting NEMA review</w:t>
            </w:r>
          </w:p>
        </w:tc>
      </w:tr>
      <w:tr>
        <w:tc>
          <w:tcPr>
            <w:tcW w:type="dxa" w:w="2160"/>
          </w:tcPr>
          <w:p>
            <w:r/>
            <w:r>
              <w:rPr>
                <w:b/>
              </w:rPr>
              <w:t>Water Use &amp; Protection</w:t>
            </w:r>
            <w:r/>
          </w:p>
        </w:tc>
        <w:tc>
          <w:tcPr>
            <w:tcW w:type="dxa" w:w="2160"/>
          </w:tcPr>
          <w:p>
            <w:r>
              <w:t>Water Act 2016 Section 143</w:t>
            </w:r>
          </w:p>
        </w:tc>
        <w:tc>
          <w:tcPr>
            <w:tcW w:type="dxa" w:w="2160"/>
          </w:tcPr>
          <w:p>
            <w:r>
              <w:t>Water abstraction permit (if any)</w:t>
            </w:r>
          </w:p>
        </w:tc>
        <w:tc>
          <w:tcPr>
            <w:tcW w:type="dxa" w:w="2160"/>
          </w:tcPr>
          <w:p>
            <w:r>
              <w:t>No abstraction planned; water‑use assessment pending</w:t>
            </w:r>
          </w:p>
        </w:tc>
      </w:tr>
      <w:tr>
        <w:tc>
          <w:tcPr>
            <w:tcW w:type="dxa" w:w="2160"/>
          </w:tcPr>
          <w:p>
            <w:r/>
            <w:r>
              <w:rPr>
                <w:b/>
              </w:rPr>
              <w:t>Land Use &amp; Lease</w:t>
            </w:r>
            <w:r/>
          </w:p>
        </w:tc>
        <w:tc>
          <w:tcPr>
            <w:tcW w:type="dxa" w:w="2160"/>
          </w:tcPr>
          <w:p>
            <w:r>
              <w:t>Physical and Land Use Planning Act 2019; County CIDP</w:t>
            </w:r>
          </w:p>
        </w:tc>
        <w:tc>
          <w:tcPr>
            <w:tcW w:type="dxa" w:w="2160"/>
          </w:tcPr>
          <w:p>
            <w:r>
              <w:t>County land‑use clearance</w:t>
            </w:r>
          </w:p>
        </w:tc>
        <w:tc>
          <w:tcPr>
            <w:tcW w:type="dxa" w:w="2160"/>
          </w:tcPr>
          <w:p>
            <w:r>
              <w:t>Leasehold (LR 9902/14) approved; CEIA pending</w:t>
            </w:r>
          </w:p>
        </w:tc>
      </w:tr>
      <w:tr>
        <w:tc>
          <w:tcPr>
            <w:tcW w:type="dxa" w:w="2160"/>
          </w:tcPr>
          <w:p>
            <w:r/>
            <w:r>
              <w:rPr>
                <w:b/>
              </w:rPr>
              <w:t>Air Quality (Construction Dust)</w:t>
            </w:r>
            <w:r/>
          </w:p>
        </w:tc>
        <w:tc>
          <w:tcPr>
            <w:tcW w:type="dxa" w:w="2160"/>
          </w:tcPr>
          <w:p>
            <w:r>
              <w:t>Public Health Act Cap 242; EMCA Section 102 (restoration)</w:t>
            </w:r>
          </w:p>
        </w:tc>
        <w:tc>
          <w:tcPr>
            <w:tcW w:type="dxa" w:w="2160"/>
          </w:tcPr>
          <w:p>
            <w:r>
              <w:t>Construction dust management plan (part of ESMP)</w:t>
            </w:r>
          </w:p>
        </w:tc>
        <w:tc>
          <w:tcPr>
            <w:tcW w:type="dxa" w:w="2160"/>
          </w:tcPr>
          <w:p>
            <w:r>
              <w:t>Drafted; to be submitted with ESIA</w:t>
            </w:r>
          </w:p>
        </w:tc>
      </w:tr>
      <w:tr>
        <w:tc>
          <w:tcPr>
            <w:tcW w:type="dxa" w:w="2160"/>
          </w:tcPr>
          <w:p>
            <w:r/>
            <w:r>
              <w:rPr>
                <w:b/>
              </w:rPr>
              <w:t>Noise (Construction &amp; Operation)</w:t>
            </w:r>
            <w:r/>
          </w:p>
        </w:tc>
        <w:tc>
          <w:tcPr>
            <w:tcW w:type="dxa" w:w="2160"/>
          </w:tcPr>
          <w:p>
            <w:r>
              <w:t>Public Health Act Cap 242; EMCA Section 102</w:t>
            </w:r>
          </w:p>
        </w:tc>
        <w:tc>
          <w:tcPr>
            <w:tcW w:type="dxa" w:w="2160"/>
          </w:tcPr>
          <w:p>
            <w:r>
              <w:t>Noise mitigation plan (ESMP)</w:t>
            </w:r>
          </w:p>
        </w:tc>
        <w:tc>
          <w:tcPr>
            <w:tcW w:type="dxa" w:w="2160"/>
          </w:tcPr>
          <w:p>
            <w:r>
              <w:t>Drafted; to be submitted</w:t>
            </w:r>
          </w:p>
        </w:tc>
      </w:tr>
      <w:tr>
        <w:tc>
          <w:tcPr>
            <w:tcW w:type="dxa" w:w="2160"/>
          </w:tcPr>
          <w:p>
            <w:r/>
            <w:r>
              <w:rPr>
                <w:b/>
              </w:rPr>
              <w:t>Glare Management</w:t>
            </w:r>
            <w:r/>
          </w:p>
        </w:tc>
        <w:tc>
          <w:tcPr>
            <w:tcW w:type="dxa" w:w="2160"/>
          </w:tcPr>
          <w:p>
            <w:r>
              <w:t>EMCA Section 102 (environmental restoration)</w:t>
            </w:r>
          </w:p>
        </w:tc>
        <w:tc>
          <w:tcPr>
            <w:tcW w:type="dxa" w:w="2160"/>
          </w:tcPr>
          <w:p>
            <w:r>
              <w:t>Anti‑reflective coating specification (ESMP)</w:t>
            </w:r>
          </w:p>
        </w:tc>
        <w:tc>
          <w:tcPr>
            <w:tcW w:type="dxa" w:w="2160"/>
          </w:tcPr>
          <w:p>
            <w:r>
              <w:t>Mitigation designed; to be verified during construction</w:t>
            </w:r>
          </w:p>
        </w:tc>
      </w:tr>
      <w:tr>
        <w:tc>
          <w:tcPr>
            <w:tcW w:type="dxa" w:w="2160"/>
          </w:tcPr>
          <w:p>
            <w:r/>
            <w:r>
              <w:rPr>
                <w:b/>
              </w:rPr>
              <w:t>Biodiversity (Avian)</w:t>
            </w:r>
            <w:r/>
          </w:p>
        </w:tc>
        <w:tc>
          <w:tcPr>
            <w:tcW w:type="dxa" w:w="2160"/>
          </w:tcPr>
          <w:p>
            <w:r>
              <w:t>Wildlife Conservation and Management Act 2013</w:t>
            </w:r>
          </w:p>
        </w:tc>
        <w:tc>
          <w:tcPr>
            <w:tcW w:type="dxa" w:w="2160"/>
          </w:tcPr>
          <w:p>
            <w:r>
              <w:t>No protected species identified; monitoring plan (ESMP)</w:t>
            </w:r>
          </w:p>
        </w:tc>
        <w:tc>
          <w:tcPr>
            <w:tcW w:type="dxa" w:w="2160"/>
          </w:tcPr>
          <w:p>
            <w:r>
              <w:t>Survey completed; monitoring plan incorporated</w:t>
            </w:r>
          </w:p>
        </w:tc>
      </w:tr>
      <w:tr>
        <w:tc>
          <w:tcPr>
            <w:tcW w:type="dxa" w:w="2160"/>
          </w:tcPr>
          <w:p>
            <w:r/>
            <w:r>
              <w:rPr>
                <w:b/>
              </w:rPr>
              <w:t>Occupational Health &amp; Safety</w:t>
            </w:r>
            <w:r/>
          </w:p>
        </w:tc>
        <w:tc>
          <w:tcPr>
            <w:tcW w:type="dxa" w:w="2160"/>
          </w:tcPr>
          <w:p>
            <w:r>
              <w:t>OSHA 2007</w:t>
            </w:r>
          </w:p>
        </w:tc>
        <w:tc>
          <w:tcPr>
            <w:tcW w:type="dxa" w:w="2160"/>
          </w:tcPr>
          <w:p>
            <w:r>
              <w:t>Site‑specific OHS plan (ESMP)</w:t>
            </w:r>
          </w:p>
        </w:tc>
        <w:tc>
          <w:tcPr>
            <w:tcW w:type="dxa" w:w="2160"/>
          </w:tcPr>
          <w:p>
            <w:r>
              <w:t>Drafted; to be approved by County</w:t>
            </w:r>
          </w:p>
        </w:tc>
      </w:tr>
      <w:tr>
        <w:tc>
          <w:tcPr>
            <w:tcW w:type="dxa" w:w="2160"/>
          </w:tcPr>
          <w:p>
            <w:r/>
            <w:r>
              <w:rPr>
                <w:b/>
              </w:rPr>
              <w:t>Community Grievances</w:t>
            </w:r>
            <w:r/>
          </w:p>
        </w:tc>
        <w:tc>
          <w:tcPr>
            <w:tcW w:type="dxa" w:w="2160"/>
          </w:tcPr>
          <w:p>
            <w:r>
              <w:t>EMCA Reg 17 (public participation)</w:t>
            </w:r>
          </w:p>
        </w:tc>
        <w:tc>
          <w:tcPr>
            <w:tcW w:type="dxa" w:w="2160"/>
          </w:tcPr>
          <w:p>
            <w:r>
              <w:t>GRM operational (GRM Committee formed)</w:t>
            </w:r>
          </w:p>
        </w:tc>
        <w:tc>
          <w:tcPr>
            <w:tcW w:type="dxa" w:w="2160"/>
          </w:tcPr>
          <w:p>
            <w:r>
              <w:t>Active; grievance log to be maintained</w:t>
            </w:r>
          </w:p>
        </w:tc>
      </w:tr>
      <w:tr>
        <w:tc>
          <w:tcPr>
            <w:tcW w:type="dxa" w:w="2160"/>
          </w:tcPr>
          <w:p>
            <w:r/>
            <w:r>
              <w:rPr>
                <w:b/>
              </w:rPr>
              <w:t>Employment &amp; Local Content</w:t>
            </w:r>
            <w:r/>
          </w:p>
        </w:tc>
        <w:tc>
          <w:tcPr>
            <w:tcW w:type="dxa" w:w="2160"/>
          </w:tcPr>
          <w:p>
            <w:r>
              <w:t>EMCA Section 102; County CIDP</w:t>
            </w:r>
          </w:p>
        </w:tc>
        <w:tc>
          <w:tcPr>
            <w:tcW w:type="dxa" w:w="2160"/>
          </w:tcPr>
          <w:p>
            <w:r>
              <w:t>Local labour utilisation plan (ESMP)</w:t>
            </w:r>
          </w:p>
        </w:tc>
        <w:tc>
          <w:tcPr>
            <w:tcW w:type="dxa" w:w="2160"/>
          </w:tcPr>
          <w:p>
            <w:r>
              <w:t>Employment expectations communicated; plan under development</w:t>
            </w:r>
          </w:p>
        </w:tc>
      </w:tr>
      <w:tr>
        <w:tc>
          <w:tcPr>
            <w:tcW w:type="dxa" w:w="2160"/>
          </w:tcPr>
          <w:p>
            <w:r/>
            <w:r>
              <w:rPr>
                <w:b/>
              </w:rPr>
              <w:t>World Bank ESF Compliance</w:t>
            </w:r>
            <w:r/>
          </w:p>
        </w:tc>
        <w:tc>
          <w:tcPr>
            <w:tcW w:type="dxa" w:w="2160"/>
          </w:tcPr>
          <w:p>
            <w:r>
              <w:t>ESF ESS 1 &amp; ESS 2</w:t>
            </w:r>
          </w:p>
        </w:tc>
        <w:tc>
          <w:tcPr>
            <w:tcW w:type="dxa" w:w="2160"/>
          </w:tcPr>
          <w:p>
            <w:r>
              <w:t>ESMP aligned with ESF standards</w:t>
            </w:r>
          </w:p>
        </w:tc>
        <w:tc>
          <w:tcPr>
            <w:tcW w:type="dxa" w:w="2160"/>
          </w:tcPr>
          <w:p>
            <w:r>
              <w:t>ESMP drafted to meet ESS requirements</w:t>
            </w:r>
          </w:p>
        </w:tc>
      </w:tr>
    </w:tbl>
    <w:p>
      <w:r>
        <w:t>## 4.5 Identified Contradictions in Project Data</w:t>
      </w:r>
    </w:p>
    <w:p>
      <w:pPr>
        <w:pStyle w:val="ListBullet"/>
      </w:pPr>
      <w:r/>
      <w:r>
        <w:rPr>
          <w:b/>
        </w:rPr>
        <w:t>Site Area vs. Panel Footprint</w:t>
      </w:r>
      <w:r>
        <w:t xml:space="preserve">: The declared site area is </w:t>
      </w:r>
      <w:r>
        <w:rPr>
          <w:b/>
        </w:rPr>
        <w:t>38.6 ha</w:t>
      </w:r>
      <w:r>
        <w:t xml:space="preserve">, whereas the panel array footprint is reported as </w:t>
      </w:r>
      <w:r>
        <w:rPr>
          <w:b/>
        </w:rPr>
        <w:t>52 ha</w:t>
      </w:r>
      <w:r>
        <w:t xml:space="preserve">. </w:t>
      </w:r>
      <w:r>
        <w:rPr>
          <w:b/>
        </w:rPr>
        <w:t>[CONTRADICTION: Site area is 38.6ha but footprint is 52ha]</w:t>
      </w:r>
      <w:r>
        <w:t>. This discrepancy must be resolved before land‑use clearance can be granted.</w:t>
      </w:r>
    </w:p>
    <w:p>
      <w:pPr>
        <w:pStyle w:val="ListBullet"/>
      </w:pPr>
      <w:r/>
      <w:r>
        <w:rPr>
          <w:b/>
        </w:rPr>
        <w:t>Capacity per Phase vs. Total Plant Capacity</w:t>
      </w:r>
      <w:r>
        <w:t xml:space="preserve">: The plant is described as having </w:t>
      </w:r>
      <w:r>
        <w:rPr>
          <w:b/>
        </w:rPr>
        <w:t>4 identical phases, each rated at 15 MW</w:t>
      </w:r>
      <w:r>
        <w:t xml:space="preserve">, which totals </w:t>
      </w:r>
      <w:r>
        <w:rPr>
          <w:b/>
        </w:rPr>
        <w:t>60 MW</w:t>
      </w:r>
      <w:r>
        <w:t xml:space="preserve">, yet the overall plant capacity is stated as </w:t>
      </w:r>
      <w:r>
        <w:rPr>
          <w:b/>
        </w:rPr>
        <w:t>45 MW</w:t>
      </w:r>
      <w:r>
        <w:t xml:space="preserve">. </w:t>
      </w:r>
      <w:r>
        <w:rPr>
          <w:b/>
        </w:rPr>
        <w:t>[CONTRADICTION: Phases sum to 60 MW but total capacity is 45 MW]</w:t>
      </w:r>
      <w:r>
        <w:t>. Clarification is required to ensure the correct licensing and grid‑interconnection studies.</w:t>
      </w:r>
    </w:p>
    <w:p>
      <w:r>
        <w:t>These contradictions will be highlighted to NEMA and the County Planning Office during the review process.</w:t>
      </w:r>
    </w:p>
    <w:p>
      <w:r>
        <w:t>## 4.6 Permit Timeline (Pre‑Approval Phase)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Expected Completion</w:t>
            </w:r>
          </w:p>
        </w:tc>
        <w:tc>
          <w:tcPr>
            <w:tcW w:type="dxa" w:w="2880"/>
          </w:tcPr>
          <w:p>
            <w:r>
              <w:rPr>
                <w:b/>
              </w:rPr>
              <w:t>Responsible Authority</w:t>
            </w:r>
          </w:p>
        </w:tc>
      </w:tr>
      <w:tr>
        <w:tc>
          <w:tcPr>
            <w:tcW w:type="dxa" w:w="2880"/>
          </w:tcPr>
          <w:p>
            <w:r>
              <w:t>Submission of ESIA dossier (including ESMP)</w:t>
            </w:r>
          </w:p>
        </w:tc>
        <w:tc>
          <w:tcPr>
            <w:tcW w:type="dxa" w:w="2880"/>
          </w:tcPr>
          <w:p>
            <w:r>
              <w:t>2026‑10‑15</w:t>
            </w:r>
          </w:p>
        </w:tc>
        <w:tc>
          <w:tcPr>
            <w:tcW w:type="dxa" w:w="2880"/>
          </w:tcPr>
          <w:p>
            <w:r>
              <w:t>Sunbelt Energy Kenya Ltd.</w:t>
            </w:r>
          </w:p>
        </w:tc>
      </w:tr>
      <w:tr>
        <w:tc>
          <w:tcPr>
            <w:tcW w:type="dxa" w:w="2880"/>
          </w:tcPr>
          <w:p>
            <w:r>
              <w:t>Public participation (newspaper notice, Baraza)</w:t>
            </w:r>
          </w:p>
        </w:tc>
        <w:tc>
          <w:tcPr>
            <w:tcW w:type="dxa" w:w="2880"/>
          </w:tcPr>
          <w:p>
            <w:r>
              <w:t>Completed (2026‑07‑14 &amp; 2026‑08‑06)</w:t>
            </w:r>
          </w:p>
        </w:tc>
        <w:tc>
          <w:tcPr>
            <w:tcW w:type="dxa" w:w="2880"/>
          </w:tcPr>
          <w:p>
            <w:r>
              <w:t>Proponent (GRM Committee)</w:t>
            </w:r>
          </w:p>
        </w:tc>
      </w:tr>
      <w:tr>
        <w:tc>
          <w:tcPr>
            <w:tcW w:type="dxa" w:w="2880"/>
          </w:tcPr>
          <w:p>
            <w:r>
              <w:t>NEMA review &amp; issuance of ESIA licence (subject to resolution of contradictions)</w:t>
            </w:r>
          </w:p>
        </w:tc>
        <w:tc>
          <w:tcPr>
            <w:tcW w:type="dxa" w:w="2880"/>
          </w:tcPr>
          <w:p>
            <w:r>
              <w:t>2027‑02‑28</w:t>
            </w:r>
          </w:p>
        </w:tc>
        <w:tc>
          <w:tcPr>
            <w:tcW w:type="dxa" w:w="2880"/>
          </w:tcPr>
          <w:p>
            <w:r>
              <w:t>NEMA</w:t>
            </w:r>
          </w:p>
        </w:tc>
      </w:tr>
      <w:tr>
        <w:tc>
          <w:tcPr>
            <w:tcW w:type="dxa" w:w="2880"/>
          </w:tcPr>
          <w:p>
            <w:r>
              <w:t>County Environmental Impact Assessment (CEIA) clearance</w:t>
            </w:r>
          </w:p>
        </w:tc>
        <w:tc>
          <w:tcPr>
            <w:tcW w:type="dxa" w:w="2880"/>
          </w:tcPr>
          <w:p>
            <w:r>
              <w:t>2027‑03‑31</w:t>
            </w:r>
          </w:p>
        </w:tc>
        <w:tc>
          <w:tcPr>
            <w:tcW w:type="dxa" w:w="2880"/>
          </w:tcPr>
          <w:p>
            <w:r>
              <w:t>Kiambu County – Dept. of Environment</w:t>
            </w:r>
          </w:p>
        </w:tc>
      </w:tr>
      <w:tr>
        <w:tc>
          <w:tcPr>
            <w:tcW w:type="dxa" w:w="2880"/>
          </w:tcPr>
          <w:p>
            <w:r>
              <w:t>Water abstraction permit (if required)</w:t>
            </w:r>
          </w:p>
        </w:tc>
        <w:tc>
          <w:tcPr>
            <w:tcW w:type="dxa" w:w="2880"/>
          </w:tcPr>
          <w:p>
            <w:r>
              <w:t>2027‑04‑15</w:t>
            </w:r>
          </w:p>
        </w:tc>
        <w:tc>
          <w:tcPr>
            <w:tcW w:type="dxa" w:w="2880"/>
          </w:tcPr>
          <w:p>
            <w:r>
              <w:t>Water Resources Authority</w:t>
            </w:r>
          </w:p>
        </w:tc>
      </w:tr>
      <w:tr>
        <w:tc>
          <w:tcPr>
            <w:tcW w:type="dxa" w:w="2880"/>
          </w:tcPr>
          <w:p>
            <w:r>
              <w:t>Generation licence (EPRA)</w:t>
            </w:r>
          </w:p>
        </w:tc>
        <w:tc>
          <w:tcPr>
            <w:tcW w:type="dxa" w:w="2880"/>
          </w:tcPr>
          <w:p>
            <w:r>
              <w:t>2027‑05‑01</w:t>
            </w:r>
          </w:p>
        </w:tc>
        <w:tc>
          <w:tcPr>
            <w:tcW w:type="dxa" w:w="2880"/>
          </w:tcPr>
          <w:p>
            <w:r>
              <w:t>EPRA</w:t>
            </w:r>
          </w:p>
        </w:tc>
      </w:tr>
      <w:tr>
        <w:tc>
          <w:tcPr>
            <w:tcW w:type="dxa" w:w="2880"/>
          </w:tcPr>
          <w:p>
            <w:r>
              <w:t>Grid interconnection agreement (Kenya Power)</w:t>
            </w:r>
          </w:p>
        </w:tc>
        <w:tc>
          <w:tcPr>
            <w:tcW w:type="dxa" w:w="2880"/>
          </w:tcPr>
          <w:p>
            <w:r>
              <w:t>2027‑05‑15</w:t>
            </w:r>
          </w:p>
        </w:tc>
        <w:tc>
          <w:tcPr>
            <w:tcW w:type="dxa" w:w="2880"/>
          </w:tcPr>
          <w:p>
            <w:r>
              <w:t>Kenya Power &amp; Lighting Company</w:t>
            </w:r>
          </w:p>
        </w:tc>
      </w:tr>
      <w:tr>
        <w:tc>
          <w:tcPr>
            <w:tcW w:type="dxa" w:w="2880"/>
          </w:tcPr>
          <w:p>
            <w:r>
              <w:t>Commencement of construction (subject to all licences)</w:t>
            </w:r>
          </w:p>
        </w:tc>
        <w:tc>
          <w:tcPr>
            <w:tcW w:type="dxa" w:w="2880"/>
          </w:tcPr>
          <w:p>
            <w:r>
              <w:t>2027‑06‑01</w:t>
            </w:r>
          </w:p>
        </w:tc>
        <w:tc>
          <w:tcPr>
            <w:tcW w:type="dxa" w:w="2880"/>
          </w:tcPr>
          <w:p>
            <w:r>
              <w:t>Proponent</w:t>
            </w:r>
          </w:p>
        </w:tc>
      </w:tr>
    </w:tbl>
    <w:p>
      <w:r>
        <w:t>## 4.7 Summary</w:t>
      </w:r>
    </w:p>
    <w:p>
      <w:r>
        <w:t xml:space="preserve">The Ndeiya Solar Power Plant is positioned within a robust national policy framework that promotes renewable energy, climate mitigation, and sustainable development. Compliance with the </w:t>
      </w:r>
      <w:r>
        <w:rPr>
          <w:b/>
        </w:rPr>
        <w:t>Environmental Management and Co‑ordination Act 1999 (Section 58)</w:t>
      </w:r>
      <w:r>
        <w:t xml:space="preserve">, </w:t>
      </w:r>
      <w:r>
        <w:rPr>
          <w:b/>
        </w:rPr>
        <w:t>NEMA Regulations 2003 (Regulation 17)</w:t>
      </w:r>
      <w:r>
        <w:t xml:space="preserve">, </w:t>
      </w:r>
      <w:r>
        <w:rPr>
          <w:b/>
        </w:rPr>
        <w:t>Water Act 2016 (Section 143)</w:t>
      </w:r>
      <w:r>
        <w:t xml:space="preserve">, and the </w:t>
      </w:r>
      <w:r>
        <w:rPr>
          <w:b/>
        </w:rPr>
        <w:t>World Bank ESF</w:t>
      </w:r>
      <w:r>
        <w:t xml:space="preserve"> is mandatory. Institutional responsibilities are clearly delineated among NEMA, the Ministry of Energy, EPRA, Kiambu County, and the project‑specific GRM Committee.</w:t>
      </w:r>
    </w:p>
    <w:p>
      <w:r>
        <w:t xml:space="preserve">However, the identified </w:t>
      </w:r>
      <w:r>
        <w:rPr>
          <w:b/>
        </w:rPr>
        <w:t>contradictions</w:t>
      </w:r>
      <w:r>
        <w:t xml:space="preserve"> concerning site area versus panel footprint and the mismatch between phase capacity and total plant capacity must be rectified before any environmental licence or county clearance can be issued. Once these issues are resolved and the required permits obtained, the project can proceed to the construction phase in accordance with the approved ESMP and the stipulated legal and institutional requirements.</w:t>
      </w:r>
    </w:p>
    <w:p>
      <w:r>
        <w:br w:type="page"/>
      </w:r>
    </w:p>
    <w:p>
      <w:pPr>
        <w:pStyle w:val="Heading1"/>
      </w:pPr>
      <w:r>
        <w:t>Chapter 5: Baseline Environmental and Social Conditions</w:t>
      </w:r>
    </w:p>
    <w:p>
      <w:r>
        <w:t>## 5.1 Physical Environment</w:t>
      </w:r>
    </w:p>
    <w:p>
      <w:r>
        <w:t>### 5.1.1 Climate and Meteorology</w:t>
      </w:r>
    </w:p>
    <w:p>
      <w:pPr>
        <w:pStyle w:val="ListBullet"/>
      </w:pPr>
      <w:r/>
      <w:r>
        <w:rPr>
          <w:b/>
        </w:rPr>
        <w:t>Baseline meteorological data</w:t>
      </w:r>
      <w:r>
        <w:t xml:space="preserve">: </w:t>
      </w:r>
      <w:r>
        <w:rPr>
          <w:b/>
        </w:rPr>
        <w:t>[MISSING: LONG‑TERM METEOROLOGICAL DATA (TEMP, RAINFALL, WIND SPEED/DIRECTION)]</w:t>
      </w:r>
      <w:r/>
    </w:p>
    <w:p>
      <w:r>
        <w:t>### 5.1.2 Air Quality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Baseline Value (22 Mar 2026)</w:t>
            </w:r>
          </w:p>
        </w:tc>
        <w:tc>
          <w:tcPr>
            <w:tcW w:type="dxa" w:w="1728"/>
          </w:tcPr>
          <w:p>
            <w:r>
              <w:rPr>
                <w:b/>
              </w:rPr>
              <w:t>WHO 2021 Guideline*</w:t>
            </w:r>
          </w:p>
        </w:tc>
        <w:tc>
          <w:tcPr>
            <w:tcW w:type="dxa" w:w="1728"/>
          </w:tcPr>
          <w:p>
            <w:r>
              <w:rPr>
                <w:b/>
              </w:rPr>
              <w:t>NEMA Guideline</w:t>
            </w:r>
            <w:r>
              <w:rPr>
                <w:b/>
              </w:rPr>
            </w:r>
            <w:r>
              <w:rPr>
                <w:b/>
              </w:rPr>
            </w:r>
          </w:p>
        </w:tc>
        <w:tc>
          <w:tcPr>
            <w:tcW w:type="dxa" w:w="1728"/>
          </w:tcPr>
          <w:p>
            <w:r>
              <w:rPr>
                <w:b/>
              </w:rPr>
              <w:t>Assessment</w:t>
            </w:r>
          </w:p>
        </w:tc>
      </w:tr>
      <w:tr>
        <w:tc>
          <w:tcPr>
            <w:tcW w:type="dxa" w:w="1728"/>
          </w:tcPr>
          <w:p>
            <w:r>
              <w:t>PM₂.₅</w:t>
            </w:r>
          </w:p>
        </w:tc>
        <w:tc>
          <w:tcPr>
            <w:tcW w:type="dxa" w:w="1728"/>
          </w:tcPr>
          <w:p>
            <w:r>
              <w:t>11 µg m⁻³</w:t>
            </w:r>
          </w:p>
        </w:tc>
        <w:tc>
          <w:tcPr>
            <w:tcW w:type="dxa" w:w="1728"/>
          </w:tcPr>
          <w:p>
            <w:r>
              <w:t>5 µg m⁻³ (annual)</w:t>
            </w:r>
          </w:p>
        </w:tc>
        <w:tc>
          <w:tcPr>
            <w:tcW w:type="dxa" w:w="1728"/>
          </w:tcPr>
          <w:p>
            <w:r>
              <w:t>25 µg m⁻³ (24‑h)</w:t>
            </w:r>
          </w:p>
        </w:tc>
        <w:tc>
          <w:tcPr>
            <w:tcW w:type="dxa" w:w="1728"/>
          </w:tcPr>
          <w:p>
            <w:r/>
            <w:r>
              <w:rPr>
                <w:b/>
              </w:rPr>
              <w:t>EXCEEDS WHO guideline</w:t>
            </w:r>
            <w:r>
              <w:t>; within NEMA limit</w:t>
            </w:r>
          </w:p>
        </w:tc>
      </w:tr>
      <w:tr>
        <w:tc>
          <w:tcPr>
            <w:tcW w:type="dxa" w:w="1728"/>
          </w:tcPr>
          <w:p>
            <w:r>
              <w:t>PM₁₀</w:t>
            </w:r>
          </w:p>
        </w:tc>
        <w:tc>
          <w:tcPr>
            <w:tcW w:type="dxa" w:w="1728"/>
          </w:tcPr>
          <w:p>
            <w:r>
              <w:t>24 µg m⁻³</w:t>
            </w:r>
          </w:p>
        </w:tc>
        <w:tc>
          <w:tcPr>
            <w:tcW w:type="dxa" w:w="1728"/>
          </w:tcPr>
          <w:p>
            <w:r>
              <w:t>15 µg m⁻³ (annual)</w:t>
            </w:r>
          </w:p>
        </w:tc>
        <w:tc>
          <w:tcPr>
            <w:tcW w:type="dxa" w:w="1728"/>
          </w:tcPr>
          <w:p>
            <w:r>
              <w:t>50 µg m⁻³ (24‑h)</w:t>
            </w:r>
          </w:p>
        </w:tc>
        <w:tc>
          <w:tcPr>
            <w:tcW w:type="dxa" w:w="1728"/>
          </w:tcPr>
          <w:p>
            <w:r/>
            <w:r>
              <w:rPr>
                <w:b/>
              </w:rPr>
              <w:t>EXCEEDS WHO guideline</w:t>
            </w:r>
            <w:r>
              <w:t>; within NEMA limit</w:t>
            </w:r>
          </w:p>
        </w:tc>
      </w:tr>
    </w:tbl>
    <w:p>
      <w:r>
        <w:t>\* WHO Air Quality Guidelines (2021).</w:t>
      </w:r>
    </w:p>
    <w:p>
      <w:r>
        <w:t>\</w:t>
      </w:r>
      <w:r>
        <w:rPr>
          <w:b/>
        </w:rPr>
      </w:r>
      <w:r>
        <w:t xml:space="preserve"> NEMA “Air Quality Standards for Kenya” (latest revision).</w:t>
      </w:r>
    </w:p>
    <w:p>
      <w:r>
        <w:t>### 5.1.3 Noise</w:t>
      </w:r>
    </w:p>
    <w:p>
      <w:pPr>
        <w:pStyle w:val="ListBullet"/>
      </w:pPr>
      <w:r/>
      <w:r>
        <w:rPr>
          <w:b/>
        </w:rPr>
        <w:t>Baseline ambient noise level</w:t>
      </w:r>
      <w:r>
        <w:t>: 41 dBA (measured 22 Mar 2026).</w:t>
      </w:r>
    </w:p>
    <w:p>
      <w:pPr>
        <w:pStyle w:val="ListBullet"/>
      </w:pPr>
      <w:r/>
      <w:r>
        <w:rPr>
          <w:b/>
        </w:rPr>
        <w:t>Applicable standards</w:t>
      </w:r>
      <w:r>
        <w:t>: NEMA Noise Standard for residential zones ≤ 55 dBA (day).</w:t>
      </w:r>
    </w:p>
    <w:p>
      <w:pPr>
        <w:pStyle w:val="ListBullet"/>
      </w:pPr>
      <w:r/>
      <w:r>
        <w:rPr>
          <w:b/>
        </w:rPr>
        <w:t>Assessment</w:t>
      </w:r>
      <w:r>
        <w:t xml:space="preserve">: Baseline is </w:t>
      </w:r>
      <w:r>
        <w:rPr>
          <w:b/>
        </w:rPr>
        <w:t>below</w:t>
      </w:r>
      <w:r>
        <w:t xml:space="preserve"> the residential threshold; no immediate concern.</w:t>
      </w:r>
    </w:p>
    <w:p>
      <w:r>
        <w:t>### 5.1.4 Topography and Geomorphology</w:t>
      </w:r>
    </w:p>
    <w:p>
      <w:pPr>
        <w:pStyle w:val="ListBullet"/>
      </w:pPr>
      <w:r>
        <w:t>The project site lies on gently undulating terrain typical of the Limuru highlands, with elevations ranging between 1,650 m and 1,680 m above sea level.</w:t>
      </w:r>
    </w:p>
    <w:p>
      <w:r>
        <w:t>### 5.1.5 Soil and Geotechnical Conditions</w:t>
      </w:r>
    </w:p>
    <w:p>
      <w:pPr>
        <w:pStyle w:val="ListBullet"/>
      </w:pPr>
      <w:r>
        <w:t xml:space="preserve">Detailed geotechnical data are provided in </w:t>
      </w:r>
      <w:r>
        <w:rPr>
          <w:b/>
        </w:rPr>
        <w:t>soil_geotech_ndeiya.pdf</w:t>
      </w:r>
      <w:r>
        <w:t xml:space="preserve"> (see Annex A).</w:t>
      </w:r>
    </w:p>
    <w:p>
      <w:pPr>
        <w:pStyle w:val="ListBullet"/>
      </w:pPr>
      <w:r>
        <w:t xml:space="preserve">Soils are predominantly </w:t>
      </w:r>
      <w:r>
        <w:rPr>
          <w:b/>
        </w:rPr>
        <w:t>Acrisols</w:t>
      </w:r>
      <w:r>
        <w:t xml:space="preserve"> with moderate to high organic matter, suitable for shallow foundations and panel mounting.</w:t>
      </w:r>
    </w:p>
    <w:p>
      <w:r>
        <w:t>### 5.1.6 Groundwater</w:t>
      </w:r>
    </w:p>
    <w:p>
      <w:pPr>
        <w:pStyle w:val="ListBullet"/>
      </w:pPr>
      <w:r/>
      <w:r>
        <w:rPr>
          <w:b/>
        </w:rPr>
        <w:t>Depth to groundwater table</w:t>
      </w:r>
      <w:r>
        <w:t>: 58 m (measured 22 Mar 2026).</w:t>
      </w:r>
    </w:p>
    <w:p>
      <w:pPr>
        <w:pStyle w:val="ListBullet"/>
      </w:pPr>
      <w:r/>
      <w:r>
        <w:rPr>
          <w:b/>
        </w:rPr>
        <w:t>Hydrological study</w:t>
      </w:r>
      <w:r>
        <w:t xml:space="preserve">: Refer to </w:t>
      </w:r>
      <w:r>
        <w:rPr>
          <w:b/>
        </w:rPr>
        <w:t>hydrology_ewaso_kedong.pdf</w:t>
      </w:r>
      <w:r>
        <w:t xml:space="preserve"> (Annex B).</w:t>
      </w:r>
    </w:p>
    <w:p>
      <w:pPr>
        <w:pStyle w:val="ListBullet"/>
      </w:pPr>
      <w:r/>
      <w:r>
        <w:rPr>
          <w:b/>
        </w:rPr>
        <w:t>Regulatory reference</w:t>
      </w:r>
      <w:r>
        <w:t xml:space="preserve">: Water Act 2016 – abstraction shall not exceed sustainable yield; baseline abstraction for construction is </w:t>
      </w:r>
      <w:r>
        <w:rPr>
          <w:b/>
        </w:rPr>
        <w:t>[MISSING: QUANTITY OF WATER REQUIRED]</w:t>
      </w:r>
      <w:r>
        <w:t>.</w:t>
      </w:r>
    </w:p>
    <w:p>
      <w:r>
        <w:t>## 5.2 Biological Environment</w:t>
      </w:r>
    </w:p>
    <w:p>
      <w:r>
        <w:t>### 5.2.1 Flora</w:t>
      </w:r>
    </w:p>
    <w:p>
      <w:pPr>
        <w:pStyle w:val="ListBullet"/>
      </w:pPr>
      <w:r>
        <w:t xml:space="preserve">The site is presently </w:t>
      </w:r>
      <w:r>
        <w:rPr>
          <w:b/>
        </w:rPr>
        <w:t>grazing land / open grassland</w:t>
      </w:r>
      <w:r>
        <w:t xml:space="preserve"> with scattered indigenous grasses and occasional Acacia spp. No protected vegetation types identified.</w:t>
      </w:r>
    </w:p>
    <w:p>
      <w:r>
        <w:t>### 5.2.2 Fauna</w:t>
      </w:r>
    </w:p>
    <w:p>
      <w:pPr>
        <w:pStyle w:val="ListBullet"/>
      </w:pPr>
      <w:r>
        <w:t xml:space="preserve">Avian survey results are documented in </w:t>
      </w:r>
      <w:r>
        <w:rPr>
          <w:b/>
        </w:rPr>
        <w:t>biodiversity_avian_survey_ndeiya.pdf</w:t>
      </w:r>
      <w:r>
        <w:t xml:space="preserve"> (Annex C).</w:t>
      </w:r>
    </w:p>
    <w:p>
      <w:pPr>
        <w:pStyle w:val="ListBullet"/>
      </w:pPr>
      <w:r>
        <w:t>No threatened or endangered species recorded within the 1 km radius.</w:t>
      </w:r>
    </w:p>
    <w:p>
      <w:r>
        <w:t>### 5.2.3 Ecosystem Services</w:t>
      </w:r>
    </w:p>
    <w:p>
      <w:pPr>
        <w:pStyle w:val="ListBullet"/>
      </w:pPr>
      <w:r>
        <w:t>The grassland provides grazing services to local pastoralists; this is a key livelihood component for the identified vulnerable group (grazing‑rights holders).</w:t>
      </w:r>
    </w:p>
    <w:p>
      <w:r>
        <w:t>## 5.3 Socio‑Economic Environment</w:t>
      </w:r>
    </w:p>
    <w:p>
      <w:r>
        <w:t>### 5.3.1 Land Use and Tenure</w:t>
      </w:r>
    </w:p>
    <w:p>
      <w:pPr>
        <w:pStyle w:val="ListBullet"/>
      </w:pPr>
      <w:r/>
      <w:r>
        <w:rPr>
          <w:b/>
        </w:rPr>
        <w:t>Current land use</w:t>
      </w:r>
      <w:r>
        <w:t>: Grazing land / open grassland.</w:t>
      </w:r>
    </w:p>
    <w:p>
      <w:pPr>
        <w:pStyle w:val="ListBullet"/>
      </w:pPr>
      <w:r/>
      <w:r>
        <w:rPr>
          <w:b/>
        </w:rPr>
        <w:t>Tenure</w:t>
      </w:r>
      <w:r>
        <w:t>: Leasehold (LR No. 9902/14), 25‑year lease.</w:t>
      </w:r>
    </w:p>
    <w:p>
      <w:r>
        <w:t>### 5.3.2 Demographics and Livelihoods</w:t>
      </w:r>
    </w:p>
    <w:p>
      <w:pPr>
        <w:pStyle w:val="ListBullet"/>
      </w:pPr>
      <w:r>
        <w:t>The surrounding community is predominantly small‑holder farmers and pastoralists.</w:t>
      </w:r>
    </w:p>
    <w:p>
      <w:pPr>
        <w:pStyle w:val="ListBullet"/>
      </w:pPr>
      <w:r>
        <w:t>Primary sources of income: livestock rearing, small‑scale agriculture, and wage labour.</w:t>
      </w:r>
    </w:p>
    <w:p>
      <w:r>
        <w:t>### 5.3.3 Receptors within 1 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Receptor</w:t>
            </w:r>
          </w:p>
        </w:tc>
        <w:tc>
          <w:tcPr>
            <w:tcW w:type="dxa" w:w="2880"/>
          </w:tcPr>
          <w:p>
            <w:r>
              <w:rPr>
                <w:b/>
              </w:rPr>
              <w:t>Distance &amp; Direction</w:t>
            </w:r>
          </w:p>
        </w:tc>
        <w:tc>
          <w:tcPr>
            <w:tcW w:type="dxa" w:w="2880"/>
          </w:tcPr>
          <w:p>
            <w:r>
              <w:rPr>
                <w:b/>
              </w:rPr>
              <w:t>Potential Impact Pathway</w:t>
            </w:r>
          </w:p>
        </w:tc>
      </w:tr>
      <w:tr>
        <w:tc>
          <w:tcPr>
            <w:tcW w:type="dxa" w:w="2880"/>
          </w:tcPr>
          <w:p>
            <w:r>
              <w:t>Ndeiya Primary School</w:t>
            </w:r>
          </w:p>
        </w:tc>
        <w:tc>
          <w:tcPr>
            <w:tcW w:type="dxa" w:w="2880"/>
          </w:tcPr>
          <w:p>
            <w:r>
              <w:t>620 m East</w:t>
            </w:r>
          </w:p>
        </w:tc>
        <w:tc>
          <w:tcPr>
            <w:tcW w:type="dxa" w:w="2880"/>
          </w:tcPr>
          <w:p>
            <w:r>
              <w:t>Noise, glare, dust (construction)</w:t>
            </w:r>
          </w:p>
        </w:tc>
      </w:tr>
      <w:tr>
        <w:tc>
          <w:tcPr>
            <w:tcW w:type="dxa" w:w="2880"/>
          </w:tcPr>
          <w:p>
            <w:r>
              <w:t>Ndeiya PCEA Church</w:t>
            </w:r>
          </w:p>
        </w:tc>
        <w:tc>
          <w:tcPr>
            <w:tcW w:type="dxa" w:w="2880"/>
          </w:tcPr>
          <w:p>
            <w:r>
              <w:t>780 m Southeast</w:t>
            </w:r>
          </w:p>
        </w:tc>
        <w:tc>
          <w:tcPr>
            <w:tcW w:type="dxa" w:w="2880"/>
          </w:tcPr>
          <w:p>
            <w:r>
              <w:t>Glare, noise (construction &amp; operation)</w:t>
            </w:r>
          </w:p>
        </w:tc>
      </w:tr>
      <w:tr>
        <w:tc>
          <w:tcPr>
            <w:tcW w:type="dxa" w:w="2880"/>
          </w:tcPr>
          <w:p>
            <w:r>
              <w:t>Ewaso Kedong Seasonal Stream</w:t>
            </w:r>
          </w:p>
        </w:tc>
        <w:tc>
          <w:tcPr>
            <w:tcW w:type="dxa" w:w="2880"/>
          </w:tcPr>
          <w:p>
            <w:r>
              <w:t>410 m South</w:t>
            </w:r>
          </w:p>
        </w:tc>
        <w:tc>
          <w:tcPr>
            <w:tcW w:type="dxa" w:w="2880"/>
          </w:tcPr>
          <w:p>
            <w:r>
              <w:t>Surface runoff, sedimentation</w:t>
            </w:r>
          </w:p>
        </w:tc>
      </w:tr>
      <w:tr>
        <w:tc>
          <w:tcPr>
            <w:tcW w:type="dxa" w:w="2880"/>
          </w:tcPr>
          <w:p>
            <w:r>
              <w:t>Ndeiya Community Borehole</w:t>
            </w:r>
          </w:p>
        </w:tc>
        <w:tc>
          <w:tcPr>
            <w:tcW w:type="dxa" w:w="2880"/>
          </w:tcPr>
          <w:p>
            <w:r>
              <w:t>550 m North</w:t>
            </w:r>
          </w:p>
        </w:tc>
        <w:tc>
          <w:tcPr>
            <w:tcW w:type="dxa" w:w="2880"/>
          </w:tcPr>
          <w:p>
            <w:r>
              <w:t>Groundwater abstraction, contamination risk</w:t>
            </w:r>
          </w:p>
        </w:tc>
      </w:tr>
      <w:tr>
        <w:tc>
          <w:tcPr>
            <w:tcW w:type="dxa" w:w="2880"/>
          </w:tcPr>
          <w:p>
            <w:r>
              <w:t>Scattered homesteads</w:t>
            </w:r>
          </w:p>
        </w:tc>
        <w:tc>
          <w:tcPr>
            <w:tcW w:type="dxa" w:w="2880"/>
          </w:tcPr>
          <w:p>
            <w:r>
              <w:t>200 m West</w:t>
            </w:r>
          </w:p>
        </w:tc>
        <w:tc>
          <w:tcPr>
            <w:tcW w:type="dxa" w:w="2880"/>
          </w:tcPr>
          <w:p>
            <w:r>
              <w:t>Glare, dust, noise, loss of grazing access</w:t>
            </w:r>
          </w:p>
        </w:tc>
      </w:tr>
    </w:tbl>
    <w:p>
      <w:r>
        <w:t>### 5.3.4 Cultural Heritage and Archaeology</w:t>
      </w:r>
    </w:p>
    <w:p>
      <w:pPr>
        <w:pStyle w:val="ListBullet"/>
      </w:pPr>
      <w:r>
        <w:t>No known cultural heritage sites within the project boundary or the 1 km impact zone.</w:t>
      </w:r>
    </w:p>
    <w:p>
      <w:r>
        <w:t>### 5.3.5 Existing Infrastructure</w:t>
      </w:r>
    </w:p>
    <w:p>
      <w:pPr>
        <w:pStyle w:val="ListBullet"/>
      </w:pPr>
      <w:r>
        <w:t>Access via unpaved local road network; nearest grid connection point is 2.5 km south at Limuru sub‑station.</w:t>
      </w:r>
    </w:p>
    <w:p>
      <w:r>
        <w:t>## 5.4 Stakeholder Engagement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Engagement Activity</w:t>
            </w:r>
          </w:p>
        </w:tc>
        <w:tc>
          <w:tcPr>
            <w:tcW w:type="dxa" w:w="2160"/>
          </w:tcPr>
          <w:p>
            <w:r>
              <w:rPr>
                <w:b/>
              </w:rPr>
              <w:t>Date</w:t>
            </w:r>
          </w:p>
        </w:tc>
        <w:tc>
          <w:tcPr>
            <w:tcW w:type="dxa" w:w="2160"/>
          </w:tcPr>
          <w:p>
            <w:r>
              <w:rPr>
                <w:b/>
              </w:rPr>
              <w:t>Participants</w:t>
            </w:r>
          </w:p>
        </w:tc>
        <w:tc>
          <w:tcPr>
            <w:tcW w:type="dxa" w:w="2160"/>
          </w:tcPr>
          <w:p>
            <w:r>
              <w:rPr>
                <w:b/>
              </w:rPr>
              <w:t>Key Issues Raised</w:t>
            </w:r>
          </w:p>
        </w:tc>
      </w:tr>
      <w:tr>
        <w:tc>
          <w:tcPr>
            <w:tcW w:type="dxa" w:w="2160"/>
          </w:tcPr>
          <w:p>
            <w:r>
              <w:t>Newspaper notice (The Standard)</w:t>
            </w:r>
          </w:p>
        </w:tc>
        <w:tc>
          <w:tcPr>
            <w:tcW w:type="dxa" w:w="2160"/>
          </w:tcPr>
          <w:p>
            <w:r>
              <w:t>14 Jul 2026 (21‑day notice)</w:t>
            </w:r>
          </w:p>
        </w:tc>
        <w:tc>
          <w:tcPr>
            <w:tcW w:type="dxa" w:w="2160"/>
          </w:tcPr>
          <w:p>
            <w:r>
              <w:t>General public</w:t>
            </w:r>
          </w:p>
        </w:tc>
        <w:tc>
          <w:tcPr>
            <w:tcW w:type="dxa" w:w="2160"/>
          </w:tcPr>
          <w:p>
            <w:r>
              <w:t>Project scope, land use, employment expectations</w:t>
            </w:r>
          </w:p>
        </w:tc>
      </w:tr>
      <w:tr>
        <w:tc>
          <w:tcPr>
            <w:tcW w:type="dxa" w:w="2160"/>
          </w:tcPr>
          <w:p>
            <w:r>
              <w:t>Baraza (Community meeting)</w:t>
            </w:r>
          </w:p>
        </w:tc>
        <w:tc>
          <w:tcPr>
            <w:tcW w:type="dxa" w:w="2160"/>
          </w:tcPr>
          <w:p>
            <w:r>
              <w:t>06 Aug 2026, Ndeiya Chief’s Camp</w:t>
            </w:r>
          </w:p>
        </w:tc>
        <w:tc>
          <w:tcPr>
            <w:tcW w:type="dxa" w:w="2160"/>
          </w:tcPr>
          <w:p>
            <w:r>
              <w:t>94 attendees (including vulnerable grazing‑rights holders)</w:t>
            </w:r>
          </w:p>
        </w:tc>
        <w:tc>
          <w:tcPr>
            <w:tcW w:type="dxa" w:w="2160"/>
          </w:tcPr>
          <w:p>
            <w:r>
              <w:t>Loss of grazing land, employment numbers, glare, water use</w:t>
            </w:r>
          </w:p>
        </w:tc>
      </w:tr>
      <w:tr>
        <w:tc>
          <w:tcPr>
            <w:tcW w:type="dxa" w:w="2160"/>
          </w:tcPr>
          <w:p>
            <w:r>
              <w:t>GRM (Grievance Redress Mechanism)</w:t>
            </w:r>
          </w:p>
        </w:tc>
        <w:tc>
          <w:tcPr>
            <w:tcW w:type="dxa" w:w="2160"/>
          </w:tcPr>
          <w:p>
            <w:r>
              <w:t>Established 2026</w:t>
            </w:r>
          </w:p>
        </w:tc>
        <w:tc>
          <w:tcPr>
            <w:tcW w:type="dxa" w:w="2160"/>
          </w:tcPr>
          <w:p>
            <w:r>
              <w:t>GRM Committee (local representatives)</w:t>
            </w:r>
          </w:p>
        </w:tc>
        <w:tc>
          <w:tcPr>
            <w:tcW w:type="dxa" w:w="2160"/>
          </w:tcPr>
          <w:p>
            <w:r>
              <w:t>Ongoing monitoring of grievances</w:t>
            </w:r>
          </w:p>
        </w:tc>
      </w:tr>
    </w:tbl>
    <w:p>
      <w:r>
        <w:t>### 5.4.1 Vulnerable Groups</w:t>
      </w:r>
    </w:p>
    <w:p>
      <w:pPr>
        <w:pStyle w:val="ListBullet"/>
      </w:pPr>
      <w:r/>
      <w:r>
        <w:rPr>
          <w:b/>
        </w:rPr>
        <w:t>Grazing‑rights holders</w:t>
      </w:r>
      <w:r>
        <w:t xml:space="preserve"> on adjacent unfenced land have been identified as a distinct affected group. Their concerns centre on loss of access to traditional grazing corridors.</w:t>
      </w:r>
    </w:p>
    <w:p>
      <w:r>
        <w:t>## 5.5 Baseline Summary of Key Findings</w:t>
      </w:r>
    </w:p>
    <w:p>
      <w:pPr>
        <w:pStyle w:val="ListBullet"/>
      </w:pPr>
      <w:r/>
      <w:r>
        <w:rPr>
          <w:b/>
        </w:rPr>
        <w:t>Air quality</w:t>
      </w:r>
      <w:r>
        <w:t xml:space="preserve"> exceeds WHO guidelines for PM₂.₅ and PM₁₀, though remains within national limits.</w:t>
      </w:r>
    </w:p>
    <w:p>
      <w:pPr>
        <w:pStyle w:val="ListBullet"/>
      </w:pPr>
      <w:r/>
      <w:r>
        <w:rPr>
          <w:b/>
        </w:rPr>
        <w:t>Noise</w:t>
      </w:r>
      <w:r>
        <w:t xml:space="preserve"> levels are comfortably below residential thresholds.</w:t>
      </w:r>
    </w:p>
    <w:p>
      <w:pPr>
        <w:pStyle w:val="ListBullet"/>
      </w:pPr>
      <w:r/>
      <w:r>
        <w:rPr>
          <w:b/>
        </w:rPr>
        <w:t>Groundwater</w:t>
      </w:r>
      <w:r>
        <w:t xml:space="preserve"> is relatively deep (58 m), reducing immediate risk of drawdown, but water abstraction volumes are not quantified (</w:t>
      </w:r>
      <w:r>
        <w:rPr>
          <w:b/>
        </w:rPr>
        <w:t>[MISSING: QUANTITY OF WATER REQUIRED]</w:t>
      </w:r>
      <w:r>
        <w:t>).</w:t>
      </w:r>
    </w:p>
    <w:p>
      <w:pPr>
        <w:pStyle w:val="ListBullet"/>
      </w:pPr>
      <w:r/>
      <w:r>
        <w:rPr>
          <w:b/>
        </w:rPr>
        <w:t>Land use</w:t>
      </w:r>
      <w:r>
        <w:t xml:space="preserve"> is primarily grazing land; loss of access is a primary social concern.</w:t>
      </w:r>
    </w:p>
    <w:p>
      <w:pPr>
        <w:pStyle w:val="ListBullet"/>
      </w:pPr>
      <w:r/>
      <w:r>
        <w:rPr>
          <w:b/>
        </w:rPr>
        <w:t>Biological surveys</w:t>
      </w:r>
      <w:r>
        <w:t xml:space="preserve"> indicate no protected species, but the grassland ecosystem supports local livelihoods.</w:t>
      </w:r>
    </w:p>
    <w:p>
      <w:r>
        <w:t>## 5.6 Identified Contradictions and Data Gaps</w:t>
      </w:r>
    </w:p>
    <w:p>
      <w:pPr>
        <w:pStyle w:val="ListBullet"/>
      </w:pPr>
      <w:r/>
      <w:r>
        <w:rPr>
          <w:b/>
        </w:rPr>
        <w:t>[CONTRADICTION: Site area is 38.6 ha but panel footprint is 52 ha]</w:t>
      </w:r>
      <w:r>
        <w:t xml:space="preserve"> – the proposed PV array exceeds the total land area available.</w:t>
      </w:r>
    </w:p>
    <w:p>
      <w:pPr>
        <w:pStyle w:val="ListBullet"/>
      </w:pPr>
      <w:r/>
      <w:r>
        <w:rPr>
          <w:b/>
        </w:rPr>
        <w:t>[CONTRADICTION: Plant capacity is 45 MW but four phases of 15 MW each sum to 60 MW]</w:t>
      </w:r>
      <w:r>
        <w:t xml:space="preserve"> – phase capacity does not align with overall plant rating.</w:t>
      </w:r>
    </w:p>
    <w:p>
      <w:pPr>
        <w:pStyle w:val="ListBullet"/>
      </w:pPr>
      <w:r/>
      <w:r>
        <w:rPr>
          <w:b/>
        </w:rPr>
        <w:t>[CONTRADICTION: Direct operations employment stated as 82 permanent staff, yet mitigation notes “fewer than 20 people will be employed on‑site during the operational phase”]</w:t>
      </w:r>
      <w:r>
        <w:t xml:space="preserve"> – discrepancy in staffing figures.</w:t>
      </w:r>
    </w:p>
    <w:p>
      <w:r>
        <w:t>These contradictions must be resolved prior to final design and submission of the ESMP.</w:t>
      </w:r>
    </w:p>
    <w:p>
      <w:r>
        <w:t>## 5.7 Reference Documents</w:t>
      </w:r>
    </w:p>
    <w:p>
      <w:pPr>
        <w:pStyle w:val="ListBullet"/>
      </w:pPr>
      <w:r/>
      <w:r>
        <w:rPr>
          <w:b/>
        </w:rPr>
        <w:t>soil_geotech_ndeiya.pdf</w:t>
      </w:r>
      <w:r>
        <w:t xml:space="preserve"> – Geotechnical and soil investigation report (Annex A).</w:t>
      </w:r>
    </w:p>
    <w:p>
      <w:pPr>
        <w:pStyle w:val="ListBullet"/>
      </w:pPr>
      <w:r/>
      <w:r>
        <w:rPr>
          <w:b/>
        </w:rPr>
        <w:t>biodiversity_avian_survey_ndeiya.pdf</w:t>
      </w:r>
      <w:r>
        <w:t xml:space="preserve"> – Avian biodiversity survey (Annex B).</w:t>
      </w:r>
    </w:p>
    <w:p>
      <w:pPr>
        <w:pStyle w:val="ListBullet"/>
      </w:pPr>
      <w:r/>
      <w:r>
        <w:rPr>
          <w:b/>
        </w:rPr>
        <w:t>hydrology_ewaso_kedong.pdf</w:t>
      </w:r>
      <w:r>
        <w:t xml:space="preserve"> – Hydrological assessment of Ewaso Kedong seasonal stream (Annex C).</w:t>
      </w:r>
    </w:p>
    <w:p>
      <w:r>
        <w:t xml:space="preserve">All baseline information presented herein is derived from the measurements and surveys conducted on </w:t>
      </w:r>
      <w:r>
        <w:rPr>
          <w:b/>
        </w:rPr>
        <w:t>22 Mar 2026</w:t>
      </w:r>
      <w:r>
        <w:t xml:space="preserve"> by </w:t>
      </w:r>
      <w:r>
        <w:rPr>
          <w:b/>
        </w:rPr>
        <w:t>Highland Ecological Surveys Ltd.</w:t>
      </w:r>
      <w:r>
        <w:t>.</w:t>
      </w:r>
    </w:p>
    <w:p>
      <w:r>
        <w:t>---</w:t>
      </w:r>
    </w:p>
    <w:p>
      <w:r/>
      <w:r>
        <w:rPr>
          <w:i/>
        </w:rPr>
        <w:t>Prepared by:</w:t>
      </w:r>
      <w:r>
        <w:t xml:space="preserve"> </w:t>
      </w:r>
      <w:r>
        <w:rPr>
          <w:b/>
        </w:rPr>
        <w:t>George Kamau (EIA/EA/1234)</w:t>
      </w:r>
      <w:r>
        <w:t>, Lead Expert, Sunbelt Energy Kenya Ltd.</w:t>
      </w:r>
    </w:p>
    <w:p>
      <w:r/>
      <w:r>
        <w:rPr>
          <w:i/>
        </w:rPr>
        <w:t>Date:</w:t>
      </w:r>
      <w:r>
        <w:t xml:space="preserve"> 16 Sep 2026</w:t>
      </w:r>
    </w:p>
    <w:p>
      <w:r>
        <w:t>---</w:t>
      </w:r>
    </w:p>
    <w:p>
      <w:r/>
      <w:r>
        <w:rPr>
          <w:b/>
        </w:rPr>
        <w:t>Note:</w:t>
      </w:r>
      <w:r>
        <w:t xml:space="preserve"> This chapter forms part of a pre‑approval ESIA submission. No EIA licence or NEMA approval has been granted at this stage. All proposed mitigation measures will be incorporated into the </w:t>
      </w:r>
      <w:r>
        <w:rPr>
          <w:b/>
        </w:rPr>
        <w:t>Environmental and Social Management Plan (ESMP)</w:t>
      </w:r>
      <w:r>
        <w:t xml:space="preserve"> and will be refined following resolution of the identified contradictions.</w:t>
      </w:r>
    </w:p>
    <w:p>
      <w:r>
        <w:br w:type="page"/>
      </w:r>
    </w:p>
    <w:p>
      <w:pPr>
        <w:pStyle w:val="Heading1"/>
      </w:pPr>
      <w:r>
        <w:t>Chapter 6: Public Participation and Stakeholder Consultation</w:t>
      </w:r>
    </w:p>
    <w:p>
      <w:r>
        <w:t>## 6.1 Stakeholder Identification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Stakeholder</w:t>
            </w:r>
          </w:p>
        </w:tc>
        <w:tc>
          <w:tcPr>
            <w:tcW w:type="dxa" w:w="2160"/>
          </w:tcPr>
          <w:p>
            <w:r>
              <w:rPr>
                <w:b/>
              </w:rPr>
              <w:t>Location / Proximity</w:t>
            </w:r>
          </w:p>
        </w:tc>
        <w:tc>
          <w:tcPr>
            <w:tcW w:type="dxa" w:w="2160"/>
          </w:tcPr>
          <w:p>
            <w:r>
              <w:rPr>
                <w:b/>
              </w:rPr>
              <w:t>Primary Interests / Concerns</w:t>
            </w:r>
          </w:p>
        </w:tc>
      </w:tr>
      <w:tr>
        <w:tc>
          <w:tcPr>
            <w:tcW w:type="dxa" w:w="2160"/>
          </w:tcPr>
          <w:p>
            <w:r>
              <w:t>Local Community</w:t>
            </w:r>
          </w:p>
        </w:tc>
        <w:tc>
          <w:tcPr>
            <w:tcW w:type="dxa" w:w="2160"/>
          </w:tcPr>
          <w:p>
            <w:r>
              <w:t>Residents of scattered homesteads (≈200 m West)</w:t>
            </w:r>
          </w:p>
        </w:tc>
        <w:tc>
          <w:tcPr>
            <w:tcW w:type="dxa" w:w="2160"/>
          </w:tcPr>
          <w:p>
            <w:r>
              <w:t>Within 1 km radius</w:t>
            </w:r>
          </w:p>
        </w:tc>
        <w:tc>
          <w:tcPr>
            <w:tcW w:type="dxa" w:w="2160"/>
          </w:tcPr>
          <w:p>
            <w:r>
              <w:t>Glare from PV modules, noise, dust, land‑use change</w:t>
            </w:r>
          </w:p>
        </w:tc>
      </w:tr>
      <w:tr>
        <w:tc>
          <w:tcPr>
            <w:tcW w:type="dxa" w:w="2160"/>
          </w:tcPr>
          <w:p>
            <w:r>
              <w:t>Education</w:t>
            </w:r>
          </w:p>
        </w:tc>
        <w:tc>
          <w:tcPr>
            <w:tcW w:type="dxa" w:w="2160"/>
          </w:tcPr>
          <w:p>
            <w:r>
              <w:t>Ndeiya Primary School (620 m East)</w:t>
            </w:r>
          </w:p>
        </w:tc>
        <w:tc>
          <w:tcPr>
            <w:tcW w:type="dxa" w:w="2160"/>
          </w:tcPr>
          <w:p>
            <w:r>
              <w:t>Within 1 km radius</w:t>
            </w:r>
          </w:p>
        </w:tc>
        <w:tc>
          <w:tcPr>
            <w:tcW w:type="dxa" w:w="2160"/>
          </w:tcPr>
          <w:p>
            <w:r>
              <w:t>Safety of children, visual impacts, potential learning disruptions</w:t>
            </w:r>
          </w:p>
        </w:tc>
      </w:tr>
      <w:tr>
        <w:tc>
          <w:tcPr>
            <w:tcW w:type="dxa" w:w="2160"/>
          </w:tcPr>
          <w:p>
            <w:r>
              <w:t>Faith‑Based</w:t>
            </w:r>
          </w:p>
        </w:tc>
        <w:tc>
          <w:tcPr>
            <w:tcW w:type="dxa" w:w="2160"/>
          </w:tcPr>
          <w:p>
            <w:r>
              <w:t>Ndeiya PCEA Church (780 m Southeast)</w:t>
            </w:r>
          </w:p>
        </w:tc>
        <w:tc>
          <w:tcPr>
            <w:tcW w:type="dxa" w:w="2160"/>
          </w:tcPr>
          <w:p>
            <w:r>
              <w:t>Within 1 km radius</w:t>
            </w:r>
          </w:p>
        </w:tc>
        <w:tc>
          <w:tcPr>
            <w:tcW w:type="dxa" w:w="2160"/>
          </w:tcPr>
          <w:p>
            <w:r>
              <w:t>Noise, visual impacts, community cohesion</w:t>
            </w:r>
          </w:p>
        </w:tc>
      </w:tr>
      <w:tr>
        <w:tc>
          <w:tcPr>
            <w:tcW w:type="dxa" w:w="2160"/>
          </w:tcPr>
          <w:p>
            <w:r>
              <w:t>Water Users</w:t>
            </w:r>
          </w:p>
        </w:tc>
        <w:tc>
          <w:tcPr>
            <w:tcW w:type="dxa" w:w="2160"/>
          </w:tcPr>
          <w:p>
            <w:r>
              <w:t>Ndeiya Community Borehole (550 m North)</w:t>
            </w:r>
          </w:p>
        </w:tc>
        <w:tc>
          <w:tcPr>
            <w:tcW w:type="dxa" w:w="2160"/>
          </w:tcPr>
          <w:p>
            <w:r>
              <w:t>Within 1 km radius</w:t>
            </w:r>
          </w:p>
        </w:tc>
        <w:tc>
          <w:tcPr>
            <w:tcW w:type="dxa" w:w="2160"/>
          </w:tcPr>
          <w:p>
            <w:r>
              <w:t>Groundwater protection, potential contamination</w:t>
            </w:r>
          </w:p>
        </w:tc>
      </w:tr>
      <w:tr>
        <w:tc>
          <w:tcPr>
            <w:tcW w:type="dxa" w:w="2160"/>
          </w:tcPr>
          <w:p>
            <w:r>
              <w:t>Aquatic Ecosystem</w:t>
            </w:r>
          </w:p>
        </w:tc>
        <w:tc>
          <w:tcPr>
            <w:tcW w:type="dxa" w:w="2160"/>
          </w:tcPr>
          <w:p>
            <w:r>
              <w:t>Ewaso Kedong Seasonal Stream (410 m South)</w:t>
            </w:r>
          </w:p>
        </w:tc>
        <w:tc>
          <w:tcPr>
            <w:tcW w:type="dxa" w:w="2160"/>
          </w:tcPr>
          <w:p>
            <w:r>
              <w:t>Within 1 km radius</w:t>
            </w:r>
          </w:p>
        </w:tc>
        <w:tc>
          <w:tcPr>
            <w:tcW w:type="dxa" w:w="2160"/>
          </w:tcPr>
          <w:p>
            <w:r>
              <w:t>Water quality, flow regime, biodiversity</w:t>
            </w:r>
          </w:p>
        </w:tc>
      </w:tr>
      <w:tr>
        <w:tc>
          <w:tcPr>
            <w:tcW w:type="dxa" w:w="2160"/>
          </w:tcPr>
          <w:p>
            <w:r>
              <w:t>Grazing Rights Holders</w:t>
            </w:r>
          </w:p>
        </w:tc>
        <w:tc>
          <w:tcPr>
            <w:tcW w:type="dxa" w:w="2160"/>
          </w:tcPr>
          <w:p>
            <w:r>
              <w:t>Adjacent unfenced grazing land owners</w:t>
            </w:r>
          </w:p>
        </w:tc>
        <w:tc>
          <w:tcPr>
            <w:tcW w:type="dxa" w:w="2160"/>
          </w:tcPr>
          <w:p>
            <w:r>
              <w:t>Directly adjoining the site</w:t>
            </w:r>
          </w:p>
        </w:tc>
        <w:tc>
          <w:tcPr>
            <w:tcW w:type="dxa" w:w="2160"/>
          </w:tcPr>
          <w:p>
            <w:r>
              <w:t>Access to grazing land, compensation for loss of use</w:t>
            </w:r>
          </w:p>
        </w:tc>
      </w:tr>
      <w:tr>
        <w:tc>
          <w:tcPr>
            <w:tcW w:type="dxa" w:w="2160"/>
          </w:tcPr>
          <w:p>
            <w:r>
              <w:t>Government &amp; Regulators</w:t>
            </w:r>
          </w:p>
        </w:tc>
        <w:tc>
          <w:tcPr>
            <w:tcW w:type="dxa" w:w="2160"/>
          </w:tcPr>
          <w:p>
            <w:r>
              <w:t>Kiambu County Planning Office, NEMA, Water Resources Authority</w:t>
            </w:r>
          </w:p>
        </w:tc>
        <w:tc>
          <w:tcPr>
            <w:tcW w:type="dxa" w:w="2160"/>
          </w:tcPr>
          <w:p>
            <w:r>
              <w:t>County level</w:t>
            </w:r>
          </w:p>
        </w:tc>
        <w:tc>
          <w:tcPr>
            <w:tcW w:type="dxa" w:w="2160"/>
          </w:tcPr>
          <w:p>
            <w:r>
              <w:t>Compliance with environmental licences, water abstraction permits</w:t>
            </w:r>
          </w:p>
        </w:tc>
      </w:tr>
      <w:tr>
        <w:tc>
          <w:tcPr>
            <w:tcW w:type="dxa" w:w="2160"/>
          </w:tcPr>
          <w:p>
            <w:r>
              <w:t>Project Proponent</w:t>
            </w:r>
          </w:p>
        </w:tc>
        <w:tc>
          <w:tcPr>
            <w:tcW w:type="dxa" w:w="2160"/>
          </w:tcPr>
          <w:p>
            <w:r>
              <w:t>Sunbelt Energy Kenya Ltd.</w:t>
            </w:r>
          </w:p>
        </w:tc>
        <w:tc>
          <w:tcPr>
            <w:tcW w:type="dxa" w:w="2160"/>
          </w:tcPr>
          <w:p>
            <w:r>
              <w:t>Nairobi (head office)</w:t>
            </w:r>
          </w:p>
        </w:tc>
        <w:tc>
          <w:tcPr>
            <w:tcW w:type="dxa" w:w="2160"/>
          </w:tcPr>
          <w:p>
            <w:r>
              <w:t>Project delivery, risk management, community licence to operate</w:t>
            </w:r>
          </w:p>
        </w:tc>
      </w:tr>
      <w:tr>
        <w:tc>
          <w:tcPr>
            <w:tcW w:type="dxa" w:w="2160"/>
          </w:tcPr>
          <w:p>
            <w:r>
              <w:t>NGOs / Civil Society</w:t>
            </w:r>
          </w:p>
        </w:tc>
        <w:tc>
          <w:tcPr>
            <w:tcW w:type="dxa" w:w="2160"/>
          </w:tcPr>
          <w:p>
            <w:r>
              <w:t>Local environmental NGOs (e.g., Green Kenya Forum)</w:t>
            </w:r>
          </w:p>
        </w:tc>
        <w:tc>
          <w:tcPr>
            <w:tcW w:type="dxa" w:w="2160"/>
          </w:tcPr>
          <w:p>
            <w:r>
              <w:t>Countywide</w:t>
            </w:r>
          </w:p>
        </w:tc>
        <w:tc>
          <w:tcPr>
            <w:tcW w:type="dxa" w:w="2160"/>
          </w:tcPr>
          <w:p>
            <w:r>
              <w:t>Biodiversity protection, climate change mitigation</w:t>
            </w:r>
          </w:p>
        </w:tc>
      </w:tr>
      <w:tr>
        <w:tc>
          <w:tcPr>
            <w:tcW w:type="dxa" w:w="2160"/>
          </w:tcPr>
          <w:p>
            <w:r>
              <w:t>Media</w:t>
            </w:r>
          </w:p>
        </w:tc>
        <w:tc>
          <w:tcPr>
            <w:tcW w:type="dxa" w:w="2160"/>
          </w:tcPr>
          <w:p>
            <w:r>
              <w:t>The Standard (national newspaper)</w:t>
            </w:r>
          </w:p>
        </w:tc>
        <w:tc>
          <w:tcPr>
            <w:tcW w:type="dxa" w:w="2160"/>
          </w:tcPr>
          <w:p>
            <w:r>
              <w:t>Nationwide</w:t>
            </w:r>
          </w:p>
        </w:tc>
        <w:tc>
          <w:tcPr>
            <w:tcW w:type="dxa" w:w="2160"/>
          </w:tcPr>
          <w:p>
            <w:r>
              <w:t>Public awareness, information dissemination</w:t>
            </w:r>
          </w:p>
        </w:tc>
      </w:tr>
    </w:tbl>
    <w:p>
      <w:r>
        <w:t>## 6.2 Engagement Process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Activity</w:t>
            </w:r>
          </w:p>
        </w:tc>
        <w:tc>
          <w:tcPr>
            <w:tcW w:type="dxa" w:w="1728"/>
          </w:tcPr>
          <w:p>
            <w:r>
              <w:rPr>
                <w:b/>
              </w:rPr>
              <w:t>Date</w:t>
            </w:r>
          </w:p>
        </w:tc>
        <w:tc>
          <w:tcPr>
            <w:tcW w:type="dxa" w:w="1728"/>
          </w:tcPr>
          <w:p>
            <w:r>
              <w:rPr>
                <w:b/>
              </w:rPr>
              <w:t>Method</w:t>
            </w:r>
          </w:p>
        </w:tc>
        <w:tc>
          <w:tcPr>
            <w:tcW w:type="dxa" w:w="1728"/>
          </w:tcPr>
          <w:p>
            <w:r>
              <w:rPr>
                <w:b/>
              </w:rPr>
              <w:t>Participants</w:t>
            </w:r>
          </w:p>
        </w:tc>
        <w:tc>
          <w:tcPr>
            <w:tcW w:type="dxa" w:w="1728"/>
          </w:tcPr>
          <w:p>
            <w:r>
              <w:rPr>
                <w:b/>
              </w:rPr>
              <w:t>Key Outputs</w:t>
            </w:r>
          </w:p>
        </w:tc>
      </w:tr>
      <w:tr>
        <w:tc>
          <w:tcPr>
            <w:tcW w:type="dxa" w:w="1728"/>
          </w:tcPr>
          <w:p>
            <w:r>
              <w:t>Public Notice</w:t>
            </w:r>
          </w:p>
        </w:tc>
        <w:tc>
          <w:tcPr>
            <w:tcW w:type="dxa" w:w="1728"/>
          </w:tcPr>
          <w:p>
            <w:r>
              <w:t>2026‑07‑14</w:t>
            </w:r>
          </w:p>
        </w:tc>
        <w:tc>
          <w:tcPr>
            <w:tcW w:type="dxa" w:w="1728"/>
          </w:tcPr>
          <w:p>
            <w:r>
              <w:t>Newspaper advertisement (The Standard) – 21‑day notice</w:t>
            </w:r>
          </w:p>
        </w:tc>
        <w:tc>
          <w:tcPr>
            <w:tcW w:type="dxa" w:w="1728"/>
          </w:tcPr>
          <w:p>
            <w:r>
              <w:t>General public</w:t>
            </w:r>
          </w:p>
        </w:tc>
        <w:tc>
          <w:tcPr>
            <w:tcW w:type="dxa" w:w="1728"/>
          </w:tcPr>
          <w:p>
            <w:r>
              <w:t>Announcement of proposed Ndeiya Solar Power Plant, invitation to attend baraza</w:t>
            </w:r>
          </w:p>
        </w:tc>
      </w:tr>
      <w:tr>
        <w:tc>
          <w:tcPr>
            <w:tcW w:type="dxa" w:w="1728"/>
          </w:tcPr>
          <w:p>
            <w:r>
              <w:t>Baraza (Community Meeting)</w:t>
            </w:r>
          </w:p>
        </w:tc>
        <w:tc>
          <w:tcPr>
            <w:tcW w:type="dxa" w:w="1728"/>
          </w:tcPr>
          <w:p>
            <w:r>
              <w:t>2026‑08‑06</w:t>
            </w:r>
          </w:p>
        </w:tc>
        <w:tc>
          <w:tcPr>
            <w:tcW w:type="dxa" w:w="1728"/>
          </w:tcPr>
          <w:p>
            <w:r>
              <w:t>In‑person meeting at Ndeiya Chief’s Camp</w:t>
            </w:r>
          </w:p>
        </w:tc>
        <w:tc>
          <w:tcPr>
            <w:tcW w:type="dxa" w:w="1728"/>
          </w:tcPr>
          <w:p>
            <w:r>
              <w:t>94 attendees (including vulnerable grazing‑rights holders)</w:t>
            </w:r>
          </w:p>
        </w:tc>
        <w:tc>
          <w:tcPr>
            <w:tcW w:type="dxa" w:w="1728"/>
          </w:tcPr>
          <w:p>
            <w:r>
              <w:t>Presentation of project scope, Q&amp;A, collection of concerns, formation of GRM Committee</w:t>
            </w:r>
          </w:p>
        </w:tc>
      </w:tr>
      <w:tr>
        <w:tc>
          <w:tcPr>
            <w:tcW w:type="dxa" w:w="1728"/>
          </w:tcPr>
          <w:p>
            <w:r>
              <w:t>Stakeholder Interviews</w:t>
            </w:r>
          </w:p>
        </w:tc>
        <w:tc>
          <w:tcPr>
            <w:tcW w:type="dxa" w:w="1728"/>
          </w:tcPr>
          <w:p>
            <w:r>
              <w:t>2026‑08‑15 to 2026‑08‑22</w:t>
            </w:r>
          </w:p>
        </w:tc>
        <w:tc>
          <w:tcPr>
            <w:tcW w:type="dxa" w:w="1728"/>
          </w:tcPr>
          <w:p>
            <w:r>
              <w:t>Semi‑structured interviews (households, school staff, church leaders)</w:t>
            </w:r>
          </w:p>
        </w:tc>
        <w:tc>
          <w:tcPr>
            <w:tcW w:type="dxa" w:w="1728"/>
          </w:tcPr>
          <w:p>
            <w:r>
              <w:t>27 respondents</w:t>
            </w:r>
          </w:p>
        </w:tc>
        <w:tc>
          <w:tcPr>
            <w:tcW w:type="dxa" w:w="1728"/>
          </w:tcPr>
          <w:p>
            <w:r>
              <w:t>Detailed record of site‑specific issues (glare, employment expectations, grazing access)</w:t>
            </w:r>
          </w:p>
        </w:tc>
      </w:tr>
      <w:tr>
        <w:tc>
          <w:tcPr>
            <w:tcW w:type="dxa" w:w="1728"/>
          </w:tcPr>
          <w:p>
            <w:r>
              <w:t>Focus Group Discussions</w:t>
            </w:r>
          </w:p>
        </w:tc>
        <w:tc>
          <w:tcPr>
            <w:tcW w:type="dxa" w:w="1728"/>
          </w:tcPr>
          <w:p>
            <w:r>
              <w:t>2026‑09‑02</w:t>
            </w:r>
          </w:p>
        </w:tc>
        <w:tc>
          <w:tcPr>
            <w:tcW w:type="dxa" w:w="1728"/>
          </w:tcPr>
          <w:p>
            <w:r>
              <w:t>Separate groups for women, youth, and grazing‑rights holders</w:t>
            </w:r>
          </w:p>
        </w:tc>
        <w:tc>
          <w:tcPr>
            <w:tcW w:type="dxa" w:w="1728"/>
          </w:tcPr>
          <w:p>
            <w:r>
              <w:t>36 participants</w:t>
            </w:r>
          </w:p>
        </w:tc>
        <w:tc>
          <w:tcPr>
            <w:tcW w:type="dxa" w:w="1728"/>
          </w:tcPr>
          <w:p>
            <w:r>
              <w:t>Gender‑sensitive concerns, livelihood impacts, suggestions for mitigation</w:t>
            </w:r>
          </w:p>
        </w:tc>
      </w:tr>
      <w:tr>
        <w:tc>
          <w:tcPr>
            <w:tcW w:type="dxa" w:w="1728"/>
          </w:tcPr>
          <w:p>
            <w:r>
              <w:t>GRM Committee Formation</w:t>
            </w:r>
          </w:p>
        </w:tc>
        <w:tc>
          <w:tcPr>
            <w:tcW w:type="dxa" w:w="1728"/>
          </w:tcPr>
          <w:p>
            <w:r>
              <w:t>2026‑08‑06</w:t>
            </w:r>
          </w:p>
        </w:tc>
        <w:tc>
          <w:tcPr>
            <w:tcW w:type="dxa" w:w="1728"/>
          </w:tcPr>
          <w:p>
            <w:r>
              <w:t>Established during baraza</w:t>
            </w:r>
          </w:p>
        </w:tc>
        <w:tc>
          <w:tcPr>
            <w:tcW w:type="dxa" w:w="1728"/>
          </w:tcPr>
          <w:p>
            <w:r>
              <w:t>5 community representatives (including a grazing‑rights holder)</w:t>
            </w:r>
          </w:p>
        </w:tc>
        <w:tc>
          <w:tcPr>
            <w:tcW w:type="dxa" w:w="1728"/>
          </w:tcPr>
          <w:p>
            <w:r>
              <w:t>Formal mechanism for grievance registration, tracking, and resolution</w:t>
            </w:r>
          </w:p>
        </w:tc>
      </w:tr>
      <w:tr>
        <w:tc>
          <w:tcPr>
            <w:tcW w:type="dxa" w:w="1728"/>
          </w:tcPr>
          <w:p>
            <w:r>
              <w:t>Ongoing Information Dissemination</w:t>
            </w:r>
          </w:p>
        </w:tc>
        <w:tc>
          <w:tcPr>
            <w:tcW w:type="dxa" w:w="1728"/>
          </w:tcPr>
          <w:p>
            <w:r>
              <w:t>Continuous</w:t>
            </w:r>
          </w:p>
        </w:tc>
        <w:tc>
          <w:tcPr>
            <w:tcW w:type="dxa" w:w="1728"/>
          </w:tcPr>
          <w:p>
            <w:r>
              <w:t>Project office notice board, SMS alerts, community radio</w:t>
            </w:r>
          </w:p>
        </w:tc>
        <w:tc>
          <w:tcPr>
            <w:tcW w:type="dxa" w:w="1728"/>
          </w:tcPr>
          <w:p>
            <w:r>
              <w:t>All local stakeholders</w:t>
            </w:r>
          </w:p>
        </w:tc>
        <w:tc>
          <w:tcPr>
            <w:tcW w:type="dxa" w:w="1728"/>
          </w:tcPr>
          <w:p>
            <w:r>
              <w:t>Updates on construction schedule, ESMP implementation, monitoring results</w:t>
            </w:r>
          </w:p>
        </w:tc>
      </w:tr>
    </w:tbl>
    <w:p>
      <w:r>
        <w:t>All engagement activities complied with NEMA’s Public Participation Guidelines (NEMA 2019) and the World Bank Environmental and Social Framework (ESF) requirement for early and meaningful consultation.</w:t>
      </w:r>
    </w:p>
    <w:p>
      <w:r>
        <w:t>## 6.3 Summary of Issues Raised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Source</w:t>
            </w:r>
          </w:p>
        </w:tc>
        <w:tc>
          <w:tcPr>
            <w:tcW w:type="dxa" w:w="2880"/>
          </w:tcPr>
          <w:p>
            <w:r>
              <w:rPr>
                <w:b/>
              </w:rPr>
              <w:t>Proponent Response / Mitigation</w:t>
            </w:r>
          </w:p>
        </w:tc>
      </w:tr>
      <w:tr>
        <w:tc>
          <w:tcPr>
            <w:tcW w:type="dxa" w:w="2880"/>
          </w:tcPr>
          <w:p>
            <w:r/>
            <w:r>
              <w:rPr>
                <w:b/>
              </w:rPr>
              <w:t>Loss of grazing land access</w:t>
            </w:r>
            <w:r/>
          </w:p>
        </w:tc>
        <w:tc>
          <w:tcPr>
            <w:tcW w:type="dxa" w:w="2880"/>
          </w:tcPr>
          <w:p>
            <w:r>
              <w:t>Baraza, focus groups (grazing‑rights holders)</w:t>
            </w:r>
          </w:p>
        </w:tc>
        <w:tc>
          <w:tcPr>
            <w:tcW w:type="dxa" w:w="2880"/>
          </w:tcPr>
          <w:p>
            <w:r>
              <w:t>Perimeter fencing will be set back to preserve a 10 m access corridor; compensation will be paid at Valuer‑General rates for any loss of usable grazing area.</w:t>
            </w:r>
          </w:p>
        </w:tc>
      </w:tr>
      <w:tr>
        <w:tc>
          <w:tcPr>
            <w:tcW w:type="dxa" w:w="2880"/>
          </w:tcPr>
          <w:p>
            <w:r/>
            <w:r>
              <w:rPr>
                <w:b/>
              </w:rPr>
              <w:t>Local employment expectations</w:t>
            </w:r>
            <w:r/>
          </w:p>
        </w:tc>
        <w:tc>
          <w:tcPr>
            <w:tcW w:type="dxa" w:w="2880"/>
          </w:tcPr>
          <w:p>
            <w:r>
              <w:t>Baraza, school staff</w:t>
            </w:r>
          </w:p>
        </w:tc>
        <w:tc>
          <w:tcPr>
            <w:tcW w:type="dxa" w:w="2880"/>
          </w:tcPr>
          <w:p>
            <w:r>
              <w:t xml:space="preserve">Clarified that solar PV plants are highly automated; </w:t>
            </w:r>
            <w:r>
              <w:rPr>
                <w:b/>
              </w:rPr>
              <w:t>fewer than 20</w:t>
            </w:r>
            <w:r>
              <w:t xml:space="preserve"> people will be employed on‑site during the operational phase. Training and short‑term construction jobs (≈150) will be offered to local labour.</w:t>
            </w:r>
          </w:p>
        </w:tc>
      </w:tr>
      <w:tr>
        <w:tc>
          <w:tcPr>
            <w:tcW w:type="dxa" w:w="2880"/>
          </w:tcPr>
          <w:p>
            <w:r/>
            <w:r>
              <w:rPr>
                <w:b/>
              </w:rPr>
              <w:t>Glare affecting nearby homesteads</w:t>
            </w:r>
            <w:r/>
          </w:p>
        </w:tc>
        <w:tc>
          <w:tcPr>
            <w:tcW w:type="dxa" w:w="2880"/>
          </w:tcPr>
          <w:p>
            <w:r>
              <w:t>Interviews with homestead owners</w:t>
            </w:r>
          </w:p>
        </w:tc>
        <w:tc>
          <w:tcPr>
            <w:tcW w:type="dxa" w:w="2880"/>
          </w:tcPr>
          <w:p>
            <w:r>
              <w:t>Anti‑reflective coating will be applied to all modules; rows facing homesteads will be angled to minimise azimuth‑related glare.</w:t>
            </w:r>
          </w:p>
        </w:tc>
      </w:tr>
      <w:tr>
        <w:tc>
          <w:tcPr>
            <w:tcW w:type="dxa" w:w="2880"/>
          </w:tcPr>
          <w:p>
            <w:r/>
            <w:r>
              <w:rPr>
                <w:b/>
              </w:rPr>
              <w:t>Noise and dust during construction</w:t>
            </w:r>
            <w:r/>
          </w:p>
        </w:tc>
        <w:tc>
          <w:tcPr>
            <w:tcW w:type="dxa" w:w="2880"/>
          </w:tcPr>
          <w:p>
            <w:r>
              <w:t>Community members</w:t>
            </w:r>
          </w:p>
        </w:tc>
        <w:tc>
          <w:tcPr>
            <w:tcW w:type="dxa" w:w="2880"/>
          </w:tcPr>
          <w:p>
            <w:r>
              <w:t>Construction equipment will be fitted with mufflers; dust suppression (watering, wheel washing) will be implemented as per ESMP.</w:t>
            </w:r>
          </w:p>
        </w:tc>
      </w:tr>
      <w:tr>
        <w:tc>
          <w:tcPr>
            <w:tcW w:type="dxa" w:w="2880"/>
          </w:tcPr>
          <w:p>
            <w:r/>
            <w:r>
              <w:rPr>
                <w:b/>
              </w:rPr>
              <w:t>Potential impact on Ewaso Kedong seasonal stream</w:t>
            </w:r>
            <w:r/>
          </w:p>
        </w:tc>
        <w:tc>
          <w:tcPr>
            <w:tcW w:type="dxa" w:w="2880"/>
          </w:tcPr>
          <w:p>
            <w:r>
              <w:t>Environmental specialist survey (hydrology_ewaso_kedong.pdf)</w:t>
            </w:r>
          </w:p>
        </w:tc>
        <w:tc>
          <w:tcPr>
            <w:tcW w:type="dxa" w:w="2880"/>
          </w:tcPr>
          <w:p>
            <w:r>
              <w:t>No direct water abstraction planned; runoff will be managed through sediment traps and vegetated swales.</w:t>
            </w:r>
          </w:p>
        </w:tc>
      </w:tr>
      <w:tr>
        <w:tc>
          <w:tcPr>
            <w:tcW w:type="dxa" w:w="2880"/>
          </w:tcPr>
          <w:p>
            <w:r/>
            <w:r>
              <w:rPr>
                <w:b/>
              </w:rPr>
              <w:t>Groundwater protection</w:t>
            </w:r>
            <w:r/>
          </w:p>
        </w:tc>
        <w:tc>
          <w:tcPr>
            <w:tcW w:type="dxa" w:w="2880"/>
          </w:tcPr>
          <w:p>
            <w:r>
              <w:t>Baseline groundwater depth (58 m)</w:t>
            </w:r>
          </w:p>
        </w:tc>
        <w:tc>
          <w:tcPr>
            <w:tcW w:type="dxa" w:w="2880"/>
          </w:tcPr>
          <w:p>
            <w:r>
              <w:t>No de‑watering activities; any accidental spills will be contained and reported per ESMP procedures.</w:t>
            </w:r>
          </w:p>
        </w:tc>
      </w:tr>
      <w:tr>
        <w:tc>
          <w:tcPr>
            <w:tcW w:type="dxa" w:w="2880"/>
          </w:tcPr>
          <w:p>
            <w:r/>
            <w:r>
              <w:rPr>
                <w:b/>
              </w:rPr>
              <w:t>Safety of school children</w:t>
            </w:r>
            <w:r/>
          </w:p>
        </w:tc>
        <w:tc>
          <w:tcPr>
            <w:tcW w:type="dxa" w:w="2880"/>
          </w:tcPr>
          <w:p>
            <w:r>
              <w:t>Ndeiya Primary School representative</w:t>
            </w:r>
          </w:p>
        </w:tc>
        <w:tc>
          <w:tcPr>
            <w:tcW w:type="dxa" w:w="2880"/>
          </w:tcPr>
          <w:p>
            <w:r>
              <w:t>Secure fencing, signage, and a 30 m safety buffer zone around the school perimeter.</w:t>
            </w:r>
          </w:p>
        </w:tc>
      </w:tr>
    </w:tbl>
    <w:p>
      <w:r>
        <w:t>## 6.4 Mitigation Measures and Integration into the ESMP</w:t>
      </w:r>
    </w:p>
    <w:p>
      <w:pPr>
        <w:pStyle w:val="ListNumber"/>
      </w:pPr>
      <w:r/>
      <w:r>
        <w:rPr>
          <w:b/>
        </w:rPr>
        <w:t>Grazing Access &amp; Compensation</w:t>
      </w:r>
      <w:r/>
    </w:p>
    <w:p>
      <w:pPr>
        <w:pStyle w:val="ListBullet"/>
      </w:pPr>
      <w:r>
        <w:t>Design of perimeter fence with a 10 m wide, unfenced corridor along the western boundary.</w:t>
      </w:r>
    </w:p>
    <w:p>
      <w:pPr>
        <w:pStyle w:val="ListBullet"/>
      </w:pPr>
      <w:r>
        <w:t>Compensation schedule aligned with Valuer‑General rates, disbursed within 30 days of loss verification.</w:t>
      </w:r>
    </w:p>
    <w:p>
      <w:pPr>
        <w:pStyle w:val="ListBullet"/>
      </w:pPr>
      <w:r>
        <w:t>Monitoring: Quarterly verification of corridor integrity by the GRM Committee.</w:t>
      </w:r>
    </w:p>
    <w:p>
      <w:pPr>
        <w:pStyle w:val="ListNumber"/>
      </w:pPr>
      <w:r/>
      <w:r>
        <w:rPr>
          <w:b/>
        </w:rPr>
        <w:t>Employment &amp; Livelihood Enhancement</w:t>
      </w:r>
      <w:r/>
    </w:p>
    <w:p>
      <w:pPr>
        <w:pStyle w:val="ListBullet"/>
      </w:pPr>
      <w:r>
        <w:t>Prioritise local labour for construction (target 60 % of workforce).</w:t>
      </w:r>
    </w:p>
    <w:p>
      <w:pPr>
        <w:pStyle w:val="ListBullet"/>
      </w:pPr>
      <w:r>
        <w:t>Establish a vocational training partnership with Kiambu County Technical College for solar PV operation and maintenance.</w:t>
      </w:r>
    </w:p>
    <w:p>
      <w:pPr>
        <w:pStyle w:val="ListBullet"/>
      </w:pPr>
      <w:r>
        <w:t>Monitoring: Monthly employment reports submitted to NEMA and the County Planning Office.</w:t>
      </w:r>
    </w:p>
    <w:p>
      <w:pPr>
        <w:pStyle w:val="ListNumber"/>
      </w:pPr>
      <w:r/>
      <w:r>
        <w:rPr>
          <w:b/>
        </w:rPr>
        <w:t>Glare Reduction</w:t>
      </w:r>
      <w:r/>
    </w:p>
    <w:p>
      <w:pPr>
        <w:pStyle w:val="ListBullet"/>
      </w:pPr>
      <w:r>
        <w:t>Procurement of anti‑reflective coated PV modules (≥ 85 % reflectance reduction).</w:t>
      </w:r>
    </w:p>
    <w:p>
      <w:pPr>
        <w:pStyle w:val="ListBullet"/>
      </w:pPr>
      <w:r>
        <w:t>Orientation of homestead‑facing rows to a maximum azimuth of 210°–240° (south‑west) to limit direct sun‑glare during peak hours.</w:t>
      </w:r>
    </w:p>
    <w:p>
      <w:pPr>
        <w:pStyle w:val="ListBullet"/>
      </w:pPr>
      <w:r>
        <w:t>Monitoring: Bi‑annual glare assessments using a lux meter at affected homesteads; corrective actions (e.g., additional shading) if readings exceed 300 lux.</w:t>
      </w:r>
    </w:p>
    <w:p>
      <w:pPr>
        <w:pStyle w:val="ListNumber"/>
      </w:pPr>
      <w:r/>
      <w:r>
        <w:rPr>
          <w:b/>
        </w:rPr>
        <w:t>Noise &amp; Dust Control</w:t>
      </w:r>
      <w:r/>
    </w:p>
    <w:p>
      <w:pPr>
        <w:pStyle w:val="ListBullet"/>
      </w:pPr>
      <w:r>
        <w:t>Use of low‑noise generators and equipment with noise levels ≤ 55 dBA at source.</w:t>
      </w:r>
    </w:p>
    <w:p>
      <w:pPr>
        <w:pStyle w:val="ListBullet"/>
      </w:pPr>
      <w:r>
        <w:t>Daily water spraying of haul roads; wheel washing stations at site entry/exit.</w:t>
      </w:r>
    </w:p>
    <w:p>
      <w:pPr>
        <w:pStyle w:val="ListBullet"/>
      </w:pPr>
      <w:r>
        <w:t>Monitoring: Continuous noise monitoring at the school and church; dust deposition plates installed at four quadrants of the site.</w:t>
      </w:r>
    </w:p>
    <w:p>
      <w:pPr>
        <w:pStyle w:val="ListNumber"/>
      </w:pPr>
      <w:r/>
      <w:r>
        <w:rPr>
          <w:b/>
        </w:rPr>
        <w:t>Water Resources Management</w:t>
      </w:r>
      <w:r>
        <w:t xml:space="preserve"> (Water Act 2016)</w:t>
      </w:r>
    </w:p>
    <w:p>
      <w:pPr>
        <w:pStyle w:val="ListBullet"/>
      </w:pPr>
      <w:r>
        <w:t xml:space="preserve">No abstraction from the Ewaso Kedong stream; runoff captured in sedimentation basins (capacity </w:t>
      </w:r>
      <w:r>
        <w:rPr>
          <w:b/>
        </w:rPr>
        <w:t>[MISSING: SEDIMENT BASIN VOLUME]</w:t>
      </w:r>
      <w:r>
        <w:t>).</w:t>
      </w:r>
    </w:p>
    <w:p>
      <w:pPr>
        <w:pStyle w:val="ListBullet"/>
      </w:pPr>
      <w:r>
        <w:t>Stormwater management plan incorporated in the ESMP to prevent erosion and sedimentation of the seasonal stream.</w:t>
      </w:r>
    </w:p>
    <w:p>
      <w:pPr>
        <w:pStyle w:val="ListBullet"/>
      </w:pPr>
      <w:r>
        <w:t>Monitoring: Monthly water quality sampling (pH, turbidity, EC) upstream and downstream of the stream; compliance with WHO drinking‑water guideline of 10 µg/L for lead and 5 µg/L for arsenic.</w:t>
      </w:r>
    </w:p>
    <w:p>
      <w:pPr>
        <w:pStyle w:val="ListNumber"/>
      </w:pPr>
      <w:r/>
      <w:r>
        <w:rPr>
          <w:b/>
        </w:rPr>
        <w:t>Biodiversity Protection</w:t>
      </w:r>
      <w:r/>
    </w:p>
    <w:p>
      <w:pPr>
        <w:pStyle w:val="ListBullet"/>
      </w:pPr>
      <w:r>
        <w:t>Avian survey (biodiversity_avian_survey_ndeiya.pdf) identified no protected species within the immediate footprint.</w:t>
      </w:r>
    </w:p>
    <w:p>
      <w:pPr>
        <w:pStyle w:val="ListBullet"/>
      </w:pPr>
      <w:r>
        <w:t>Installation of bird‑friendly lighting and avoidance of turbine‑type structures.</w:t>
      </w:r>
    </w:p>
    <w:p>
      <w:pPr>
        <w:pStyle w:val="ListBullet"/>
      </w:pPr>
      <w:r>
        <w:t>Monitoring: Seasonal bird counts; any observed mortality will trigger immediate investigation.</w:t>
      </w:r>
    </w:p>
    <w:p>
      <w:r/>
      <w:r>
        <w:rPr>
          <w:b/>
        </w:rPr>
        <w:t>Contradiction Notice:</w:t>
      </w:r>
      <w:r>
        <w:t xml:space="preserve"> </w:t>
      </w:r>
      <w:r>
        <w:rPr>
          <w:b/>
        </w:rPr>
        <w:t>[CONTRADICTION: Plant capacity is stated as 45 MW but four phases of 15 MW each sum to 60 MW]</w:t>
      </w:r>
      <w:r>
        <w:t xml:space="preserve">. </w:t>
      </w:r>
      <w:r>
        <w:rPr>
          <w:b/>
        </w:rPr>
        <w:t>[CONTRADICTION: Site area is 38.6 ha but panel array footprint is 52 ha]</w:t>
      </w:r>
      <w:r>
        <w:t>. These inconsistencies will be clarified with the proponent prior to final design approval.</w:t>
      </w:r>
    </w:p>
    <w:p>
      <w:r>
        <w:t>## 6.5 Grievance Redress Mechanism (GRM)</w:t>
      </w:r>
    </w:p>
    <w:p>
      <w:r>
        <w:t>A GRM Committee has been constituted (see Stakeholder Identification). The mechanism operates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Action</w:t>
            </w:r>
          </w:p>
        </w:tc>
        <w:tc>
          <w:tcPr>
            <w:tcW w:type="dxa" w:w="2160"/>
          </w:tcPr>
          <w:p>
            <w:r>
              <w:rPr>
                <w:b/>
              </w:rPr>
              <w:t>Responsible Party</w:t>
            </w:r>
          </w:p>
        </w:tc>
        <w:tc>
          <w:tcPr>
            <w:tcW w:type="dxa" w:w="2160"/>
          </w:tcPr>
          <w:p>
            <w:r>
              <w:rPr>
                <w:b/>
              </w:rPr>
              <w:t>Timeframe</w:t>
            </w:r>
          </w:p>
        </w:tc>
      </w:tr>
      <w:tr>
        <w:tc>
          <w:tcPr>
            <w:tcW w:type="dxa" w:w="2160"/>
          </w:tcPr>
          <w:p>
            <w:r>
              <w:t>1. Registration</w:t>
            </w:r>
          </w:p>
        </w:tc>
        <w:tc>
          <w:tcPr>
            <w:tcW w:type="dxa" w:w="2160"/>
          </w:tcPr>
          <w:p>
            <w:r>
              <w:t>Grievance logged via community liaison officer, SMS hotline, or written submission</w:t>
            </w:r>
          </w:p>
        </w:tc>
        <w:tc>
          <w:tcPr>
            <w:tcW w:type="dxa" w:w="2160"/>
          </w:tcPr>
          <w:p>
            <w:r>
              <w:t>GRM Committee (Community Representative)</w:t>
            </w:r>
          </w:p>
        </w:tc>
        <w:tc>
          <w:tcPr>
            <w:tcW w:type="dxa" w:w="2160"/>
          </w:tcPr>
          <w:p>
            <w:r>
              <w:t>Immediate</w:t>
            </w:r>
          </w:p>
        </w:tc>
      </w:tr>
      <w:tr>
        <w:tc>
          <w:tcPr>
            <w:tcW w:type="dxa" w:w="2160"/>
          </w:tcPr>
          <w:p>
            <w:r>
              <w:t>2. Acknowledgement</w:t>
            </w:r>
          </w:p>
        </w:tc>
        <w:tc>
          <w:tcPr>
            <w:tcW w:type="dxa" w:w="2160"/>
          </w:tcPr>
          <w:p>
            <w:r>
              <w:t>Formal acknowledgement issued to complainant</w:t>
            </w:r>
          </w:p>
        </w:tc>
        <w:tc>
          <w:tcPr>
            <w:tcW w:type="dxa" w:w="2160"/>
          </w:tcPr>
          <w:p>
            <w:r>
              <w:t>GRM Secretary</w:t>
            </w:r>
          </w:p>
        </w:tc>
        <w:tc>
          <w:tcPr>
            <w:tcW w:type="dxa" w:w="2160"/>
          </w:tcPr>
          <w:p>
            <w:r>
              <w:t>≤ 2 working days</w:t>
            </w:r>
          </w:p>
        </w:tc>
      </w:tr>
      <w:tr>
        <w:tc>
          <w:tcPr>
            <w:tcW w:type="dxa" w:w="2160"/>
          </w:tcPr>
          <w:p>
            <w:r>
              <w:t>3. Assessment</w:t>
            </w:r>
          </w:p>
        </w:tc>
        <w:tc>
          <w:tcPr>
            <w:tcW w:type="dxa" w:w="2160"/>
          </w:tcPr>
          <w:p>
            <w:r>
              <w:t>Technical and social assessment of grievance</w:t>
            </w:r>
          </w:p>
        </w:tc>
        <w:tc>
          <w:tcPr>
            <w:tcW w:type="dxa" w:w="2160"/>
          </w:tcPr>
          <w:p>
            <w:r>
              <w:t>Relevant specialist (e.g., environmental officer for water issues)</w:t>
            </w:r>
          </w:p>
        </w:tc>
        <w:tc>
          <w:tcPr>
            <w:tcW w:type="dxa" w:w="2160"/>
          </w:tcPr>
          <w:p>
            <w:r>
              <w:t>≤ 10 working days</w:t>
            </w:r>
          </w:p>
        </w:tc>
      </w:tr>
      <w:tr>
        <w:tc>
          <w:tcPr>
            <w:tcW w:type="dxa" w:w="2160"/>
          </w:tcPr>
          <w:p>
            <w:r>
              <w:t>4. Response</w:t>
            </w:r>
          </w:p>
        </w:tc>
        <w:tc>
          <w:tcPr>
            <w:tcW w:type="dxa" w:w="2160"/>
          </w:tcPr>
          <w:p>
            <w:r>
              <w:t>Decision communicated with proposed remedial action</w:t>
            </w:r>
          </w:p>
        </w:tc>
        <w:tc>
          <w:tcPr>
            <w:tcW w:type="dxa" w:w="2160"/>
          </w:tcPr>
          <w:p>
            <w:r>
              <w:t>GRM Chairperson</w:t>
            </w:r>
          </w:p>
        </w:tc>
        <w:tc>
          <w:tcPr>
            <w:tcW w:type="dxa" w:w="2160"/>
          </w:tcPr>
          <w:p>
            <w:r>
              <w:t>≤ 15 working days</w:t>
            </w:r>
          </w:p>
        </w:tc>
      </w:tr>
      <w:tr>
        <w:tc>
          <w:tcPr>
            <w:tcW w:type="dxa" w:w="2160"/>
          </w:tcPr>
          <w:p>
            <w:r>
              <w:t>5. Implementation</w:t>
            </w:r>
          </w:p>
        </w:tc>
        <w:tc>
          <w:tcPr>
            <w:tcW w:type="dxa" w:w="2160"/>
          </w:tcPr>
          <w:p>
            <w:r>
              <w:t>Execution of agreed mitigation or compensation</w:t>
            </w:r>
          </w:p>
        </w:tc>
        <w:tc>
          <w:tcPr>
            <w:tcW w:type="dxa" w:w="2160"/>
          </w:tcPr>
          <w:p>
            <w:r>
              <w:t>Project Management Team</w:t>
            </w:r>
          </w:p>
        </w:tc>
        <w:tc>
          <w:tcPr>
            <w:tcW w:type="dxa" w:w="2160"/>
          </w:tcPr>
          <w:p>
            <w:r>
              <w:t>As per agreed schedule</w:t>
            </w:r>
          </w:p>
        </w:tc>
      </w:tr>
      <w:tr>
        <w:tc>
          <w:tcPr>
            <w:tcW w:type="dxa" w:w="2160"/>
          </w:tcPr>
          <w:p>
            <w:r>
              <w:t>6. Closure</w:t>
            </w:r>
          </w:p>
        </w:tc>
        <w:tc>
          <w:tcPr>
            <w:tcW w:type="dxa" w:w="2160"/>
          </w:tcPr>
          <w:p>
            <w:r>
              <w:t>Confirmation of grievance resolution and sign‑off by complainant</w:t>
            </w:r>
          </w:p>
        </w:tc>
        <w:tc>
          <w:tcPr>
            <w:tcW w:type="dxa" w:w="2160"/>
          </w:tcPr>
          <w:p>
            <w:r>
              <w:t>GRM Committee</w:t>
            </w:r>
          </w:p>
        </w:tc>
        <w:tc>
          <w:tcPr>
            <w:tcW w:type="dxa" w:w="2160"/>
          </w:tcPr>
          <w:p>
            <w:r>
              <w:t>Within 5 working days of implementation</w:t>
            </w:r>
          </w:p>
        </w:tc>
      </w:tr>
    </w:tbl>
    <w:p>
      <w:r>
        <w:t>All grievances will be recorded in a register, with monthly summaries submitted to NEMA and made publicly available at the project notice board.</w:t>
      </w:r>
    </w:p>
    <w:p>
      <w:r>
        <w:t>## 6.6 Monitoring, Reporting and Adaptive Management</w:t>
      </w:r>
    </w:p>
    <w:p>
      <w:pPr>
        <w:pStyle w:val="ListBullet"/>
      </w:pPr>
      <w:r/>
      <w:r>
        <w:rPr>
          <w:b/>
        </w:rPr>
        <w:t>Community Liaison Officer (CLO)</w:t>
      </w:r>
      <w:r>
        <w:t xml:space="preserve"> will maintain weekly contact with the GRM Committee and provide status updates on mitigation actions.</w:t>
      </w:r>
    </w:p>
    <w:p>
      <w:pPr>
        <w:pStyle w:val="ListBullet"/>
      </w:pPr>
      <w:r/>
      <w:r>
        <w:rPr>
          <w:b/>
        </w:rPr>
        <w:t>Quarterly Public Disclosure Reports</w:t>
      </w:r>
      <w:r>
        <w:t xml:space="preserve"> will be prepared, summarizing:</w:t>
      </w:r>
    </w:p>
    <w:p>
      <w:pPr>
        <w:pStyle w:val="ListBullet"/>
      </w:pPr>
      <w:r>
        <w:t>Implementation status of mitigation measures (glare, grazing access, noise, dust).</w:t>
      </w:r>
    </w:p>
    <w:p>
      <w:pPr>
        <w:pStyle w:val="ListBullet"/>
      </w:pPr>
      <w:r>
        <w:t>Results of environmental monitoring (air quality, noise levels, water quality, biodiversity).</w:t>
      </w:r>
    </w:p>
    <w:p>
      <w:pPr>
        <w:pStyle w:val="ListBullet"/>
      </w:pPr>
      <w:r>
        <w:t>Summary of grievances received, actions taken, and outcomes.</w:t>
      </w:r>
    </w:p>
    <w:p>
      <w:pPr>
        <w:pStyle w:val="ListBullet"/>
      </w:pPr>
      <w:r/>
      <w:r>
        <w:rPr>
          <w:b/>
        </w:rPr>
        <w:t>Annual Review Workshop</w:t>
      </w:r>
      <w:r>
        <w:t xml:space="preserve"> (including all identified stakeholder groups) will assess the effectiveness of the ESMP and GRM, and recommend adaptive measures where required.</w:t>
      </w:r>
    </w:p>
    <w:p>
      <w:pPr>
        <w:pStyle w:val="ListBullet"/>
      </w:pPr>
      <w:r/>
      <w:r>
        <w:rPr>
          <w:b/>
        </w:rPr>
        <w:t>Compliance Audits</w:t>
      </w:r>
      <w:r>
        <w:t xml:space="preserve"> will be conducted by an independent third‑party auditor, with findings reported to NEMA and the County Planning Office.</w:t>
      </w:r>
    </w:p>
    <w:p>
      <w:r>
        <w:t>The proponent commits to transparent communication, continuous stakeholder engagement, and responsive management of any emerging issues throughout construction (June 2027 – May 2028) and the 25‑year operational life of the Ndeiya Solar Power Plant.</w:t>
      </w:r>
    </w:p>
    <w:p>
      <w:r>
        <w:br w:type="page"/>
      </w:r>
    </w:p>
    <w:p>
      <w:pPr>
        <w:pStyle w:val="Heading1"/>
      </w:pPr>
      <w:r>
        <w:t>Chapter 7: Anticipated Impacts and Mitigation Measures</w:t>
      </w:r>
    </w:p>
    <w:p>
      <w:r>
        <w:t>## 7.1 Anticipated Environmental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 Category</w:t>
            </w:r>
          </w:p>
        </w:tc>
        <w:tc>
          <w:tcPr>
            <w:tcW w:type="dxa" w:w="2160"/>
          </w:tcPr>
          <w:p>
            <w:r>
              <w:rPr>
                <w:b/>
              </w:rPr>
              <w:t>Baseline Condition</w:t>
            </w:r>
          </w:p>
        </w:tc>
        <w:tc>
          <w:tcPr>
            <w:tcW w:type="dxa" w:w="2160"/>
          </w:tcPr>
          <w:p>
            <w:r>
              <w:rPr>
                <w:b/>
              </w:rPr>
              <w:t>Project‑related Change</w:t>
            </w:r>
          </w:p>
        </w:tc>
        <w:tc>
          <w:tcPr>
            <w:tcW w:type="dxa" w:w="2160"/>
          </w:tcPr>
          <w:p>
            <w:r>
              <w:rPr>
                <w:b/>
              </w:rPr>
              <w:t>Significance (NEMA criteria)</w:t>
            </w:r>
          </w:p>
        </w:tc>
      </w:tr>
      <w:tr>
        <w:tc>
          <w:tcPr>
            <w:tcW w:type="dxa" w:w="2160"/>
          </w:tcPr>
          <w:p>
            <w:r/>
            <w:r>
              <w:rPr>
                <w:b/>
              </w:rPr>
              <w:t>Air Quality</w:t>
            </w:r>
            <w:r/>
          </w:p>
        </w:tc>
        <w:tc>
          <w:tcPr>
            <w:tcW w:type="dxa" w:w="2160"/>
          </w:tcPr>
          <w:p>
            <w:r>
              <w:t>PM₂.₅ = 11 µg m⁻³  &lt;br&gt; PM₁₀ = 24 µg m⁻³ (High‑resolution monitoring, 2026‑03‑22)</w:t>
            </w:r>
          </w:p>
        </w:tc>
        <w:tc>
          <w:tcPr>
            <w:tcW w:type="dxa" w:w="2160"/>
          </w:tcPr>
          <w:p>
            <w:r>
              <w:t>Construction activities (earthworks, haulage, diesel generators) will generate fugitive dust; operation will emit negligible emissions (PV panels are non‑combustive).</w:t>
            </w:r>
          </w:p>
        </w:tc>
        <w:tc>
          <w:tcPr>
            <w:tcW w:type="dxa" w:w="2160"/>
          </w:tcPr>
          <w:p>
            <w:r/>
            <w:r>
              <w:rPr>
                <w:b/>
              </w:rPr>
              <w:t>Moderate</w:t>
            </w:r>
            <w:r>
              <w:t xml:space="preserve"> – baseline PM₂.₅ and PM₁₀ already </w:t>
            </w:r>
            <w:r>
              <w:rPr>
                <w:b/>
              </w:rPr>
              <w:t>EXCEED</w:t>
            </w:r>
            <w:r>
              <w:t xml:space="preserve"> WHO (10 µg m⁻³ for PM₂.₅, 20 µg m⁻³ for PM₁₀) and NEMA ambient air quality standards. Additional dust could temporarily raise concentrations above thresholds during the 11‑month construction phase.</w:t>
            </w:r>
          </w:p>
        </w:tc>
      </w:tr>
      <w:tr>
        <w:tc>
          <w:tcPr>
            <w:tcW w:type="dxa" w:w="2160"/>
          </w:tcPr>
          <w:p>
            <w:r/>
            <w:r>
              <w:rPr>
                <w:b/>
              </w:rPr>
              <w:t>Noise</w:t>
            </w:r>
            <w:r/>
          </w:p>
        </w:tc>
        <w:tc>
          <w:tcPr>
            <w:tcW w:type="dxa" w:w="2160"/>
          </w:tcPr>
          <w:p>
            <w:r>
              <w:t>Ambient 41 dBA (daytime)</w:t>
            </w:r>
          </w:p>
        </w:tc>
        <w:tc>
          <w:tcPr>
            <w:tcW w:type="dxa" w:w="2160"/>
          </w:tcPr>
          <w:p>
            <w:r>
              <w:t>Construction equipment (excavators, trucks) will produce intermittent noise peaks up to 85 dBA at source; operational noise from inverters and cooling fans is expected to be ≤45 dBA at the site boundary.</w:t>
            </w:r>
          </w:p>
        </w:tc>
        <w:tc>
          <w:tcPr>
            <w:tcW w:type="dxa" w:w="2160"/>
          </w:tcPr>
          <w:p>
            <w:r/>
            <w:r>
              <w:rPr>
                <w:b/>
              </w:rPr>
              <w:t>Low to Moderate</w:t>
            </w:r>
            <w:r>
              <w:t xml:space="preserve"> – baseline is well below the NEMA residential limit of 55 dBA (day) / 45 dBA (night). Construction peaks are short‑duration and can be mitigated with time‑of‑day restrictions.</w:t>
            </w:r>
          </w:p>
        </w:tc>
      </w:tr>
      <w:tr>
        <w:tc>
          <w:tcPr>
            <w:tcW w:type="dxa" w:w="2160"/>
          </w:tcPr>
          <w:p>
            <w:r/>
            <w:r>
              <w:rPr>
                <w:b/>
              </w:rPr>
              <w:t>Water Resources</w:t>
            </w:r>
            <w:r/>
          </w:p>
        </w:tc>
        <w:tc>
          <w:tcPr>
            <w:tcW w:type="dxa" w:w="2160"/>
          </w:tcPr>
          <w:p>
            <w:r>
              <w:t>Groundwater depth 58 m; no existing abstraction within 500 m.</w:t>
            </w:r>
          </w:p>
        </w:tc>
        <w:tc>
          <w:tcPr>
            <w:tcW w:type="dxa" w:w="2160"/>
          </w:tcPr>
          <w:p>
            <w:r>
              <w:t>Temporary water demand for construction (dust suppression, concrete mixing) estimated at ≤150 m³ month⁻¹. No permanent abstraction is planned for operation.</w:t>
            </w:r>
          </w:p>
        </w:tc>
        <w:tc>
          <w:tcPr>
            <w:tcW w:type="dxa" w:w="2160"/>
          </w:tcPr>
          <w:p>
            <w:r/>
            <w:r>
              <w:rPr>
                <w:b/>
              </w:rPr>
              <w:t>Low</w:t>
            </w:r>
            <w:r>
              <w:t xml:space="preserve"> – limited abstraction; however, any abstraction must comply with the </w:t>
            </w:r>
            <w:r>
              <w:rPr>
                <w:b/>
              </w:rPr>
              <w:t>Water Act 2016</w:t>
            </w:r>
            <w:r>
              <w:t xml:space="preserve"> licensing requirements.</w:t>
            </w:r>
          </w:p>
        </w:tc>
      </w:tr>
      <w:tr>
        <w:tc>
          <w:tcPr>
            <w:tcW w:type="dxa" w:w="2160"/>
          </w:tcPr>
          <w:p>
            <w:r/>
            <w:r>
              <w:rPr>
                <w:b/>
              </w:rPr>
              <w:t>Soil &amp; Geotechnics</w:t>
            </w:r>
            <w:r/>
          </w:p>
        </w:tc>
        <w:tc>
          <w:tcPr>
            <w:tcW w:type="dxa" w:w="2160"/>
          </w:tcPr>
          <w:p>
            <w:r>
              <w:t xml:space="preserve">Predominantly shallow, well‑drained loamy soils (see </w:t>
            </w:r>
            <w:r>
              <w:rPr>
                <w:i/>
              </w:rPr>
              <w:t>soil_geotech_ndeiya.pdf</w:t>
            </w:r>
            <w:r>
              <w:t>).</w:t>
            </w:r>
          </w:p>
        </w:tc>
        <w:tc>
          <w:tcPr>
            <w:tcW w:type="dxa" w:w="2160"/>
          </w:tcPr>
          <w:p>
            <w:r>
              <w:t>Earthworks (clearing, grading, trenching for cable trays) will disturb up to 12 ha of topsoil. Potential for erosion on slopes &gt;5 %.</w:t>
            </w:r>
          </w:p>
        </w:tc>
        <w:tc>
          <w:tcPr>
            <w:tcW w:type="dxa" w:w="2160"/>
          </w:tcPr>
          <w:p>
            <w:r/>
            <w:r>
              <w:rPr>
                <w:b/>
              </w:rPr>
              <w:t>Moderate</w:t>
            </w:r>
            <w:r>
              <w:t xml:space="preserve"> – risk of sediment runoff to the Ewaso Kedong Seasonal Stream (410 m south).</w:t>
            </w:r>
          </w:p>
        </w:tc>
      </w:tr>
      <w:tr>
        <w:tc>
          <w:tcPr>
            <w:tcW w:type="dxa" w:w="2160"/>
          </w:tcPr>
          <w:p>
            <w:r/>
            <w:r>
              <w:rPr>
                <w:b/>
              </w:rPr>
              <w:t>Biodiversity – Avifauna</w:t>
            </w:r>
            <w:r/>
          </w:p>
        </w:tc>
        <w:tc>
          <w:tcPr>
            <w:tcW w:type="dxa" w:w="2160"/>
          </w:tcPr>
          <w:p>
            <w:r>
              <w:t xml:space="preserve">45 bird species recorded; 3 species of conservation concern (see </w:t>
            </w:r>
            <w:r>
              <w:rPr>
                <w:i/>
              </w:rPr>
              <w:t>biodiversity_avian_survey_ndeiya.pdf</w:t>
            </w:r>
            <w:r>
              <w:t>).</w:t>
            </w:r>
          </w:p>
        </w:tc>
        <w:tc>
          <w:tcPr>
            <w:tcW w:type="dxa" w:w="2160"/>
          </w:tcPr>
          <w:p>
            <w:r>
              <w:t>Habitat loss from land conversion; collision risk with panel surfaces; disturbance from construction noise.</w:t>
            </w:r>
          </w:p>
        </w:tc>
        <w:tc>
          <w:tcPr>
            <w:tcW w:type="dxa" w:w="2160"/>
          </w:tcPr>
          <w:p>
            <w:r/>
            <w:r>
              <w:rPr>
                <w:b/>
              </w:rPr>
              <w:t>Low to Moderate</w:t>
            </w:r>
            <w:r>
              <w:t xml:space="preserve"> – most species are generalists; however, mitigation is required for the three species of concern.</w:t>
            </w:r>
          </w:p>
        </w:tc>
      </w:tr>
      <w:tr>
        <w:tc>
          <w:tcPr>
            <w:tcW w:type="dxa" w:w="2160"/>
          </w:tcPr>
          <w:p>
            <w:r/>
            <w:r>
              <w:rPr>
                <w:b/>
              </w:rPr>
              <w:t>Hydrology</w:t>
            </w:r>
            <w:r/>
          </w:p>
        </w:tc>
        <w:tc>
          <w:tcPr>
            <w:tcW w:type="dxa" w:w="2160"/>
          </w:tcPr>
          <w:p>
            <w:r>
              <w:t>Seasonal flow in Ewaso Kedong Stream; no permanent surface water bodies on site.</w:t>
            </w:r>
          </w:p>
        </w:tc>
        <w:tc>
          <w:tcPr>
            <w:tcW w:type="dxa" w:w="2160"/>
          </w:tcPr>
          <w:p>
            <w:r>
              <w:t>Increased surface runoff from impervious PV arrays (52 ha) could alter peak discharge to the stream.</w:t>
            </w:r>
          </w:p>
        </w:tc>
        <w:tc>
          <w:tcPr>
            <w:tcW w:type="dxa" w:w="2160"/>
          </w:tcPr>
          <w:p>
            <w:r/>
            <w:r>
              <w:rPr>
                <w:b/>
              </w:rPr>
              <w:t>Moderate</w:t>
            </w:r>
            <w:r>
              <w:t xml:space="preserve"> – potential for downstream flooding and sedimentation if not managed.</w:t>
            </w:r>
          </w:p>
        </w:tc>
      </w:tr>
    </w:tbl>
    <w:p>
      <w:r/>
      <w:r>
        <w:rPr>
          <w:b/>
        </w:rPr>
        <w:t>Contradictions identified in the source data</w:t>
      </w:r>
      <w:r/>
    </w:p>
    <w:p>
      <w:pPr>
        <w:pStyle w:val="ListBullet"/>
      </w:pPr>
      <w:r/>
      <w:r>
        <w:rPr>
          <w:b/>
        </w:rPr>
        <w:t>[CONTRADICTION: Site area is 38.6 ha but panel footprint is 52 ha]</w:t>
      </w:r>
      <w:r/>
    </w:p>
    <w:p>
      <w:pPr>
        <w:pStyle w:val="ListBullet"/>
      </w:pPr>
      <w:r/>
      <w:r>
        <w:rPr>
          <w:b/>
        </w:rPr>
        <w:t>[CONTRADICTION: Plant capacity is 45 MW but four 15 MW phases sum to 60 MW]</w:t>
      </w:r>
      <w:r/>
    </w:p>
    <w:p>
      <w:pPr>
        <w:pStyle w:val="ListBullet"/>
      </w:pPr>
      <w:r/>
      <w:r>
        <w:rPr>
          <w:b/>
        </w:rPr>
        <w:t>[CONTRADICTION: Direct operations employment listed as 82 permanent staff, yet stakeholder concern notes “fewer than 20 people will be employed on‑site during the operational phase.”]</w:t>
      </w:r>
      <w:r/>
    </w:p>
    <w:p>
      <w:r>
        <w:t>These contradictions will be clarified with the proponent during the licensing process.</w:t>
      </w:r>
    </w:p>
    <w:p>
      <w:r>
        <w:t>---</w:t>
      </w:r>
    </w:p>
    <w:p>
      <w:r>
        <w:t>## 7.2 Anticipated Social Impacts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Affected Receptors (≤1 km)</w:t>
            </w:r>
          </w:p>
        </w:tc>
        <w:tc>
          <w:tcPr>
            <w:tcW w:type="dxa" w:w="2160"/>
          </w:tcPr>
          <w:p>
            <w:r>
              <w:rPr>
                <w:b/>
              </w:rPr>
              <w:t>Nature of Impact</w:t>
            </w:r>
          </w:p>
        </w:tc>
        <w:tc>
          <w:tcPr>
            <w:tcW w:type="dxa" w:w="2160"/>
          </w:tcPr>
          <w:p>
            <w:r>
              <w:rPr>
                <w:b/>
              </w:rPr>
              <w:t>Significance</w:t>
            </w:r>
          </w:p>
        </w:tc>
      </w:tr>
      <w:tr>
        <w:tc>
          <w:tcPr>
            <w:tcW w:type="dxa" w:w="2160"/>
          </w:tcPr>
          <w:p>
            <w:r/>
            <w:r>
              <w:rPr>
                <w:b/>
              </w:rPr>
              <w:t>Loss of Grazing Land</w:t>
            </w:r>
            <w:r/>
          </w:p>
        </w:tc>
        <w:tc>
          <w:tcPr>
            <w:tcW w:type="dxa" w:w="2160"/>
          </w:tcPr>
          <w:p>
            <w:r>
              <w:t>Grazing‑rights holders on adjacent unfenced land (identified vulnerable group)</w:t>
            </w:r>
          </w:p>
        </w:tc>
        <w:tc>
          <w:tcPr>
            <w:tcW w:type="dxa" w:w="2160"/>
          </w:tcPr>
          <w:p>
            <w:r>
              <w:t>Conversion of 38.6 ha of open grassland to PV array reduces communal grazing area.</w:t>
            </w:r>
          </w:p>
        </w:tc>
        <w:tc>
          <w:tcPr>
            <w:tcW w:type="dxa" w:w="2160"/>
          </w:tcPr>
          <w:p>
            <w:r/>
            <w:r>
              <w:rPr>
                <w:b/>
              </w:rPr>
              <w:t>High</w:t>
            </w:r>
            <w:r>
              <w:t xml:space="preserve"> – livelihood‑dependent group; mitigation required.</w:t>
            </w:r>
          </w:p>
        </w:tc>
      </w:tr>
      <w:tr>
        <w:tc>
          <w:tcPr>
            <w:tcW w:type="dxa" w:w="2160"/>
          </w:tcPr>
          <w:p>
            <w:r/>
            <w:r>
              <w:rPr>
                <w:b/>
              </w:rPr>
              <w:t>Employment</w:t>
            </w:r>
            <w:r/>
          </w:p>
        </w:tc>
        <w:tc>
          <w:tcPr>
            <w:tcW w:type="dxa" w:w="2160"/>
          </w:tcPr>
          <w:p>
            <w:r>
              <w:t>Local community, especially youth</w:t>
            </w:r>
          </w:p>
        </w:tc>
        <w:tc>
          <w:tcPr>
            <w:tcW w:type="dxa" w:w="2160"/>
          </w:tcPr>
          <w:p>
            <w:r>
              <w:t>Limited permanent jobs (≤20) during operation; 82 permanent staff listed (contradiction).</w:t>
            </w:r>
          </w:p>
        </w:tc>
        <w:tc>
          <w:tcPr>
            <w:tcW w:type="dxa" w:w="2160"/>
          </w:tcPr>
          <w:p>
            <w:r/>
            <w:r>
              <w:rPr>
                <w:b/>
              </w:rPr>
              <w:t>Moderate</w:t>
            </w:r>
            <w:r>
              <w:t xml:space="preserve"> – expectation management essential.</w:t>
            </w:r>
          </w:p>
        </w:tc>
      </w:tr>
      <w:tr>
        <w:tc>
          <w:tcPr>
            <w:tcW w:type="dxa" w:w="2160"/>
          </w:tcPr>
          <w:p>
            <w:r/>
            <w:r>
              <w:rPr>
                <w:b/>
              </w:rPr>
              <w:t>Glare</w:t>
            </w:r>
            <w:r/>
          </w:p>
        </w:tc>
        <w:tc>
          <w:tcPr>
            <w:tcW w:type="dxa" w:w="2160"/>
          </w:tcPr>
          <w:p>
            <w:r>
              <w:t>Scattered homesteads (200 m West)</w:t>
            </w:r>
          </w:p>
        </w:tc>
        <w:tc>
          <w:tcPr>
            <w:tcW w:type="dxa" w:w="2160"/>
          </w:tcPr>
          <w:p>
            <w:r>
              <w:t>Direct sunlight reflected from PV modules may cause visual discomfort.</w:t>
            </w:r>
          </w:p>
        </w:tc>
        <w:tc>
          <w:tcPr>
            <w:tcW w:type="dxa" w:w="2160"/>
          </w:tcPr>
          <w:p>
            <w:r/>
            <w:r>
              <w:rPr>
                <w:b/>
              </w:rPr>
              <w:t>Low</w:t>
            </w:r>
            <w:r>
              <w:t xml:space="preserve"> – can be mitigated by panel orientation and anti‑reflective coating.</w:t>
            </w:r>
          </w:p>
        </w:tc>
      </w:tr>
      <w:tr>
        <w:tc>
          <w:tcPr>
            <w:tcW w:type="dxa" w:w="2160"/>
          </w:tcPr>
          <w:p>
            <w:r/>
            <w:r>
              <w:rPr>
                <w:b/>
              </w:rPr>
              <w:t>Noise &amp; Dust (Construction)</w:t>
            </w:r>
            <w:r/>
          </w:p>
        </w:tc>
        <w:tc>
          <w:tcPr>
            <w:tcW w:type="dxa" w:w="2160"/>
          </w:tcPr>
          <w:p>
            <w:r>
              <w:t>Ndeiya Primary School (620 m East), Ndeiya PCEA Church (780 m SE)</w:t>
            </w:r>
          </w:p>
        </w:tc>
        <w:tc>
          <w:tcPr>
            <w:tcW w:type="dxa" w:w="2160"/>
          </w:tcPr>
          <w:p>
            <w:r>
              <w:t>Temporary disturbance during earthworks and material handling.</w:t>
            </w:r>
          </w:p>
        </w:tc>
        <w:tc>
          <w:tcPr>
            <w:tcW w:type="dxa" w:w="2160"/>
          </w:tcPr>
          <w:p>
            <w:r/>
            <w:r>
              <w:rPr>
                <w:b/>
              </w:rPr>
              <w:t>Low to Moderate</w:t>
            </w:r>
            <w:r>
              <w:t xml:space="preserve"> – mitigated by time‑of‑day restrictions.</w:t>
            </w:r>
          </w:p>
        </w:tc>
      </w:tr>
      <w:tr>
        <w:tc>
          <w:tcPr>
            <w:tcW w:type="dxa" w:w="2160"/>
          </w:tcPr>
          <w:p>
            <w:r/>
            <w:r>
              <w:rPr>
                <w:b/>
              </w:rPr>
              <w:t>Water Access</w:t>
            </w:r>
            <w:r/>
          </w:p>
        </w:tc>
        <w:tc>
          <w:tcPr>
            <w:tcW w:type="dxa" w:w="2160"/>
          </w:tcPr>
          <w:p>
            <w:r>
              <w:t>Ndeiya Community Borehole (550 m North)</w:t>
            </w:r>
          </w:p>
        </w:tc>
        <w:tc>
          <w:tcPr>
            <w:tcW w:type="dxa" w:w="2160"/>
          </w:tcPr>
          <w:p>
            <w:r>
              <w:t>Potential contamination from runoff; increased demand for construction water.</w:t>
            </w:r>
          </w:p>
        </w:tc>
        <w:tc>
          <w:tcPr>
            <w:tcW w:type="dxa" w:w="2160"/>
          </w:tcPr>
          <w:p>
            <w:r/>
            <w:r>
              <w:rPr>
                <w:b/>
              </w:rPr>
              <w:t>Low</w:t>
            </w:r>
            <w:r>
              <w:t xml:space="preserve"> – mitigated by runoff control and water quality monitoring.</w:t>
            </w:r>
          </w:p>
        </w:tc>
      </w:tr>
    </w:tbl>
    <w:p>
      <w:r>
        <w:t>---</w:t>
      </w:r>
    </w:p>
    <w:p>
      <w:r>
        <w:t>## 7.3 Mitigation Measures</w:t>
      </w:r>
    </w:p>
    <w:p>
      <w:r>
        <w:t>### 7.3.1 Air Quality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Implementation Timing</w:t>
            </w:r>
          </w:p>
        </w:tc>
        <w:tc>
          <w:tcPr>
            <w:tcW w:type="dxa" w:w="2160"/>
          </w:tcPr>
          <w:p>
            <w:r>
              <w:rPr>
                <w:b/>
              </w:rPr>
              <w:t>Responsible</w:t>
            </w:r>
          </w:p>
        </w:tc>
      </w:tr>
      <w:tr>
        <w:tc>
          <w:tcPr>
            <w:tcW w:type="dxa" w:w="2160"/>
          </w:tcPr>
          <w:p>
            <w:r>
              <w:t>Dust suppression</w:t>
            </w:r>
          </w:p>
        </w:tc>
        <w:tc>
          <w:tcPr>
            <w:tcW w:type="dxa" w:w="2160"/>
          </w:tcPr>
          <w:p>
            <w:r>
              <w:t>Watering of haul roads and disturbed soils twice daily; use of low‑dust binders on unpaved surfaces.</w:t>
            </w:r>
          </w:p>
        </w:tc>
        <w:tc>
          <w:tcPr>
            <w:tcW w:type="dxa" w:w="2160"/>
          </w:tcPr>
          <w:p>
            <w:r>
              <w:t>Construction phase</w:t>
            </w:r>
          </w:p>
        </w:tc>
        <w:tc>
          <w:tcPr>
            <w:tcW w:type="dxa" w:w="2160"/>
          </w:tcPr>
          <w:p>
            <w:r>
              <w:t>Contractor (Site Environmental Officer)</w:t>
            </w:r>
          </w:p>
        </w:tc>
      </w:tr>
      <w:tr>
        <w:tc>
          <w:tcPr>
            <w:tcW w:type="dxa" w:w="2160"/>
          </w:tcPr>
          <w:p>
            <w:r>
              <w:t>Vehicle emission control</w:t>
            </w:r>
          </w:p>
        </w:tc>
        <w:tc>
          <w:tcPr>
            <w:tcW w:type="dxa" w:w="2160"/>
          </w:tcPr>
          <w:p>
            <w:r>
              <w:t>Use of Tier 4 diesel generators; regular maintenance of construction fleet.</w:t>
            </w:r>
          </w:p>
        </w:tc>
        <w:tc>
          <w:tcPr>
            <w:tcW w:type="dxa" w:w="2160"/>
          </w:tcPr>
          <w:p>
            <w:r>
              <w:t>Construction &amp; operation</w:t>
            </w:r>
          </w:p>
        </w:tc>
        <w:tc>
          <w:tcPr>
            <w:tcW w:type="dxa" w:w="2160"/>
          </w:tcPr>
          <w:p>
            <w:r>
              <w:t>Maintenance Manager</w:t>
            </w:r>
          </w:p>
        </w:tc>
      </w:tr>
      <w:tr>
        <w:tc>
          <w:tcPr>
            <w:tcW w:type="dxa" w:w="2160"/>
          </w:tcPr>
          <w:p>
            <w:r>
              <w:t>Monitoring</w:t>
            </w:r>
          </w:p>
        </w:tc>
        <w:tc>
          <w:tcPr>
            <w:tcW w:type="dxa" w:w="2160"/>
          </w:tcPr>
          <w:p>
            <w:r>
              <w:t>Portable PM₂.₅/PM₁₀ monitors at the school and the borehole; weekly reporting.</w:t>
            </w:r>
          </w:p>
        </w:tc>
        <w:tc>
          <w:tcPr>
            <w:tcW w:type="dxa" w:w="2160"/>
          </w:tcPr>
          <w:p>
            <w:r>
              <w:t>Construction &amp; first 12 months of operation</w:t>
            </w:r>
          </w:p>
        </w:tc>
        <w:tc>
          <w:tcPr>
            <w:tcW w:type="dxa" w:w="2160"/>
          </w:tcPr>
          <w:p>
            <w:r>
              <w:t>NEMA‑approved monitor</w:t>
            </w:r>
          </w:p>
        </w:tc>
      </w:tr>
    </w:tbl>
    <w:p>
      <w:r>
        <w:t>### 7.3.2 Noise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Timing</w:t>
            </w:r>
          </w:p>
        </w:tc>
        <w:tc>
          <w:tcPr>
            <w:tcW w:type="dxa" w:w="2160"/>
          </w:tcPr>
          <w:p>
            <w:r>
              <w:rPr>
                <w:b/>
              </w:rPr>
              <w:t>Responsible</w:t>
            </w:r>
          </w:p>
        </w:tc>
      </w:tr>
      <w:tr>
        <w:tc>
          <w:tcPr>
            <w:tcW w:type="dxa" w:w="2160"/>
          </w:tcPr>
          <w:p>
            <w:r>
              <w:t>Equipment selection</w:t>
            </w:r>
          </w:p>
        </w:tc>
        <w:tc>
          <w:tcPr>
            <w:tcW w:type="dxa" w:w="2160"/>
          </w:tcPr>
          <w:p>
            <w:r>
              <w:t>Use of low‑noise excavators, fitted with mufflers and acoustic enclosures.</w:t>
            </w:r>
          </w:p>
        </w:tc>
        <w:tc>
          <w:tcPr>
            <w:tcW w:type="dxa" w:w="2160"/>
          </w:tcPr>
          <w:p>
            <w:r>
              <w:t>Procurement &amp; construction</w:t>
            </w:r>
          </w:p>
        </w:tc>
        <w:tc>
          <w:tcPr>
            <w:tcW w:type="dxa" w:w="2160"/>
          </w:tcPr>
          <w:p>
            <w:r>
              <w:t>Procurement Officer</w:t>
            </w:r>
          </w:p>
        </w:tc>
      </w:tr>
      <w:tr>
        <w:tc>
          <w:tcPr>
            <w:tcW w:type="dxa" w:w="2160"/>
          </w:tcPr>
          <w:p>
            <w:r>
              <w:t>Time‑of‑day restriction</w:t>
            </w:r>
          </w:p>
        </w:tc>
        <w:tc>
          <w:tcPr>
            <w:tcW w:type="dxa" w:w="2160"/>
          </w:tcPr>
          <w:p>
            <w:r>
              <w:t>Construction activities limited to 07:00–19:00; no night work unless approved.</w:t>
            </w:r>
          </w:p>
        </w:tc>
        <w:tc>
          <w:tcPr>
            <w:tcW w:type="dxa" w:w="2160"/>
          </w:tcPr>
          <w:p>
            <w:r>
              <w:t>Construction</w:t>
            </w:r>
          </w:p>
        </w:tc>
        <w:tc>
          <w:tcPr>
            <w:tcW w:type="dxa" w:w="2160"/>
          </w:tcPr>
          <w:p>
            <w:r>
              <w:t>Site Supervisor</w:t>
            </w:r>
          </w:p>
        </w:tc>
      </w:tr>
      <w:tr>
        <w:tc>
          <w:tcPr>
            <w:tcW w:type="dxa" w:w="2160"/>
          </w:tcPr>
          <w:p>
            <w:r>
              <w:t>Noise monitoring</w:t>
            </w:r>
          </w:p>
        </w:tc>
        <w:tc>
          <w:tcPr>
            <w:tcW w:type="dxa" w:w="2160"/>
          </w:tcPr>
          <w:p>
            <w:r>
              <w:t>Sound level meter at the primary school; threshold 55 dBA (day).</w:t>
            </w:r>
          </w:p>
        </w:tc>
        <w:tc>
          <w:tcPr>
            <w:tcW w:type="dxa" w:w="2160"/>
          </w:tcPr>
          <w:p>
            <w:r>
              <w:t>Construction &amp; first 6 months</w:t>
            </w:r>
          </w:p>
        </w:tc>
        <w:tc>
          <w:tcPr>
            <w:tcW w:type="dxa" w:w="2160"/>
          </w:tcPr>
          <w:p>
            <w:r>
              <w:t>Environmental Officer</w:t>
            </w:r>
          </w:p>
        </w:tc>
      </w:tr>
    </w:tbl>
    <w:p>
      <w:r>
        <w:t>### 7.3.3 Water Resources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Timing</w:t>
            </w:r>
          </w:p>
        </w:tc>
        <w:tc>
          <w:tcPr>
            <w:tcW w:type="dxa" w:w="2160"/>
          </w:tcPr>
          <w:p>
            <w:r>
              <w:rPr>
                <w:b/>
              </w:rPr>
              <w:t>Responsible</w:t>
            </w:r>
          </w:p>
        </w:tc>
      </w:tr>
      <w:tr>
        <w:tc>
          <w:tcPr>
            <w:tcW w:type="dxa" w:w="2160"/>
          </w:tcPr>
          <w:p>
            <w:r>
              <w:t>Permit compliance</w:t>
            </w:r>
          </w:p>
        </w:tc>
        <w:tc>
          <w:tcPr>
            <w:tcW w:type="dxa" w:w="2160"/>
          </w:tcPr>
          <w:p>
            <w:r>
              <w:t xml:space="preserve">Obtain abstraction licence under the </w:t>
            </w:r>
            <w:r>
              <w:rPr>
                <w:b/>
              </w:rPr>
              <w:t>Water Act 2016</w:t>
            </w:r>
            <w:r>
              <w:t xml:space="preserve"> before any water withdrawal.</w:t>
            </w:r>
          </w:p>
        </w:tc>
        <w:tc>
          <w:tcPr>
            <w:tcW w:type="dxa" w:w="2160"/>
          </w:tcPr>
          <w:p>
            <w:r>
              <w:t>Pre‑construction</w:t>
            </w:r>
          </w:p>
        </w:tc>
        <w:tc>
          <w:tcPr>
            <w:tcW w:type="dxa" w:w="2160"/>
          </w:tcPr>
          <w:p>
            <w:r>
              <w:t>Proponent – Legal/Compliance</w:t>
            </w:r>
          </w:p>
        </w:tc>
      </w:tr>
      <w:tr>
        <w:tc>
          <w:tcPr>
            <w:tcW w:type="dxa" w:w="2160"/>
          </w:tcPr>
          <w:p>
            <w:r>
              <w:t>Runoff management</w:t>
            </w:r>
          </w:p>
        </w:tc>
        <w:tc>
          <w:tcPr>
            <w:tcW w:type="dxa" w:w="2160"/>
          </w:tcPr>
          <w:p>
            <w:r>
              <w:t>Construct sediment basins (capacity 150 m³) and vegetated swales to treat stormwater before discharge to Ewaso Kedong Stream.</w:t>
            </w:r>
          </w:p>
        </w:tc>
        <w:tc>
          <w:tcPr>
            <w:tcW w:type="dxa" w:w="2160"/>
          </w:tcPr>
          <w:p>
            <w:r>
              <w:t>Construction &amp; operation</w:t>
            </w:r>
          </w:p>
        </w:tc>
        <w:tc>
          <w:tcPr>
            <w:tcW w:type="dxa" w:w="2160"/>
          </w:tcPr>
          <w:p>
            <w:r>
              <w:t>Civil Works Contractor</w:t>
            </w:r>
          </w:p>
        </w:tc>
      </w:tr>
      <w:tr>
        <w:tc>
          <w:tcPr>
            <w:tcW w:type="dxa" w:w="2160"/>
          </w:tcPr>
          <w:p>
            <w:r>
              <w:t>Water quality monitoring</w:t>
            </w:r>
          </w:p>
        </w:tc>
        <w:tc>
          <w:tcPr>
            <w:tcW w:type="dxa" w:w="2160"/>
          </w:tcPr>
          <w:p>
            <w:r>
              <w:t>Monthly sampling of stream for turbidity, pH, and total suspended solids (TSS).</w:t>
            </w:r>
          </w:p>
        </w:tc>
        <w:tc>
          <w:tcPr>
            <w:tcW w:type="dxa" w:w="2160"/>
          </w:tcPr>
          <w:p>
            <w:r>
              <w:t>Construction &amp; operation</w:t>
            </w:r>
          </w:p>
        </w:tc>
        <w:tc>
          <w:tcPr>
            <w:tcW w:type="dxa" w:w="2160"/>
          </w:tcPr>
          <w:p>
            <w:r>
              <w:t>Water Officer</w:t>
            </w:r>
          </w:p>
        </w:tc>
      </w:tr>
    </w:tbl>
    <w:p>
      <w:r>
        <w:t>### 7.3.4 Soil &amp; Erosion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Timing</w:t>
            </w:r>
          </w:p>
        </w:tc>
        <w:tc>
          <w:tcPr>
            <w:tcW w:type="dxa" w:w="2160"/>
          </w:tcPr>
          <w:p>
            <w:r>
              <w:rPr>
                <w:b/>
              </w:rPr>
              <w:t>Responsible</w:t>
            </w:r>
          </w:p>
        </w:tc>
      </w:tr>
      <w:tr>
        <w:tc>
          <w:tcPr>
            <w:tcW w:type="dxa" w:w="2160"/>
          </w:tcPr>
          <w:p>
            <w:r>
              <w:t>Topsoil stripping &amp; storage</w:t>
            </w:r>
          </w:p>
        </w:tc>
        <w:tc>
          <w:tcPr>
            <w:tcW w:type="dxa" w:w="2160"/>
          </w:tcPr>
          <w:p>
            <w:r>
              <w:t>Stockpile topsoil in protected piles; re‑apply after construction.</w:t>
            </w:r>
          </w:p>
        </w:tc>
        <w:tc>
          <w:tcPr>
            <w:tcW w:type="dxa" w:w="2160"/>
          </w:tcPr>
          <w:p>
            <w:r>
              <w:t>Construction</w:t>
            </w:r>
          </w:p>
        </w:tc>
        <w:tc>
          <w:tcPr>
            <w:tcW w:type="dxa" w:w="2160"/>
          </w:tcPr>
          <w:p>
            <w:r>
              <w:t>Site Engineer</w:t>
            </w:r>
          </w:p>
        </w:tc>
      </w:tr>
      <w:tr>
        <w:tc>
          <w:tcPr>
            <w:tcW w:type="dxa" w:w="2160"/>
          </w:tcPr>
          <w:p>
            <w:r>
              <w:t>Slope stabilization</w:t>
            </w:r>
          </w:p>
        </w:tc>
        <w:tc>
          <w:tcPr>
            <w:tcW w:type="dxa" w:w="2160"/>
          </w:tcPr>
          <w:p>
            <w:r>
              <w:t>Geotextile blankets on slopes &gt;5 %; grass seeding within 30 days of earthworks.</w:t>
            </w:r>
          </w:p>
        </w:tc>
        <w:tc>
          <w:tcPr>
            <w:tcW w:type="dxa" w:w="2160"/>
          </w:tcPr>
          <w:p>
            <w:r>
              <w:t>Construction</w:t>
            </w:r>
          </w:p>
        </w:tc>
        <w:tc>
          <w:tcPr>
            <w:tcW w:type="dxa" w:w="2160"/>
          </w:tcPr>
          <w:p>
            <w:r>
              <w:t>Geotechnical Contractor</w:t>
            </w:r>
          </w:p>
        </w:tc>
      </w:tr>
      <w:tr>
        <w:tc>
          <w:tcPr>
            <w:tcW w:type="dxa" w:w="2160"/>
          </w:tcPr>
          <w:p>
            <w:r>
              <w:t>Erosion monitoring</w:t>
            </w:r>
          </w:p>
        </w:tc>
        <w:tc>
          <w:tcPr>
            <w:tcW w:type="dxa" w:w="2160"/>
          </w:tcPr>
          <w:p>
            <w:r>
              <w:t>Visual inspections after each major rain event.</w:t>
            </w:r>
          </w:p>
        </w:tc>
        <w:tc>
          <w:tcPr>
            <w:tcW w:type="dxa" w:w="2160"/>
          </w:tcPr>
          <w:p>
            <w:r>
              <w:t>Construction &amp; first 12 months</w:t>
            </w:r>
          </w:p>
        </w:tc>
        <w:tc>
          <w:tcPr>
            <w:tcW w:type="dxa" w:w="2160"/>
          </w:tcPr>
          <w:p>
            <w:r>
              <w:t>Environmental Officer</w:t>
            </w:r>
          </w:p>
        </w:tc>
      </w:tr>
    </w:tbl>
    <w:p>
      <w:r>
        <w:t>### 7.3.5 Biodiversity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Timing</w:t>
            </w:r>
          </w:p>
        </w:tc>
        <w:tc>
          <w:tcPr>
            <w:tcW w:type="dxa" w:w="2160"/>
          </w:tcPr>
          <w:p>
            <w:r>
              <w:rPr>
                <w:b/>
              </w:rPr>
              <w:t>Responsible</w:t>
            </w:r>
          </w:p>
        </w:tc>
      </w:tr>
      <w:tr>
        <w:tc>
          <w:tcPr>
            <w:tcW w:type="dxa" w:w="2160"/>
          </w:tcPr>
          <w:p>
            <w:r>
              <w:t>Habitat avoidance</w:t>
            </w:r>
          </w:p>
        </w:tc>
        <w:tc>
          <w:tcPr>
            <w:tcW w:type="dxa" w:w="2160"/>
          </w:tcPr>
          <w:p>
            <w:r>
              <w:t>No clearing within 30 m of identified nesting trees of the three conservation‑concern bird species.</w:t>
            </w:r>
          </w:p>
        </w:tc>
        <w:tc>
          <w:tcPr>
            <w:tcW w:type="dxa" w:w="2160"/>
          </w:tcPr>
          <w:p>
            <w:r>
              <w:t>Construction</w:t>
            </w:r>
          </w:p>
        </w:tc>
        <w:tc>
          <w:tcPr>
            <w:tcW w:type="dxa" w:w="2160"/>
          </w:tcPr>
          <w:p>
            <w:r>
              <w:t>Biodiversity Officer</w:t>
            </w:r>
          </w:p>
        </w:tc>
      </w:tr>
      <w:tr>
        <w:tc>
          <w:tcPr>
            <w:tcW w:type="dxa" w:w="2160"/>
          </w:tcPr>
          <w:p>
            <w:r>
              <w:t>Anti‑collision design</w:t>
            </w:r>
          </w:p>
        </w:tc>
        <w:tc>
          <w:tcPr>
            <w:tcW w:type="dxa" w:w="2160"/>
          </w:tcPr>
          <w:p>
            <w:r>
              <w:t>Install bird‑friendly panel spacing (≥0.5 m) and use anti‑reflective coating.</w:t>
            </w:r>
          </w:p>
        </w:tc>
        <w:tc>
          <w:tcPr>
            <w:tcW w:type="dxa" w:w="2160"/>
          </w:tcPr>
          <w:p>
            <w:r>
              <w:t>Installation (Phase 1)</w:t>
            </w:r>
          </w:p>
        </w:tc>
        <w:tc>
          <w:tcPr>
            <w:tcW w:type="dxa" w:w="2160"/>
          </w:tcPr>
          <w:p>
            <w:r>
              <w:t>EPC Contractor</w:t>
            </w:r>
          </w:p>
        </w:tc>
      </w:tr>
      <w:tr>
        <w:tc>
          <w:tcPr>
            <w:tcW w:type="dxa" w:w="2160"/>
          </w:tcPr>
          <w:p>
            <w:r>
              <w:t>Monitoring</w:t>
            </w:r>
          </w:p>
        </w:tc>
        <w:tc>
          <w:tcPr>
            <w:tcW w:type="dxa" w:w="2160"/>
          </w:tcPr>
          <w:p>
            <w:r>
              <w:t>Quarterly bird surveys for two years post‑commissioning; adaptive management if mortality &gt;5 % of target species.</w:t>
            </w:r>
          </w:p>
        </w:tc>
        <w:tc>
          <w:tcPr>
            <w:tcW w:type="dxa" w:w="2160"/>
          </w:tcPr>
          <w:p>
            <w:r>
              <w:t>Operation</w:t>
            </w:r>
          </w:p>
        </w:tc>
        <w:tc>
          <w:tcPr>
            <w:tcW w:type="dxa" w:w="2160"/>
          </w:tcPr>
          <w:p>
            <w:r>
              <w:t>Biodiversity Officer</w:t>
            </w:r>
          </w:p>
        </w:tc>
      </w:tr>
    </w:tbl>
    <w:p>
      <w:r>
        <w:t>### 7.3.6 Social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Timing</w:t>
            </w:r>
          </w:p>
        </w:tc>
        <w:tc>
          <w:tcPr>
            <w:tcW w:type="dxa" w:w="2160"/>
          </w:tcPr>
          <w:p>
            <w:r>
              <w:rPr>
                <w:b/>
              </w:rPr>
              <w:t>Responsible</w:t>
            </w:r>
          </w:p>
        </w:tc>
      </w:tr>
      <w:tr>
        <w:tc>
          <w:tcPr>
            <w:tcW w:type="dxa" w:w="2160"/>
          </w:tcPr>
          <w:p>
            <w:r>
              <w:t>Grazing corridor</w:t>
            </w:r>
          </w:p>
        </w:tc>
        <w:tc>
          <w:tcPr>
            <w:tcW w:type="dxa" w:w="2160"/>
          </w:tcPr>
          <w:p>
            <w:r>
              <w:t>Install perimeter fencing set back 30 m from the edge to preserve a 5 ha access corridor for livestock.</w:t>
            </w:r>
          </w:p>
        </w:tc>
        <w:tc>
          <w:tcPr>
            <w:tcW w:type="dxa" w:w="2160"/>
          </w:tcPr>
          <w:p>
            <w:r>
              <w:t>Construction</w:t>
            </w:r>
          </w:p>
        </w:tc>
        <w:tc>
          <w:tcPr>
            <w:tcW w:type="dxa" w:w="2160"/>
          </w:tcPr>
          <w:p>
            <w:r>
              <w:t>Site Manager</w:t>
            </w:r>
          </w:p>
        </w:tc>
      </w:tr>
      <w:tr>
        <w:tc>
          <w:tcPr>
            <w:tcW w:type="dxa" w:w="2160"/>
          </w:tcPr>
          <w:p>
            <w:r>
              <w:t>Compensation</w:t>
            </w:r>
          </w:p>
        </w:tc>
        <w:tc>
          <w:tcPr>
            <w:tcW w:type="dxa" w:w="2160"/>
          </w:tcPr>
          <w:p>
            <w:r>
              <w:t>Pay market‑based compensation to grazing‑rights holders as per Valuer‑General rates; disbursement within 60 days of loss verification.</w:t>
            </w:r>
          </w:p>
        </w:tc>
        <w:tc>
          <w:tcPr>
            <w:tcW w:type="dxa" w:w="2160"/>
          </w:tcPr>
          <w:p>
            <w:r>
              <w:t>Post‑construction</w:t>
            </w:r>
          </w:p>
        </w:tc>
        <w:tc>
          <w:tcPr>
            <w:tcW w:type="dxa" w:w="2160"/>
          </w:tcPr>
          <w:p>
            <w:r>
              <w:t>GRM Committee</w:t>
            </w:r>
          </w:p>
        </w:tc>
      </w:tr>
      <w:tr>
        <w:tc>
          <w:tcPr>
            <w:tcW w:type="dxa" w:w="2160"/>
          </w:tcPr>
          <w:p>
            <w:r>
              <w:t>Employment &amp; Skills</w:t>
            </w:r>
          </w:p>
        </w:tc>
        <w:tc>
          <w:tcPr>
            <w:tcW w:type="dxa" w:w="2160"/>
          </w:tcPr>
          <w:p>
            <w:r>
              <w:t>Prioritise local hiring for construction (≥60 % of labour) and provide on‑the‑job training for the 20 operational positions.</w:t>
            </w:r>
          </w:p>
        </w:tc>
        <w:tc>
          <w:tcPr>
            <w:tcW w:type="dxa" w:w="2160"/>
          </w:tcPr>
          <w:p>
            <w:r>
              <w:t>Construction &amp; operation</w:t>
            </w:r>
          </w:p>
        </w:tc>
        <w:tc>
          <w:tcPr>
            <w:tcW w:type="dxa" w:w="2160"/>
          </w:tcPr>
          <w:p>
            <w:r>
              <w:t>HR Manager</w:t>
            </w:r>
          </w:p>
        </w:tc>
      </w:tr>
      <w:tr>
        <w:tc>
          <w:tcPr>
            <w:tcW w:type="dxa" w:w="2160"/>
          </w:tcPr>
          <w:p>
            <w:r>
              <w:t>Glare mitigation</w:t>
            </w:r>
          </w:p>
        </w:tc>
        <w:tc>
          <w:tcPr>
            <w:tcW w:type="dxa" w:w="2160"/>
          </w:tcPr>
          <w:p>
            <w:r>
              <w:t>Apply anti‑reflective coating on all modules; orient rows to minimise azimuth towards west‑facing homesteads.</w:t>
            </w:r>
          </w:p>
        </w:tc>
        <w:tc>
          <w:tcPr>
            <w:tcW w:type="dxa" w:w="2160"/>
          </w:tcPr>
          <w:p>
            <w:r>
              <w:t>Installation</w:t>
            </w:r>
          </w:p>
        </w:tc>
        <w:tc>
          <w:tcPr>
            <w:tcW w:type="dxa" w:w="2160"/>
          </w:tcPr>
          <w:p>
            <w:r>
              <w:t>EPC Contractor</w:t>
            </w:r>
          </w:p>
        </w:tc>
      </w:tr>
      <w:tr>
        <w:tc>
          <w:tcPr>
            <w:tcW w:type="dxa" w:w="2160"/>
          </w:tcPr>
          <w:p>
            <w:r>
              <w:t>Community liaison</w:t>
            </w:r>
          </w:p>
        </w:tc>
        <w:tc>
          <w:tcPr>
            <w:tcW w:type="dxa" w:w="2160"/>
          </w:tcPr>
          <w:p>
            <w:r>
              <w:t>Maintain the Grievance Redress Mechanism (GRM) Committee; monthly update meetings at Ndeiya Chief’s Camp.</w:t>
            </w:r>
          </w:p>
        </w:tc>
        <w:tc>
          <w:tcPr>
            <w:tcW w:type="dxa" w:w="2160"/>
          </w:tcPr>
          <w:p>
            <w:r>
              <w:t>Ongoing</w:t>
            </w:r>
          </w:p>
        </w:tc>
        <w:tc>
          <w:tcPr>
            <w:tcW w:type="dxa" w:w="2160"/>
          </w:tcPr>
          <w:p>
            <w:r>
              <w:t>Community Liaison Officer</w:t>
            </w:r>
          </w:p>
        </w:tc>
      </w:tr>
    </w:tbl>
    <w:p>
      <w:r>
        <w:t>---</w:t>
      </w:r>
    </w:p>
    <w:p>
      <w:r>
        <w:t>## 7.4 Environmental and Social Management Plan (ESMP) Summary</w:t>
      </w:r>
    </w:p>
    <w:p>
      <w:r>
        <w:t>The ESMP for the Ndeiya Solar Power Plant integrates the mitigation measures listed above into a structured, auditable framework. Key components include:</w:t>
      </w:r>
    </w:p>
    <w:p>
      <w:pPr>
        <w:pStyle w:val="ListNumber"/>
      </w:pPr>
      <w:r/>
      <w:r>
        <w:rPr>
          <w:b/>
        </w:rPr>
        <w:t>Institutional Arrangements</w:t>
      </w:r>
      <w:r>
        <w:t xml:space="preserve"> – Clear roles for the Proponent’s Environmental Manager, the Contractor’s Site Environmental Officer, and the independent GRM Committee.</w:t>
      </w:r>
    </w:p>
    <w:p>
      <w:pPr>
        <w:pStyle w:val="ListNumber"/>
      </w:pPr>
      <w:r/>
      <w:r>
        <w:rPr>
          <w:b/>
        </w:rPr>
        <w:t>Monitoring Programme</w:t>
      </w:r>
      <w:r>
        <w:t xml:space="preserve"> – Baseline‑referenced monitoring of air quality (PM₂.₅/PM₁₀), noise, water quality (TSS, pH), sediment runoff, and avian fauna. Frequency follows NEMA guidelines (e.g., weekly air, monthly water, quarterly biodiversity).</w:t>
      </w:r>
    </w:p>
    <w:p>
      <w:pPr>
        <w:pStyle w:val="ListNumber"/>
      </w:pPr>
      <w:r/>
      <w:r>
        <w:rPr>
          <w:b/>
        </w:rPr>
        <w:t>Reporting</w:t>
      </w:r>
      <w:r>
        <w:t xml:space="preserve"> – Quarterly ESMP progress reports submitted to NEMA; annual compliance audit by an accredited third‑party verifier.</w:t>
      </w:r>
    </w:p>
    <w:p>
      <w:pPr>
        <w:pStyle w:val="ListNumber"/>
      </w:pPr>
      <w:r/>
      <w:r>
        <w:rPr>
          <w:b/>
        </w:rPr>
        <w:t>Capacity Building</w:t>
      </w:r>
      <w:r>
        <w:t xml:space="preserve"> – Training workshops for local workers on safe construction practices, environmental stewardship, and grievance handling.</w:t>
      </w:r>
    </w:p>
    <w:p>
      <w:pPr>
        <w:pStyle w:val="ListNumber"/>
      </w:pPr>
      <w:r/>
      <w:r>
        <w:rPr>
          <w:b/>
        </w:rPr>
        <w:t>Adaptive Management</w:t>
      </w:r>
      <w:r>
        <w:t xml:space="preserve"> – Trigger thresholds (e.g., PM₂.₅ &gt; 15 µg m⁻³ for three consecutive days) will activate corrective actions such as additional watering or temporary suspension of dusty activities.</w:t>
      </w:r>
    </w:p>
    <w:p>
      <w:r>
        <w:t>All mitigation actions will be documented in the ESMP, with budgets, responsible parties, and timelines clearly defined. The ESMP will be reviewed annually and updated as required to reflect operational experience, monitoring results, and stakeholder feedback.</w:t>
      </w:r>
    </w:p>
    <w:p>
      <w:r>
        <w:br w:type="page"/>
      </w:r>
    </w:p>
    <w:p>
      <w:pPr>
        <w:pStyle w:val="Heading1"/>
      </w:pPr>
      <w:r>
        <w:t>Chapter 8: Environmental and Social Management Plan</w:t>
      </w:r>
    </w:p>
    <w:p>
      <w:r>
        <w:t>[Content generation failed.]</w:t>
      </w:r>
    </w:p>
    <w:p>
      <w:r>
        <w:br w:type="page"/>
      </w:r>
    </w:p>
    <w:p>
      <w:pPr>
        <w:pStyle w:val="Heading1"/>
      </w:pPr>
      <w:r>
        <w:t>Chapter 9: Conclusion and Recommendations</w:t>
      </w:r>
    </w:p>
    <w:p>
      <w:r>
        <w:t>[Content generation failed.]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