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Executive Summary</w:t>
      </w:r>
    </w:p>
    <w:p>
      <w:r>
        <w:t>## Project Summary</w:t>
      </w:r>
    </w:p>
    <w:p>
      <w:pPr>
        <w:pStyle w:val="ListBullet"/>
      </w:pPr>
      <w:r/>
      <w:r>
        <w:rPr>
          <w:b/>
        </w:rPr>
        <w:t>Project Name:</w:t>
      </w:r>
      <w:r>
        <w:t xml:space="preserve"> Ndeiya Solar Power Plant</w:t>
      </w:r>
    </w:p>
    <w:p>
      <w:pPr>
        <w:pStyle w:val="ListBullet"/>
      </w:pPr>
      <w:r/>
      <w:r>
        <w:rPr>
          <w:b/>
        </w:rPr>
        <w:t>Proponent:</w:t>
      </w:r>
      <w:r>
        <w:t xml:space="preserve"> Sunbelt Energy Kenya Ltd. (PIN: P061738204M)</w:t>
      </w:r>
    </w:p>
    <w:p>
      <w:pPr>
        <w:pStyle w:val="ListBullet"/>
      </w:pPr>
      <w:r/>
      <w:r>
        <w:rPr>
          <w:b/>
        </w:rPr>
        <w:t>Lead Expert:</w:t>
      </w:r>
      <w:r>
        <w:t xml:space="preserve"> George Kamau (EIA/EA/1234)</w:t>
      </w:r>
    </w:p>
    <w:p>
      <w:pPr>
        <w:pStyle w:val="ListBullet"/>
      </w:pPr>
      <w:r/>
      <w:r>
        <w:rPr>
          <w:b/>
        </w:rPr>
        <w:t>Location:</w:t>
      </w:r>
      <w:r>
        <w:t xml:space="preserve"> Ndeiya Ward, Limuru, Kiambu County (Latitude ‑1.0291, Longitude 36.6847) – Plot LR No. 9902/14 (25‑year leasehold)</w:t>
      </w:r>
    </w:p>
    <w:p>
      <w:pPr>
        <w:pStyle w:val="ListBullet"/>
      </w:pPr>
      <w:r/>
      <w:r>
        <w:rPr>
          <w:b/>
        </w:rPr>
        <w:t>Site Area:</w:t>
      </w:r>
      <w:r>
        <w:t xml:space="preserve"> 38.6 ha</w:t>
      </w:r>
    </w:p>
    <w:p>
      <w:pPr>
        <w:pStyle w:val="ListBullet"/>
      </w:pPr>
      <w:r/>
      <w:r>
        <w:rPr>
          <w:b/>
        </w:rPr>
        <w:t>Plant Capacity:</w:t>
      </w:r>
      <w:r>
        <w:t xml:space="preserve"> 45 MW (3 × 15 MW phases, commissioned sequentially)</w:t>
      </w:r>
    </w:p>
    <w:p>
      <w:pPr>
        <w:pStyle w:val="ListBullet"/>
      </w:pPr>
      <w:r/>
      <w:r>
        <w:rPr>
          <w:b/>
        </w:rPr>
        <w:t>Engineering Description:</w:t>
      </w:r>
      <w:r>
        <w:t xml:space="preserve"> Ground‑mount utility‑scale solar PV; panel array footprint </w:t>
      </w:r>
      <w:r>
        <w:rPr>
          <w:b/>
        </w:rPr>
        <w:t>52 ha</w:t>
      </w:r>
      <w:r>
        <w:t xml:space="preserve"> </w:t>
      </w:r>
      <w:r>
        <w:rPr>
          <w:b/>
        </w:rPr>
        <w:t>[CONTRADICTION: Panel array footprint (52 ha) exceeds site area (38.6 ha)]</w:t>
      </w:r>
      <w:r>
        <w:t>.</w:t>
      </w:r>
    </w:p>
    <w:p>
      <w:pPr>
        <w:pStyle w:val="ListBullet"/>
      </w:pPr>
      <w:r/>
      <w:r>
        <w:rPr>
          <w:b/>
        </w:rPr>
        <w:t>Cost:</w:t>
      </w:r>
      <w:r>
        <w:t xml:space="preserve"> KES 2,940,000,000</w:t>
      </w:r>
    </w:p>
    <w:p>
      <w:pPr>
        <w:pStyle w:val="ListBullet"/>
      </w:pPr>
      <w:r/>
      <w:r>
        <w:rPr>
          <w:b/>
        </w:rPr>
        <w:t>Construction Schedule:</w:t>
      </w:r>
      <w:r>
        <w:t xml:space="preserve"> Start 2027‑06‑01; 11 months construction; 25‑year operational lifespan.</w:t>
      </w:r>
    </w:p>
    <w:p>
      <w:pPr>
        <w:pStyle w:val="ListBullet"/>
      </w:pPr>
      <w:r/>
      <w:r>
        <w:rPr>
          <w:b/>
        </w:rPr>
        <w:t>Direct Operations Employment:</w:t>
      </w:r>
      <w:r>
        <w:t xml:space="preserve"> 18 permanent staff (automation‑driven).</w:t>
      </w:r>
    </w:p>
    <w:p>
      <w:r/>
      <w:r>
        <w:rPr>
          <w:b/>
        </w:rPr>
        <w:t>Missing Engineering Data</w:t>
      </w:r>
      <w:r/>
    </w:p>
    <w:p>
      <w:pPr>
        <w:pStyle w:val="ListBullet"/>
      </w:pPr>
      <w:r/>
      <w:r>
        <w:rPr>
          <w:b/>
        </w:rPr>
        <w:t>Generator Size:</w:t>
      </w:r>
      <w:r>
        <w:t xml:space="preserve"> </w:t>
      </w:r>
      <w:r>
        <w:rPr>
          <w:b/>
        </w:rPr>
        <w:t>[MISSING: GENERATOR SIZE]</w:t>
      </w:r>
      <w:r/>
    </w:p>
    <w:p>
      <w:pPr>
        <w:pStyle w:val="ListBullet"/>
      </w:pPr>
      <w:r/>
      <w:r>
        <w:rPr>
          <w:b/>
        </w:rPr>
        <w:t>PSTP (Pretreatment) Capacity:</w:t>
      </w:r>
      <w:r>
        <w:t xml:space="preserve"> </w:t>
      </w:r>
      <w:r>
        <w:rPr>
          <w:b/>
        </w:rPr>
        <w:t>[MISSING: PSTP CAPACITY]</w:t>
      </w:r>
      <w:r/>
    </w:p>
    <w:p>
      <w:pPr>
        <w:pStyle w:val="ListBullet"/>
      </w:pPr>
      <w:r/>
      <w:r>
        <w:rPr>
          <w:b/>
        </w:rPr>
        <w:t>Daily Traffic Volumes (construction &amp; operation):</w:t>
      </w:r>
      <w:r>
        <w:t xml:space="preserve"> </w:t>
      </w:r>
      <w:r>
        <w:rPr>
          <w:b/>
        </w:rPr>
        <w:t>[MISSING: DAILY TRAFFIC]</w:t>
      </w:r>
      <w:r/>
    </w:p>
    <w:p>
      <w:r>
        <w:t>---</w:t>
      </w:r>
    </w:p>
    <w:p>
      <w:r>
        <w:t>## Environmental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Baseline Value</w:t>
            </w:r>
          </w:p>
        </w:tc>
        <w:tc>
          <w:tcPr>
            <w:tcW w:type="dxa" w:w="2160"/>
          </w:tcPr>
          <w:p>
            <w:r>
              <w:rPr>
                <w:b/>
              </w:rPr>
              <w:t>Guideline/Standard</w:t>
            </w:r>
          </w:p>
        </w:tc>
        <w:tc>
          <w:tcPr>
            <w:tcW w:type="dxa" w:w="2160"/>
          </w:tcPr>
          <w:p>
            <w:r>
              <w:rPr>
                <w:b/>
              </w:rPr>
              <w:t>Compliance</w:t>
            </w:r>
          </w:p>
        </w:tc>
      </w:tr>
      <w:tr>
        <w:tc>
          <w:tcPr>
            <w:tcW w:type="dxa" w:w="2160"/>
          </w:tcPr>
          <w:p>
            <w:r>
              <w:t>PM2.5 (24 hr)</w:t>
            </w:r>
          </w:p>
        </w:tc>
        <w:tc>
          <w:tcPr>
            <w:tcW w:type="dxa" w:w="2160"/>
          </w:tcPr>
          <w:p>
            <w:r>
              <w:t>11 µg/m³</w:t>
            </w:r>
          </w:p>
        </w:tc>
        <w:tc>
          <w:tcPr>
            <w:tcW w:type="dxa" w:w="2160"/>
          </w:tcPr>
          <w:p>
            <w:r>
              <w:t>WHO 24‑hr guideline 15 µg/m³</w:t>
            </w:r>
          </w:p>
        </w:tc>
        <w:tc>
          <w:tcPr>
            <w:tcW w:type="dxa" w:w="2160"/>
          </w:tcPr>
          <w:p>
            <w:r/>
            <w:r>
              <w:rPr>
                <w:b/>
              </w:rPr>
              <w:t>Below</w:t>
            </w:r>
            <w:r/>
          </w:p>
        </w:tc>
      </w:tr>
      <w:tr>
        <w:tc>
          <w:tcPr>
            <w:tcW w:type="dxa" w:w="2160"/>
          </w:tcPr>
          <w:p>
            <w:r>
              <w:t>PM10 (24 hr)</w:t>
            </w:r>
          </w:p>
        </w:tc>
        <w:tc>
          <w:tcPr>
            <w:tcW w:type="dxa" w:w="2160"/>
          </w:tcPr>
          <w:p>
            <w:r>
              <w:t>24 µg/m³</w:t>
            </w:r>
          </w:p>
        </w:tc>
        <w:tc>
          <w:tcPr>
            <w:tcW w:type="dxa" w:w="2160"/>
          </w:tcPr>
          <w:p>
            <w:r>
              <w:t>NEMA (Kenya) 75 µg/m³</w:t>
            </w:r>
          </w:p>
        </w:tc>
        <w:tc>
          <w:tcPr>
            <w:tcW w:type="dxa" w:w="2160"/>
          </w:tcPr>
          <w:p>
            <w:r/>
            <w:r>
              <w:rPr>
                <w:b/>
              </w:rPr>
              <w:t>Below</w:t>
            </w:r>
            <w:r/>
          </w:p>
        </w:tc>
      </w:tr>
      <w:tr>
        <w:tc>
          <w:tcPr>
            <w:tcW w:type="dxa" w:w="2160"/>
          </w:tcPr>
          <w:p>
            <w:r>
              <w:t>Ambient Noise</w:t>
            </w:r>
          </w:p>
        </w:tc>
        <w:tc>
          <w:tcPr>
            <w:tcW w:type="dxa" w:w="2160"/>
          </w:tcPr>
          <w:p>
            <w:r>
              <w:t>41 dBA</w:t>
            </w:r>
          </w:p>
        </w:tc>
        <w:tc>
          <w:tcPr>
            <w:tcW w:type="dxa" w:w="2160"/>
          </w:tcPr>
          <w:p>
            <w:r>
              <w:t>Typical residential daytime limit 55 dBA</w:t>
            </w:r>
          </w:p>
        </w:tc>
        <w:tc>
          <w:tcPr>
            <w:tcW w:type="dxa" w:w="2160"/>
          </w:tcPr>
          <w:p>
            <w:r/>
            <w:r>
              <w:rPr>
                <w:b/>
              </w:rPr>
              <w:t>Below</w:t>
            </w:r>
            <w:r/>
          </w:p>
        </w:tc>
      </w:tr>
      <w:tr>
        <w:tc>
          <w:tcPr>
            <w:tcW w:type="dxa" w:w="2160"/>
          </w:tcPr>
          <w:p>
            <w:r>
              <w:t>Groundwater Depth</w:t>
            </w:r>
          </w:p>
        </w:tc>
        <w:tc>
          <w:tcPr>
            <w:tcW w:type="dxa" w:w="2160"/>
          </w:tcPr>
          <w:p>
            <w:r>
              <w:t>58 m</w:t>
            </w:r>
          </w:p>
        </w:tc>
        <w:tc>
          <w:tcPr>
            <w:tcW w:type="dxa" w:w="2160"/>
          </w:tcPr>
          <w:p>
            <w:r>
              <w:t>–</w:t>
            </w:r>
          </w:p>
        </w:tc>
        <w:tc>
          <w:tcPr>
            <w:tcW w:type="dxa" w:w="2160"/>
          </w:tcPr>
          <w:p>
            <w:r>
              <w:t>–</w:t>
            </w:r>
          </w:p>
        </w:tc>
      </w:tr>
      <w:tr>
        <w:tc>
          <w:tcPr>
            <w:tcW w:type="dxa" w:w="2160"/>
          </w:tcPr>
          <w:p>
            <w:r>
              <w:t>Land Use</w:t>
            </w:r>
          </w:p>
        </w:tc>
        <w:tc>
          <w:tcPr>
            <w:tcW w:type="dxa" w:w="2160"/>
          </w:tcPr>
          <w:p>
            <w:r>
              <w:t>Grazing land / open grassland</w:t>
            </w:r>
          </w:p>
        </w:tc>
        <w:tc>
          <w:tcPr>
            <w:tcW w:type="dxa" w:w="2160"/>
          </w:tcPr>
          <w:p>
            <w:r>
              <w:t>–</w:t>
            </w:r>
          </w:p>
        </w:tc>
        <w:tc>
          <w:tcPr>
            <w:tcW w:type="dxa" w:w="2160"/>
          </w:tcPr>
          <w:p>
            <w:r>
              <w:t>–</w:t>
            </w:r>
          </w:p>
        </w:tc>
      </w:tr>
    </w:tbl>
    <w:p>
      <w:r/>
      <w:r>
        <w:rPr>
          <w:b/>
        </w:rPr>
        <w:t>Key Receptors within 1 km</w:t>
      </w:r>
      <w:r/>
    </w:p>
    <w:p>
      <w:pPr>
        <w:pStyle w:val="ListBullet"/>
      </w:pPr>
      <w:r>
        <w:t>Ndeiya Primary School (620 m East)</w:t>
      </w:r>
    </w:p>
    <w:p>
      <w:pPr>
        <w:pStyle w:val="ListBullet"/>
      </w:pPr>
      <w:r>
        <w:t>Ndeiya PCEA Church (780 m SE)</w:t>
      </w:r>
    </w:p>
    <w:p>
      <w:pPr>
        <w:pStyle w:val="ListBullet"/>
      </w:pPr>
      <w:r>
        <w:t>Ewaso Kedong Seasonal Stream (410 m South)</w:t>
      </w:r>
    </w:p>
    <w:p>
      <w:pPr>
        <w:pStyle w:val="ListBullet"/>
      </w:pPr>
      <w:r>
        <w:t>Ndeiya Community Borehole (550 m North)</w:t>
      </w:r>
    </w:p>
    <w:p>
      <w:pPr>
        <w:pStyle w:val="ListBullet"/>
      </w:pPr>
      <w:r>
        <w:t>Scattered homesteads (200 m West)</w:t>
      </w:r>
    </w:p>
    <w:p>
      <w:r/>
      <w:r>
        <w:rPr>
          <w:b/>
        </w:rPr>
        <w:t>Specialist Surveys</w:t>
      </w:r>
      <w:r>
        <w:t xml:space="preserve"> (provided)</w:t>
      </w:r>
    </w:p>
    <w:p>
      <w:pPr>
        <w:pStyle w:val="ListBullet"/>
      </w:pPr>
      <w:r>
        <w:t>Soil &amp; Geotechnical Report (soil_geotech_ndeiya.pdf)</w:t>
      </w:r>
    </w:p>
    <w:p>
      <w:pPr>
        <w:pStyle w:val="ListBullet"/>
      </w:pPr>
      <w:r>
        <w:t>Avian Biodiversity Survey (biodiversity_avian_survey_ndeiya.pdf)</w:t>
      </w:r>
    </w:p>
    <w:p>
      <w:pPr>
        <w:pStyle w:val="ListBullet"/>
      </w:pPr>
      <w:r>
        <w:t>Hydrology of Ewaso Kedong (hydrology_ewaso_kedong.pdf)</w:t>
      </w:r>
    </w:p>
    <w:p>
      <w:r/>
      <w:r>
        <w:rPr>
          <w:b/>
        </w:rPr>
        <w:t>Water Resources</w:t>
      </w:r>
      <w:r>
        <w:t xml:space="preserve"> – No quantitative abstraction data supplied </w:t>
      </w:r>
      <w:r>
        <w:rPr>
          <w:b/>
        </w:rPr>
        <w:t>[MISSING: WATER ABSTRACTION DETAILS]</w:t>
      </w:r>
      <w:r>
        <w:t xml:space="preserve">; project will be subject to the </w:t>
      </w:r>
      <w:r>
        <w:rPr>
          <w:b/>
        </w:rPr>
        <w:t>Water Act 2016</w:t>
      </w:r>
      <w:r>
        <w:t>.</w:t>
      </w:r>
    </w:p>
    <w:p>
      <w:r>
        <w:t>---</w:t>
      </w:r>
    </w:p>
    <w:p>
      <w:r>
        <w:t>## Potential Environmental &amp; Social Impacts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Impact</w:t>
            </w:r>
          </w:p>
        </w:tc>
        <w:tc>
          <w:tcPr>
            <w:tcW w:type="dxa" w:w="1728"/>
          </w:tcPr>
          <w:p>
            <w:r>
              <w:rPr>
                <w:b/>
              </w:rPr>
              <w:t>Likelihood</w:t>
            </w:r>
          </w:p>
        </w:tc>
        <w:tc>
          <w:tcPr>
            <w:tcW w:type="dxa" w:w="1728"/>
          </w:tcPr>
          <w:p>
            <w:r>
              <w:rPr>
                <w:b/>
              </w:rPr>
              <w:t>Magnitude</w:t>
            </w:r>
          </w:p>
        </w:tc>
        <w:tc>
          <w:tcPr>
            <w:tcW w:type="dxa" w:w="1728"/>
          </w:tcPr>
          <w:p>
            <w:r>
              <w:rPr>
                <w:b/>
              </w:rPr>
              <w:t>Significance</w:t>
            </w:r>
          </w:p>
        </w:tc>
        <w:tc>
          <w:tcPr>
            <w:tcW w:type="dxa" w:w="1728"/>
          </w:tcPr>
          <w:p>
            <w:r>
              <w:rPr>
                <w:b/>
              </w:rPr>
              <w:t>Proposed Mitigation (ESMP)</w:t>
            </w:r>
          </w:p>
        </w:tc>
      </w:tr>
      <w:tr>
        <w:tc>
          <w:tcPr>
            <w:tcW w:type="dxa" w:w="1728"/>
          </w:tcPr>
          <w:p>
            <w:r>
              <w:t>Loss of grazing land access</w:t>
            </w:r>
          </w:p>
        </w:tc>
        <w:tc>
          <w:tcPr>
            <w:tcW w:type="dxa" w:w="1728"/>
          </w:tcPr>
          <w:p>
            <w:r>
              <w:t>High (direct)</w:t>
            </w:r>
          </w:p>
        </w:tc>
        <w:tc>
          <w:tcPr>
            <w:tcW w:type="dxa" w:w="1728"/>
          </w:tcPr>
          <w:p>
            <w:r>
              <w:t>Moderate</w:t>
            </w:r>
          </w:p>
        </w:tc>
        <w:tc>
          <w:tcPr>
            <w:tcW w:type="dxa" w:w="1728"/>
          </w:tcPr>
          <w:p>
            <w:r>
              <w:t>Significant</w:t>
            </w:r>
          </w:p>
        </w:tc>
        <w:tc>
          <w:tcPr>
            <w:tcW w:type="dxa" w:w="1728"/>
          </w:tcPr>
          <w:p>
            <w:r>
              <w:t>Perimeter fencing set back to preserve access corridor; compensation to grazing‑rights holders per Valuer‑General rates.</w:t>
            </w:r>
          </w:p>
        </w:tc>
      </w:tr>
      <w:tr>
        <w:tc>
          <w:tcPr>
            <w:tcW w:type="dxa" w:w="1728"/>
          </w:tcPr>
          <w:p>
            <w:r>
              <w:t>Glare to nearby homesteads</w:t>
            </w:r>
          </w:p>
        </w:tc>
        <w:tc>
          <w:tcPr>
            <w:tcW w:type="dxa" w:w="1728"/>
          </w:tcPr>
          <w:p>
            <w:r>
              <w:t>Medium</w:t>
            </w:r>
          </w:p>
        </w:tc>
        <w:tc>
          <w:tcPr>
            <w:tcW w:type="dxa" w:w="1728"/>
          </w:tcPr>
          <w:p>
            <w:r>
              <w:t>Low</w:t>
            </w:r>
          </w:p>
        </w:tc>
        <w:tc>
          <w:tcPr>
            <w:tcW w:type="dxa" w:w="1728"/>
          </w:tcPr>
          <w:p>
            <w:r>
              <w:t>Moderate</w:t>
            </w:r>
          </w:p>
        </w:tc>
        <w:tc>
          <w:tcPr>
            <w:tcW w:type="dxa" w:w="1728"/>
          </w:tcPr>
          <w:p>
            <w:r>
              <w:t>Anti‑reflective panel coating; homestead‑facing rows angled to minimise glare azimuth.</w:t>
            </w:r>
          </w:p>
        </w:tc>
      </w:tr>
      <w:tr>
        <w:tc>
          <w:tcPr>
            <w:tcW w:type="dxa" w:w="1728"/>
          </w:tcPr>
          <w:p>
            <w:r>
              <w:t>Avian collision/displacement</w:t>
            </w:r>
          </w:p>
        </w:tc>
        <w:tc>
          <w:tcPr>
            <w:tcW w:type="dxa" w:w="1728"/>
          </w:tcPr>
          <w:p>
            <w:r>
              <w:t>Medium</w:t>
            </w:r>
          </w:p>
        </w:tc>
        <w:tc>
          <w:tcPr>
            <w:tcW w:type="dxa" w:w="1728"/>
          </w:tcPr>
          <w:p>
            <w:r>
              <w:t>Low</w:t>
            </w:r>
          </w:p>
        </w:tc>
        <w:tc>
          <w:tcPr>
            <w:tcW w:type="dxa" w:w="1728"/>
          </w:tcPr>
          <w:p>
            <w:r>
              <w:t>Moderate</w:t>
            </w:r>
          </w:p>
        </w:tc>
        <w:tc>
          <w:tcPr>
            <w:tcW w:type="dxa" w:w="1728"/>
          </w:tcPr>
          <w:p>
            <w:r>
              <w:t>Perimeter netting review; seasonal bird monitoring (Quarterly, KES 480,000).</w:t>
            </w:r>
          </w:p>
        </w:tc>
      </w:tr>
      <w:tr>
        <w:tc>
          <w:tcPr>
            <w:tcW w:type="dxa" w:w="1728"/>
          </w:tcPr>
          <w:p>
            <w:r>
              <w:t>Noise during construction</w:t>
            </w:r>
          </w:p>
        </w:tc>
        <w:tc>
          <w:tcPr>
            <w:tcW w:type="dxa" w:w="1728"/>
          </w:tcPr>
          <w:p>
            <w:r>
              <w:t>Medium</w:t>
            </w:r>
          </w:p>
        </w:tc>
        <w:tc>
          <w:tcPr>
            <w:tcW w:type="dxa" w:w="1728"/>
          </w:tcPr>
          <w:p>
            <w:r>
              <w:t>Low</w:t>
            </w:r>
          </w:p>
        </w:tc>
        <w:tc>
          <w:tcPr>
            <w:tcW w:type="dxa" w:w="1728"/>
          </w:tcPr>
          <w:p>
            <w:r>
              <w:t>Low</w:t>
            </w:r>
          </w:p>
        </w:tc>
        <w:tc>
          <w:tcPr>
            <w:tcW w:type="dxa" w:w="1728"/>
          </w:tcPr>
          <w:p>
            <w:r>
              <w:t>Construction noise management plan; limit work to 07:00‑19:00; use low‑noise equipment.</w:t>
            </w:r>
          </w:p>
        </w:tc>
      </w:tr>
      <w:tr>
        <w:tc>
          <w:tcPr>
            <w:tcW w:type="dxa" w:w="1728"/>
          </w:tcPr>
          <w:p>
            <w:r>
              <w:t>Dust generation (construction)</w:t>
            </w:r>
          </w:p>
        </w:tc>
        <w:tc>
          <w:tcPr>
            <w:tcW w:type="dxa" w:w="1728"/>
          </w:tcPr>
          <w:p>
            <w:r>
              <w:t>High</w:t>
            </w:r>
          </w:p>
        </w:tc>
        <w:tc>
          <w:tcPr>
            <w:tcW w:type="dxa" w:w="1728"/>
          </w:tcPr>
          <w:p>
            <w:r>
              <w:t>Low</w:t>
            </w:r>
          </w:p>
        </w:tc>
        <w:tc>
          <w:tcPr>
            <w:tcW w:type="dxa" w:w="1728"/>
          </w:tcPr>
          <w:p>
            <w:r>
              <w:t>Moderate</w:t>
            </w:r>
          </w:p>
        </w:tc>
        <w:tc>
          <w:tcPr>
            <w:tcW w:type="dxa" w:w="1728"/>
          </w:tcPr>
          <w:p>
            <w:r>
              <w:t>Water spraying on exposed soils; wheel washing stations.</w:t>
            </w:r>
          </w:p>
        </w:tc>
      </w:tr>
      <w:tr>
        <w:tc>
          <w:tcPr>
            <w:tcW w:type="dxa" w:w="1728"/>
          </w:tcPr>
          <w:p>
            <w:r>
              <w:t>Water abstraction (borehole)</w:t>
            </w:r>
          </w:p>
        </w:tc>
        <w:tc>
          <w:tcPr>
            <w:tcW w:type="dxa" w:w="1728"/>
          </w:tcPr>
          <w:p>
            <w:r>
              <w:t>Low (if any)</w:t>
            </w:r>
          </w:p>
        </w:tc>
        <w:tc>
          <w:tcPr>
            <w:tcW w:type="dxa" w:w="1728"/>
          </w:tcPr>
          <w:p>
            <w:r>
              <w:t>Low</w:t>
            </w:r>
          </w:p>
        </w:tc>
        <w:tc>
          <w:tcPr>
            <w:tcW w:type="dxa" w:w="1728"/>
          </w:tcPr>
          <w:p>
            <w:r>
              <w:t>Low</w:t>
            </w:r>
          </w:p>
        </w:tc>
        <w:tc>
          <w:tcPr>
            <w:tcW w:type="dxa" w:w="1728"/>
          </w:tcPr>
          <w:p>
            <w:r>
              <w:t xml:space="preserve">Apply for abstraction licence under </w:t>
            </w:r>
            <w:r>
              <w:rPr>
                <w:b/>
              </w:rPr>
              <w:t>Water Act 2016</w:t>
            </w:r>
            <w:r>
              <w:t>; monitor abstraction volumes.</w:t>
            </w:r>
          </w:p>
        </w:tc>
      </w:tr>
      <w:tr>
        <w:tc>
          <w:tcPr>
            <w:tcW w:type="dxa" w:w="1728"/>
          </w:tcPr>
          <w:p>
            <w:r>
              <w:t>Socio‑economic (employment)</w:t>
            </w:r>
          </w:p>
        </w:tc>
        <w:tc>
          <w:tcPr>
            <w:tcW w:type="dxa" w:w="1728"/>
          </w:tcPr>
          <w:p>
            <w:r>
              <w:t>Low</w:t>
            </w:r>
          </w:p>
        </w:tc>
        <w:tc>
          <w:tcPr>
            <w:tcW w:type="dxa" w:w="1728"/>
          </w:tcPr>
          <w:p>
            <w:r>
              <w:t>Low</w:t>
            </w:r>
          </w:p>
        </w:tc>
        <w:tc>
          <w:tcPr>
            <w:tcW w:type="dxa" w:w="1728"/>
          </w:tcPr>
          <w:p>
            <w:r>
              <w:t>Low</w:t>
            </w:r>
          </w:p>
        </w:tc>
        <w:tc>
          <w:tcPr>
            <w:tcW w:type="dxa" w:w="1728"/>
          </w:tcPr>
          <w:p>
            <w:r>
              <w:t>Community liaison; training for local technicians; 18 permanent operations jobs (as communicated).</w:t>
            </w:r>
          </w:p>
        </w:tc>
      </w:tr>
    </w:tbl>
    <w:p>
      <w:r>
        <w:t>---</w:t>
      </w:r>
    </w:p>
    <w:p>
      <w:r>
        <w:t>## Environmental and Social Management Plan (ESMP) Highlights</w:t>
      </w:r>
    </w:p>
    <w:p>
      <w:pPr>
        <w:pStyle w:val="ListBullet"/>
      </w:pPr>
      <w:r/>
      <w:r>
        <w:rPr>
          <w:b/>
        </w:rPr>
        <w:t>Air Quality Management:</w:t>
      </w:r>
      <w:r>
        <w:t xml:space="preserve"> Continuous ambient monitoring at the primary school site; maintain emissions below baseline.</w:t>
      </w:r>
    </w:p>
    <w:p>
      <w:pPr>
        <w:pStyle w:val="ListBullet"/>
      </w:pPr>
      <w:r/>
      <w:r>
        <w:rPr>
          <w:b/>
        </w:rPr>
        <w:t>Noise Management:</w:t>
      </w:r>
      <w:r>
        <w:t xml:space="preserve"> Installation of noise barriers around construction zones; daily noise logs.</w:t>
      </w:r>
    </w:p>
    <w:p>
      <w:pPr>
        <w:pStyle w:val="ListBullet"/>
      </w:pPr>
      <w:r/>
      <w:r>
        <w:rPr>
          <w:b/>
        </w:rPr>
        <w:t>Biodiversity:</w:t>
      </w:r>
      <w:r>
        <w:t xml:space="preserve"> Quarterly bird monitoring; netting maintenance; seasonal avoidance of high‑risk periods.</w:t>
      </w:r>
    </w:p>
    <w:p>
      <w:pPr>
        <w:pStyle w:val="ListBullet"/>
      </w:pPr>
      <w:r/>
      <w:r>
        <w:rPr>
          <w:b/>
        </w:rPr>
        <w:t>Water Management:</w:t>
      </w:r>
      <w:r>
        <w:t xml:space="preserve"> Obtain abstraction licence; implement water‑use audit; install leak‑detection system.</w:t>
      </w:r>
    </w:p>
    <w:p>
      <w:pPr>
        <w:pStyle w:val="ListBullet"/>
      </w:pPr>
      <w:r/>
      <w:r>
        <w:rPr>
          <w:b/>
        </w:rPr>
        <w:t>Land Use &amp; Livelihoods:</w:t>
      </w:r>
      <w:r>
        <w:t xml:space="preserve"> Compensation framework for grazing‑rights holders; maintain a 10 m access corridor along the fence line.</w:t>
      </w:r>
    </w:p>
    <w:p>
      <w:pPr>
        <w:pStyle w:val="ListBullet"/>
      </w:pPr>
      <w:r/>
      <w:r>
        <w:rPr>
          <w:b/>
        </w:rPr>
        <w:t>Community Relations:</w:t>
      </w:r>
      <w:r>
        <w:t xml:space="preserve"> GRM Committee established; grievance response within 14 days; regular information sessions at the chief’s camp.</w:t>
      </w:r>
    </w:p>
    <w:p>
      <w:r>
        <w:t>All mitigation measures are incorporated into the ESMP and budgeted as indicated in the sample rows (e.g., anti‑reflective coating – KES 1,200,000; bird monitoring – KES 480,000).</w:t>
      </w:r>
    </w:p>
    <w:p>
      <w:r>
        <w:t>---</w:t>
      </w:r>
    </w:p>
    <w:p>
      <w:r>
        <w:t>## Stakeholder Engagement</w:t>
      </w:r>
    </w:p>
    <w:p>
      <w:pPr>
        <w:pStyle w:val="ListBullet"/>
      </w:pPr>
      <w:r/>
      <w:r>
        <w:rPr>
          <w:b/>
        </w:rPr>
        <w:t>Public Notice:</w:t>
      </w:r>
      <w:r>
        <w:t xml:space="preserve"> Published in </w:t>
      </w:r>
      <w:r>
        <w:rPr>
          <w:i/>
        </w:rPr>
        <w:t>The Standard</w:t>
      </w:r>
      <w:r>
        <w:t xml:space="preserve"> on 2026‑07‑14 (21‑day notice).</w:t>
      </w:r>
    </w:p>
    <w:p>
      <w:pPr>
        <w:pStyle w:val="ListBullet"/>
      </w:pPr>
      <w:r/>
      <w:r>
        <w:rPr>
          <w:b/>
        </w:rPr>
        <w:t>Baraza (Community Meeting):</w:t>
      </w:r>
      <w:r>
        <w:t xml:space="preserve"> 2026‑08‑06 at Ndeiya Chief’s Camp; 94 attendees.</w:t>
      </w:r>
    </w:p>
    <w:p>
      <w:pPr>
        <w:pStyle w:val="ListBullet"/>
      </w:pPr>
      <w:r/>
      <w:r>
        <w:rPr>
          <w:b/>
        </w:rPr>
        <w:t>Vulnerable Groups Identified:</w:t>
      </w:r>
      <w:r>
        <w:t xml:space="preserve"> Grazing‑rights holders on adjacent unfenced land.</w:t>
      </w:r>
    </w:p>
    <w:p>
      <w:pPr>
        <w:pStyle w:val="ListBullet"/>
      </w:pPr>
      <w:r/>
      <w:r>
        <w:rPr>
          <w:b/>
        </w:rPr>
        <w:t>Grievance Redress Mechanism (GRM):</w:t>
      </w:r>
      <w:r>
        <w:t xml:space="preserve"> Committee formed; contact details provided in the ESIA.</w:t>
      </w:r>
    </w:p>
    <w:p>
      <w:pPr>
        <w:pStyle w:val="ListBullet"/>
      </w:pPr>
      <w:r/>
      <w:r>
        <w:rPr>
          <w:b/>
        </w:rPr>
        <w:t>Key Concerns Raised:</w:t>
      </w:r>
      <w:r>
        <w:t xml:space="preserve"> Loss of grazing access, limited permanent jobs, potential glare. All addressed through the mitigation measures listed above.</w:t>
      </w:r>
    </w:p>
    <w:p>
      <w:r>
        <w:t>---</w:t>
      </w:r>
    </w:p>
    <w:p>
      <w:r>
        <w:t>## Alternatives Considered</w:t>
      </w:r>
    </w:p>
    <w:tbl>
      <w:tblPr>
        <w:tblStyle w:val="TableGrid"/>
        <w:tblW w:type="auto" w:w="0"/>
        <w:tblLook w:firstColumn="1" w:firstRow="1" w:lastColumn="0" w:lastRow="0" w:noHBand="0" w:noVBand="1" w:val="04A0"/>
      </w:tblPr>
      <w:tblGrid>
        <w:gridCol w:w="4320"/>
        <w:gridCol w:w="4320"/>
      </w:tblGrid>
      <w:tr>
        <w:tc>
          <w:tcPr>
            <w:tcW w:type="dxa" w:w="4320"/>
          </w:tcPr>
          <w:p>
            <w:r>
              <w:rPr>
                <w:b/>
              </w:rPr>
              <w:t>Alternative</w:t>
            </w:r>
          </w:p>
        </w:tc>
        <w:tc>
          <w:tcPr>
            <w:tcW w:type="dxa" w:w="4320"/>
          </w:tcPr>
          <w:p>
            <w:r>
              <w:rPr>
                <w:b/>
              </w:rPr>
              <w:t>Rationale for Rejection</w:t>
            </w:r>
          </w:p>
        </w:tc>
      </w:tr>
      <w:tr>
        <w:tc>
          <w:tcPr>
            <w:tcW w:type="dxa" w:w="4320"/>
          </w:tcPr>
          <w:p>
            <w:r/>
            <w:r>
              <w:rPr>
                <w:b/>
              </w:rPr>
              <w:t>Rooftop / Distributed Solar (Nairobi commercial buildings)</w:t>
            </w:r>
            <w:r/>
          </w:p>
        </w:tc>
        <w:tc>
          <w:tcPr>
            <w:tcW w:type="dxa" w:w="4320"/>
          </w:tcPr>
          <w:p>
            <w:r>
              <w:t>Insufficient aggregate capacity to meet the 45 MW grid‑supply contract.</w:t>
            </w:r>
          </w:p>
        </w:tc>
      </w:tr>
      <w:tr>
        <w:tc>
          <w:tcPr>
            <w:tcW w:type="dxa" w:w="4320"/>
          </w:tcPr>
          <w:p>
            <w:r/>
            <w:r>
              <w:rPr>
                <w:b/>
              </w:rPr>
              <w:t>Wind Power at the same site</w:t>
            </w:r>
            <w:r/>
          </w:p>
        </w:tc>
        <w:tc>
          <w:tcPr>
            <w:tcW w:type="dxa" w:w="4320"/>
          </w:tcPr>
          <w:p>
            <w:r>
              <w:t>Wind resource assessment indicated average wind speeds below viable thresholds.</w:t>
            </w:r>
          </w:p>
        </w:tc>
      </w:tr>
      <w:tr>
        <w:tc>
          <w:tcPr>
            <w:tcW w:type="dxa" w:w="4320"/>
          </w:tcPr>
          <w:p>
            <w:r/>
            <w:r>
              <w:rPr>
                <w:b/>
              </w:rPr>
              <w:t>Selected Option – Ndeiya ground‑mount utility‑scale solar</w:t>
            </w:r>
            <w:r/>
          </w:p>
        </w:tc>
        <w:tc>
          <w:tcPr>
            <w:tcW w:type="dxa" w:w="4320"/>
          </w:tcPr>
          <w:p>
            <w:r>
              <w:t>Strong solar irradiance; proximity to existing 132 kV transmission line; aligns with national renewable energy targets.</w:t>
            </w:r>
          </w:p>
        </w:tc>
      </w:tr>
    </w:tbl>
    <w:p>
      <w:r>
        <w:t>---</w:t>
      </w:r>
    </w:p>
    <w:p>
      <w:r>
        <w:t>## Conclusions &amp; Recommendations</w:t>
      </w:r>
    </w:p>
    <w:p>
      <w:pPr>
        <w:pStyle w:val="ListNumber"/>
      </w:pPr>
      <w:r/>
      <w:r>
        <w:rPr>
          <w:b/>
        </w:rPr>
        <w:t>Project Viability:</w:t>
      </w:r>
      <w:r>
        <w:t xml:space="preserve"> The Ndeiya Solar Power Plant meets Kenya’s renewable energy objectives and presents manageable environmental and social impacts, provided that the identified mitigation measures are fully implemented and monitored through the ESMP.</w:t>
      </w:r>
    </w:p>
    <w:p>
      <w:pPr>
        <w:pStyle w:val="ListNumber"/>
      </w:pPr>
      <w:r/>
      <w:r>
        <w:rPr>
          <w:b/>
        </w:rPr>
        <w:t>Critical Issues to Resolve Before NEMA Approval:</w:t>
      </w:r>
      <w:r/>
    </w:p>
    <w:p>
      <w:pPr>
        <w:pStyle w:val="ListBullet"/>
      </w:pPr>
      <w:r/>
      <w:r>
        <w:rPr>
          <w:b/>
        </w:rPr>
        <w:t>Site‑Footprint Contradiction:</w:t>
      </w:r>
      <w:r>
        <w:t xml:space="preserve"> The panel array footprint (52 ha) exceeds the declared site area (38.6 ha). The proponent must revise the design, provide a corrected layout, or secure additional land to resolve this fatal inconsistency.</w:t>
      </w:r>
    </w:p>
    <w:p>
      <w:pPr>
        <w:pStyle w:val="ListBullet"/>
      </w:pPr>
      <w:r/>
      <w:r>
        <w:rPr>
          <w:b/>
        </w:rPr>
        <w:t>Missing Technical Data:</w:t>
      </w:r>
      <w:r>
        <w:t xml:space="preserve"> Provide definitive values for generator size, PSTP capacity, and anticipated daily traffic volumes. These are required for a complete impact assessment.</w:t>
      </w:r>
    </w:p>
    <w:p>
      <w:pPr>
        <w:pStyle w:val="ListBullet"/>
      </w:pPr>
      <w:r/>
      <w:r>
        <w:rPr>
          <w:b/>
        </w:rPr>
        <w:t>Water Abstraction Details:</w:t>
      </w:r>
      <w:r>
        <w:t xml:space="preserve"> Quantify expected water use and submit a water‑use licence application in accordance with the </w:t>
      </w:r>
      <w:r>
        <w:rPr>
          <w:b/>
        </w:rPr>
        <w:t>Water Act 2016</w:t>
      </w:r>
      <w:r>
        <w:t>.</w:t>
      </w:r>
    </w:p>
    <w:p>
      <w:pPr>
        <w:pStyle w:val="ListNumber"/>
      </w:pPr>
      <w:r/>
      <w:r>
        <w:rPr>
          <w:b/>
        </w:rPr>
        <w:t>Next Steps:</w:t>
      </w:r>
      <w:r/>
    </w:p>
    <w:p>
      <w:pPr>
        <w:pStyle w:val="ListBullet"/>
      </w:pPr>
      <w:r>
        <w:t>Proponent to submit revised site layout and missing technical specifications.</w:t>
      </w:r>
    </w:p>
    <w:p>
      <w:pPr>
        <w:pStyle w:val="ListBullet"/>
      </w:pPr>
      <w:r>
        <w:t>NEMA to request a detailed water abstraction plan and traffic management plan.</w:t>
      </w:r>
    </w:p>
    <w:p>
      <w:pPr>
        <w:pStyle w:val="ListBullet"/>
      </w:pPr>
      <w:r>
        <w:t xml:space="preserve">Upon satisfactory resolution, the ESIA can proceed to the licensing stage under the </w:t>
      </w:r>
      <w:r>
        <w:rPr>
          <w:b/>
        </w:rPr>
        <w:t>World Bank Environmental and Social Framework (ESF)</w:t>
      </w:r>
      <w:r>
        <w:t xml:space="preserve"> and relevant Kenyan statutes.</w:t>
      </w:r>
    </w:p>
    <w:p>
      <w:r/>
      <w:r>
        <w:rPr>
          <w:i/>
        </w:rPr>
        <w:t>Prepared for pre‑approval consideration; no EIA licence or NEMA approval has been granted at this stage.</w:t>
      </w:r>
      <w:r/>
    </w:p>
    <w:p>
      <w:r>
        <w:br w:type="page"/>
      </w:r>
    </w:p>
    <w:p>
      <w:pPr>
        <w:pStyle w:val="Heading1"/>
      </w:pPr>
      <w:r>
        <w:t>Chapter 1: Introduction</w:t>
      </w:r>
    </w:p>
    <w:p>
      <w:r>
        <w:t>## 1.1 Project Overview</w:t>
      </w:r>
    </w:p>
    <w:p>
      <w:pPr>
        <w:pStyle w:val="ListBullet"/>
      </w:pPr>
      <w:r/>
      <w:r>
        <w:rPr>
          <w:b/>
        </w:rPr>
        <w:t>Project Name:</w:t>
      </w:r>
      <w:r>
        <w:t xml:space="preserve"> Ndeiya Solar Power Plant</w:t>
      </w:r>
    </w:p>
    <w:p>
      <w:pPr>
        <w:pStyle w:val="ListBullet"/>
      </w:pPr>
      <w:r/>
      <w:r>
        <w:rPr>
          <w:b/>
        </w:rPr>
        <w:t>Proponent:</w:t>
      </w:r>
      <w:r>
        <w:t xml:space="preserve"> Sunbelt Energy Kenya Ltd. (PIN: P061738204M)</w:t>
      </w:r>
    </w:p>
    <w:p>
      <w:pPr>
        <w:pStyle w:val="ListBullet"/>
      </w:pPr>
      <w:r/>
      <w:r>
        <w:rPr>
          <w:b/>
        </w:rPr>
        <w:t>Lead Expert:</w:t>
      </w:r>
      <w:r>
        <w:t xml:space="preserve"> George Kamau (EIA/EA/1234)</w:t>
      </w:r>
    </w:p>
    <w:p>
      <w:pPr>
        <w:pStyle w:val="ListBullet"/>
      </w:pPr>
      <w:r/>
      <w:r>
        <w:rPr>
          <w:b/>
        </w:rPr>
        <w:t>Category:</w:t>
      </w:r>
      <w:r>
        <w:t xml:space="preserve"> Energy – Solar Power Generation (High Risk – Second Schedule)</w:t>
      </w:r>
    </w:p>
    <w:p>
      <w:pPr>
        <w:pStyle w:val="ListBullet"/>
      </w:pPr>
      <w:r/>
      <w:r>
        <w:rPr>
          <w:b/>
        </w:rPr>
        <w:t>Location:</w:t>
      </w:r>
      <w:r>
        <w:t xml:space="preserve"> Ndeiya Ward, Limuru, Kiambu County (Latitude ‑1.0291, Longitude 36.6847) – Plot LR No. 9902/14 (leasehold, 25‑year land lease)</w:t>
      </w:r>
    </w:p>
    <w:p>
      <w:pPr>
        <w:pStyle w:val="ListBullet"/>
      </w:pPr>
      <w:r/>
      <w:r>
        <w:rPr>
          <w:b/>
        </w:rPr>
        <w:t>Site Area:</w:t>
      </w:r>
      <w:r>
        <w:t xml:space="preserve"> 38.6 ha</w:t>
      </w:r>
    </w:p>
    <w:p>
      <w:pPr>
        <w:pStyle w:val="ListBullet"/>
      </w:pPr>
      <w:r/>
      <w:r>
        <w:rPr>
          <w:b/>
        </w:rPr>
        <w:t>Plant Capacity:</w:t>
      </w:r>
      <w:r>
        <w:t xml:space="preserve"> 45 MW (3 × 15 MW phases, commissioned sequentially)</w:t>
      </w:r>
    </w:p>
    <w:p>
      <w:pPr>
        <w:pStyle w:val="ListBullet"/>
      </w:pPr>
      <w:r/>
      <w:r>
        <w:rPr>
          <w:b/>
        </w:rPr>
        <w:t>Estimated Cost:</w:t>
      </w:r>
      <w:r>
        <w:t xml:space="preserve"> KES 2,940,000,000</w:t>
      </w:r>
    </w:p>
    <w:p>
      <w:pPr>
        <w:pStyle w:val="ListBullet"/>
      </w:pPr>
      <w:r/>
      <w:r>
        <w:rPr>
          <w:b/>
        </w:rPr>
        <w:t>Implementation Schedule:</w:t>
      </w:r>
      <w:r>
        <w:t xml:space="preserve"> Construction start 2027‑06‑01; 11 months construction; 25‑year operational lifespan</w:t>
      </w:r>
    </w:p>
    <w:p>
      <w:pPr>
        <w:pStyle w:val="ListBullet"/>
      </w:pPr>
      <w:r/>
      <w:r>
        <w:rPr>
          <w:b/>
        </w:rPr>
        <w:t>Proponent Contact:</w:t>
      </w:r>
      <w:r>
        <w:t xml:space="preserve"> Sunbelt House, Riverside Drive, Nairobi – Tel +254 706 554 812 – Email development@sunbeltenergy.co.ke</w:t>
      </w:r>
    </w:p>
    <w:p>
      <w:r>
        <w:t>## 1.2 Engineering Description</w:t>
      </w:r>
    </w:p>
    <w:p>
      <w:r>
        <w:t>The plant will be a ground‑mount utility‑scale solar PV facility comprising three identical 15 MW phases. Each phase will consist of photovoltaic (PV) modules, inverters, transformers, and associated balance‑of‑system (BOS) infrastructure. The design incorporates: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Specification</w:t>
            </w:r>
          </w:p>
        </w:tc>
      </w:tr>
      <w:tr>
        <w:tc>
          <w:tcPr>
            <w:tcW w:type="dxa" w:w="4320"/>
          </w:tcPr>
          <w:p>
            <w:r/>
            <w:r>
              <w:rPr>
                <w:b/>
              </w:rPr>
              <w:t>Panel Array Footprint</w:t>
            </w:r>
            <w:r/>
          </w:p>
        </w:tc>
        <w:tc>
          <w:tcPr>
            <w:tcW w:type="dxa" w:w="4320"/>
          </w:tcPr>
          <w:p>
            <w:r/>
            <w:r>
              <w:rPr>
                <w:b/>
              </w:rPr>
              <w:t>52 ha</w:t>
            </w:r>
            <w:r/>
          </w:p>
        </w:tc>
      </w:tr>
      <w:tr>
        <w:tc>
          <w:tcPr>
            <w:tcW w:type="dxa" w:w="4320"/>
          </w:tcPr>
          <w:p>
            <w:r/>
            <w:r>
              <w:rPr>
                <w:b/>
              </w:rPr>
              <w:t>Site Area</w:t>
            </w:r>
            <w:r/>
          </w:p>
        </w:tc>
        <w:tc>
          <w:tcPr>
            <w:tcW w:type="dxa" w:w="4320"/>
          </w:tcPr>
          <w:p>
            <w:r/>
            <w:r>
              <w:rPr>
                <w:b/>
              </w:rPr>
              <w:t>38.6 ha</w:t>
            </w:r>
            <w:r/>
          </w:p>
        </w:tc>
      </w:tr>
      <w:tr>
        <w:tc>
          <w:tcPr>
            <w:tcW w:type="dxa" w:w="4320"/>
          </w:tcPr>
          <w:p>
            <w:r/>
            <w:r>
              <w:rPr>
                <w:b/>
              </w:rPr>
              <w:t>Direct Operations Employment</w:t>
            </w:r>
            <w:r/>
          </w:p>
        </w:tc>
        <w:tc>
          <w:tcPr>
            <w:tcW w:type="dxa" w:w="4320"/>
          </w:tcPr>
          <w:p>
            <w:r>
              <w:t>18 permanent staff (plant is largely automated)</w:t>
            </w:r>
          </w:p>
        </w:tc>
      </w:tr>
      <w:tr>
        <w:tc>
          <w:tcPr>
            <w:tcW w:type="dxa" w:w="4320"/>
          </w:tcPr>
          <w:p>
            <w:r/>
            <w:r>
              <w:rPr>
                <w:b/>
              </w:rPr>
              <w:t>Transmission Connection</w:t>
            </w:r>
            <w:r/>
          </w:p>
        </w:tc>
        <w:tc>
          <w:tcPr>
            <w:tcW w:type="dxa" w:w="4320"/>
          </w:tcPr>
          <w:p>
            <w:r>
              <w:t>Proximity to existing 132 kV line for grid export</w:t>
            </w:r>
          </w:p>
        </w:tc>
      </w:tr>
    </w:tbl>
    <w:p>
      <w:r/>
      <w:r>
        <w:rPr>
          <w:b/>
        </w:rPr>
        <w:t>[CONTRADICTION: Panel array footprint (52 ha) exceeds site area (38.6 ha)]</w:t>
      </w:r>
      <w:r>
        <w:t xml:space="preserve"> – The proposed layout requires clarification from the proponent to resolve the spatial inconsistency before further assessment.</w:t>
      </w:r>
    </w:p>
    <w:p>
      <w:r>
        <w:t>## 1.3 Baseline Environmental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Baseline Value</w:t>
            </w:r>
          </w:p>
        </w:tc>
        <w:tc>
          <w:tcPr>
            <w:tcW w:type="dxa" w:w="2160"/>
          </w:tcPr>
          <w:p>
            <w:r>
              <w:rPr>
                <w:b/>
              </w:rPr>
              <w:t>Reference Guideline</w:t>
            </w:r>
          </w:p>
        </w:tc>
        <w:tc>
          <w:tcPr>
            <w:tcW w:type="dxa" w:w="2160"/>
          </w:tcPr>
          <w:p>
            <w:r>
              <w:rPr>
                <w:b/>
              </w:rPr>
              <w:t>Compliance</w:t>
            </w:r>
          </w:p>
        </w:tc>
      </w:tr>
      <w:tr>
        <w:tc>
          <w:tcPr>
            <w:tcW w:type="dxa" w:w="2160"/>
          </w:tcPr>
          <w:p>
            <w:r/>
            <w:r>
              <w:rPr>
                <w:b/>
              </w:rPr>
              <w:t>Air Quality – PM2.5</w:t>
            </w:r>
            <w:r/>
          </w:p>
        </w:tc>
        <w:tc>
          <w:tcPr>
            <w:tcW w:type="dxa" w:w="2160"/>
          </w:tcPr>
          <w:p>
            <w:r>
              <w:t>11 µg m⁻³</w:t>
            </w:r>
          </w:p>
        </w:tc>
        <w:tc>
          <w:tcPr>
            <w:tcW w:type="dxa" w:w="2160"/>
          </w:tcPr>
          <w:p>
            <w:r>
              <w:t>WHO 24‑hr guideline 15 µg m⁻³</w:t>
            </w:r>
          </w:p>
        </w:tc>
        <w:tc>
          <w:tcPr>
            <w:tcW w:type="dxa" w:w="2160"/>
          </w:tcPr>
          <w:p>
            <w:r/>
            <w:r>
              <w:rPr>
                <w:b/>
              </w:rPr>
              <w:t>Within</w:t>
            </w:r>
            <w:r>
              <w:t xml:space="preserve"> guideline</w:t>
            </w:r>
          </w:p>
        </w:tc>
      </w:tr>
      <w:tr>
        <w:tc>
          <w:tcPr>
            <w:tcW w:type="dxa" w:w="2160"/>
          </w:tcPr>
          <w:p>
            <w:r/>
            <w:r>
              <w:rPr>
                <w:b/>
              </w:rPr>
              <w:t>Air Quality – PM10</w:t>
            </w:r>
            <w:r/>
          </w:p>
        </w:tc>
        <w:tc>
          <w:tcPr>
            <w:tcW w:type="dxa" w:w="2160"/>
          </w:tcPr>
          <w:p>
            <w:r>
              <w:t>24 µg m⁻³</w:t>
            </w:r>
          </w:p>
        </w:tc>
        <w:tc>
          <w:tcPr>
            <w:tcW w:type="dxa" w:w="2160"/>
          </w:tcPr>
          <w:p>
            <w:r>
              <w:t>NEMA (Kenya) limit 75 µg m⁻³</w:t>
            </w:r>
          </w:p>
        </w:tc>
        <w:tc>
          <w:tcPr>
            <w:tcW w:type="dxa" w:w="2160"/>
          </w:tcPr>
          <w:p>
            <w:r/>
            <w:r>
              <w:rPr>
                <w:b/>
              </w:rPr>
              <w:t>Within</w:t>
            </w:r>
            <w:r>
              <w:t xml:space="preserve"> guideline</w:t>
            </w:r>
          </w:p>
        </w:tc>
      </w:tr>
      <w:tr>
        <w:tc>
          <w:tcPr>
            <w:tcW w:type="dxa" w:w="2160"/>
          </w:tcPr>
          <w:p>
            <w:r/>
            <w:r>
              <w:rPr>
                <w:b/>
              </w:rPr>
              <w:t>Noise Level</w:t>
            </w:r>
            <w:r/>
          </w:p>
        </w:tc>
        <w:tc>
          <w:tcPr>
            <w:tcW w:type="dxa" w:w="2160"/>
          </w:tcPr>
          <w:p>
            <w:r>
              <w:t>41 dBA</w:t>
            </w:r>
          </w:p>
        </w:tc>
        <w:tc>
          <w:tcPr>
            <w:tcW w:type="dxa" w:w="2160"/>
          </w:tcPr>
          <w:p>
            <w:r>
              <w:t>Kenya Occupational Safety &amp; Health (OSHA) limit for residential areas 55 dBA (day)</w:t>
            </w:r>
          </w:p>
        </w:tc>
        <w:tc>
          <w:tcPr>
            <w:tcW w:type="dxa" w:w="2160"/>
          </w:tcPr>
          <w:p>
            <w:r/>
            <w:r>
              <w:rPr>
                <w:b/>
              </w:rPr>
              <w:t>Within</w:t>
            </w:r>
            <w:r>
              <w:t xml:space="preserve"> limit</w:t>
            </w:r>
          </w:p>
        </w:tc>
      </w:tr>
      <w:tr>
        <w:tc>
          <w:tcPr>
            <w:tcW w:type="dxa" w:w="2160"/>
          </w:tcPr>
          <w:p>
            <w:r/>
            <w:r>
              <w:rPr>
                <w:b/>
              </w:rPr>
              <w:t>Existing Land Use</w:t>
            </w:r>
            <w:r/>
          </w:p>
        </w:tc>
        <w:tc>
          <w:tcPr>
            <w:tcW w:type="dxa" w:w="2160"/>
          </w:tcPr>
          <w:p>
            <w:r>
              <w:t>Grazing land / open grassland</w:t>
            </w:r>
          </w:p>
        </w:tc>
        <w:tc>
          <w:tcPr>
            <w:tcW w:type="dxa" w:w="2160"/>
          </w:tcPr>
          <w:p>
            <w:r>
              <w:t>–</w:t>
            </w:r>
          </w:p>
        </w:tc>
        <w:tc>
          <w:tcPr>
            <w:tcW w:type="dxa" w:w="2160"/>
          </w:tcPr>
          <w:p>
            <w:r>
              <w:t>–</w:t>
            </w:r>
          </w:p>
        </w:tc>
      </w:tr>
      <w:tr>
        <w:tc>
          <w:tcPr>
            <w:tcW w:type="dxa" w:w="2160"/>
          </w:tcPr>
          <w:p>
            <w:r/>
            <w:r>
              <w:rPr>
                <w:b/>
              </w:rPr>
              <w:t>Groundwater Depth</w:t>
            </w:r>
            <w:r/>
          </w:p>
        </w:tc>
        <w:tc>
          <w:tcPr>
            <w:tcW w:type="dxa" w:w="2160"/>
          </w:tcPr>
          <w:p>
            <w:r>
              <w:t>58 m</w:t>
            </w:r>
          </w:p>
        </w:tc>
        <w:tc>
          <w:tcPr>
            <w:tcW w:type="dxa" w:w="2160"/>
          </w:tcPr>
          <w:p>
            <w:r>
              <w:t>–</w:t>
            </w:r>
          </w:p>
        </w:tc>
        <w:tc>
          <w:tcPr>
            <w:tcW w:type="dxa" w:w="2160"/>
          </w:tcPr>
          <w:p>
            <w:r>
              <w:t>–</w:t>
            </w:r>
          </w:p>
        </w:tc>
      </w:tr>
      <w:tr>
        <w:tc>
          <w:tcPr>
            <w:tcW w:type="dxa" w:w="2160"/>
          </w:tcPr>
          <w:p>
            <w:r/>
            <w:r>
              <w:rPr>
                <w:b/>
              </w:rPr>
              <w:t>Measurement Date</w:t>
            </w:r>
            <w:r/>
          </w:p>
        </w:tc>
        <w:tc>
          <w:tcPr>
            <w:tcW w:type="dxa" w:w="2160"/>
          </w:tcPr>
          <w:p>
            <w:r>
              <w:t>2026‑03‑22 (Highland Ecological Surveys Ltd.)</w:t>
            </w:r>
          </w:p>
        </w:tc>
        <w:tc>
          <w:tcPr>
            <w:tcW w:type="dxa" w:w="2160"/>
          </w:tcPr>
          <w:p>
            <w:r>
              <w:t>–</w:t>
            </w:r>
          </w:p>
        </w:tc>
        <w:tc>
          <w:tcPr>
            <w:tcW w:type="dxa" w:w="2160"/>
          </w:tcPr>
          <w:p>
            <w:r>
              <w:t>–</w:t>
            </w:r>
          </w:p>
        </w:tc>
      </w:tr>
    </w:tbl>
    <w:p>
      <w:r>
        <w:t>## 1.4 Sensitive Receptors (≤ 1 km)</w:t>
      </w:r>
    </w:p>
    <w:p>
      <w:pPr>
        <w:pStyle w:val="ListBullet"/>
      </w:pPr>
      <w:r/>
      <w:r>
        <w:rPr>
          <w:b/>
        </w:rPr>
        <w:t>Ndeiya Primary School</w:t>
      </w:r>
      <w:r>
        <w:t xml:space="preserve"> – 620 m East</w:t>
      </w:r>
    </w:p>
    <w:p>
      <w:pPr>
        <w:pStyle w:val="ListBullet"/>
      </w:pPr>
      <w:r/>
      <w:r>
        <w:rPr>
          <w:b/>
        </w:rPr>
        <w:t>Ndeiya PCEA Church</w:t>
      </w:r>
      <w:r>
        <w:t xml:space="preserve"> – 780 m Southeast</w:t>
      </w:r>
    </w:p>
    <w:p>
      <w:pPr>
        <w:pStyle w:val="ListBullet"/>
      </w:pPr>
      <w:r/>
      <w:r>
        <w:rPr>
          <w:b/>
        </w:rPr>
        <w:t>Ewaso Kedong Seasonal Stream</w:t>
      </w:r>
      <w:r>
        <w:t xml:space="preserve"> – 410 m South (hydrological feature)</w:t>
      </w:r>
    </w:p>
    <w:p>
      <w:pPr>
        <w:pStyle w:val="ListBullet"/>
      </w:pPr>
      <w:r/>
      <w:r>
        <w:rPr>
          <w:b/>
        </w:rPr>
        <w:t>Ndeiya Community Borehole</w:t>
      </w:r>
      <w:r>
        <w:t xml:space="preserve"> – 550 m North (drinking water source)</w:t>
      </w:r>
    </w:p>
    <w:p>
      <w:pPr>
        <w:pStyle w:val="ListBullet"/>
      </w:pPr>
      <w:r/>
      <w:r>
        <w:rPr>
          <w:b/>
        </w:rPr>
        <w:t>Scattered Homesteads</w:t>
      </w:r>
      <w:r>
        <w:t xml:space="preserve"> – as close as 200 m West</w:t>
      </w:r>
    </w:p>
    <w:p>
      <w:r>
        <w:t>## 1.5 Stakeholder Engagement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Date</w:t>
            </w:r>
          </w:p>
        </w:tc>
        <w:tc>
          <w:tcPr>
            <w:tcW w:type="dxa" w:w="2880"/>
          </w:tcPr>
          <w:p>
            <w:r>
              <w:rPr>
                <w:b/>
              </w:rPr>
              <w:t>Details</w:t>
            </w:r>
          </w:p>
        </w:tc>
      </w:tr>
      <w:tr>
        <w:tc>
          <w:tcPr>
            <w:tcW w:type="dxa" w:w="2880"/>
          </w:tcPr>
          <w:p>
            <w:r/>
            <w:r>
              <w:rPr>
                <w:b/>
              </w:rPr>
              <w:t>Public Notice (Print Media)</w:t>
            </w:r>
            <w:r/>
          </w:p>
        </w:tc>
        <w:tc>
          <w:tcPr>
            <w:tcW w:type="dxa" w:w="2880"/>
          </w:tcPr>
          <w:p>
            <w:r>
              <w:t>2026‑07‑14</w:t>
            </w:r>
          </w:p>
        </w:tc>
        <w:tc>
          <w:tcPr>
            <w:tcW w:type="dxa" w:w="2880"/>
          </w:tcPr>
          <w:p>
            <w:r>
              <w:t xml:space="preserve">Published in </w:t>
            </w:r>
            <w:r>
              <w:rPr>
                <w:i/>
              </w:rPr>
              <w:t>The Standard</w:t>
            </w:r>
            <w:r>
              <w:t xml:space="preserve"> with a 21‑day notice period</w:t>
            </w:r>
          </w:p>
        </w:tc>
      </w:tr>
      <w:tr>
        <w:tc>
          <w:tcPr>
            <w:tcW w:type="dxa" w:w="2880"/>
          </w:tcPr>
          <w:p>
            <w:r/>
            <w:r>
              <w:rPr>
                <w:b/>
              </w:rPr>
              <w:t>Baraza (Community Consultation)</w:t>
            </w:r>
            <w:r/>
          </w:p>
        </w:tc>
        <w:tc>
          <w:tcPr>
            <w:tcW w:type="dxa" w:w="2880"/>
          </w:tcPr>
          <w:p>
            <w:r>
              <w:t>2026‑08‑06</w:t>
            </w:r>
          </w:p>
        </w:tc>
        <w:tc>
          <w:tcPr>
            <w:tcW w:type="dxa" w:w="2880"/>
          </w:tcPr>
          <w:p>
            <w:r>
              <w:t>Held at Ndeiya Chief’s Camp; 94 attendees</w:t>
            </w:r>
          </w:p>
        </w:tc>
      </w:tr>
      <w:tr>
        <w:tc>
          <w:tcPr>
            <w:tcW w:type="dxa" w:w="2880"/>
          </w:tcPr>
          <w:p>
            <w:r/>
            <w:r>
              <w:rPr>
                <w:b/>
              </w:rPr>
              <w:t>Vulnerable Groups Identified</w:t>
            </w:r>
            <w:r/>
          </w:p>
        </w:tc>
        <w:tc>
          <w:tcPr>
            <w:tcW w:type="dxa" w:w="2880"/>
          </w:tcPr>
          <w:p>
            <w:r>
              <w:t>–</w:t>
            </w:r>
          </w:p>
        </w:tc>
        <w:tc>
          <w:tcPr>
            <w:tcW w:type="dxa" w:w="2880"/>
          </w:tcPr>
          <w:p>
            <w:r>
              <w:t>Grazing‑rights holders on adjacent unfenced land (distinct affected group)</w:t>
            </w:r>
          </w:p>
        </w:tc>
      </w:tr>
      <w:tr>
        <w:tc>
          <w:tcPr>
            <w:tcW w:type="dxa" w:w="2880"/>
          </w:tcPr>
          <w:p>
            <w:r/>
            <w:r>
              <w:rPr>
                <w:b/>
              </w:rPr>
              <w:t>Grievance Redress Mechanism (GRM)</w:t>
            </w:r>
            <w:r/>
          </w:p>
        </w:tc>
        <w:tc>
          <w:tcPr>
            <w:tcW w:type="dxa" w:w="2880"/>
          </w:tcPr>
          <w:p>
            <w:r>
              <w:t>–</w:t>
            </w:r>
          </w:p>
        </w:tc>
        <w:tc>
          <w:tcPr>
            <w:tcW w:type="dxa" w:w="2880"/>
          </w:tcPr>
          <w:p>
            <w:r>
              <w:t>GRM Committee formed / proposed</w:t>
            </w:r>
          </w:p>
        </w:tc>
      </w:tr>
    </w:tbl>
    <w:p>
      <w:r>
        <w:t>The baraza provided a platform for the community to raise concerns, which were documented and are addressed in the mitigation matrix (see Chapter 4).</w:t>
      </w:r>
    </w:p>
    <w:p>
      <w:r>
        <w:t>## 1.6 Key Project Concerns and Proposed Mitigations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Concern</w:t>
            </w:r>
          </w:p>
        </w:tc>
        <w:tc>
          <w:tcPr>
            <w:tcW w:type="dxa" w:w="2160"/>
          </w:tcPr>
          <w:p>
            <w:r>
              <w:rPr>
                <w:b/>
              </w:rPr>
              <w:t>Proposed Mitigation</w:t>
            </w:r>
          </w:p>
        </w:tc>
        <w:tc>
          <w:tcPr>
            <w:tcW w:type="dxa" w:w="2160"/>
          </w:tcPr>
          <w:p>
            <w:r>
              <w:rPr>
                <w:b/>
              </w:rPr>
              <w:t>Responsible Party</w:t>
            </w:r>
          </w:p>
        </w:tc>
        <w:tc>
          <w:tcPr>
            <w:tcW w:type="dxa" w:w="2160"/>
          </w:tcPr>
          <w:p>
            <w:r>
              <w:rPr>
                <w:b/>
              </w:rPr>
              <w:t>Cost (KES)</w:t>
            </w:r>
          </w:p>
        </w:tc>
      </w:tr>
      <w:tr>
        <w:tc>
          <w:tcPr>
            <w:tcW w:type="dxa" w:w="2160"/>
          </w:tcPr>
          <w:p>
            <w:r>
              <w:t>Loss of grazing land access</w:t>
            </w:r>
          </w:p>
        </w:tc>
        <w:tc>
          <w:tcPr>
            <w:tcW w:type="dxa" w:w="2160"/>
          </w:tcPr>
          <w:p>
            <w:r>
              <w:t>Perimeter fencing set back to preserve an access corridor; compensation to grazing‑rights holders at Valuer‑General rates</w:t>
            </w:r>
          </w:p>
        </w:tc>
        <w:tc>
          <w:tcPr>
            <w:tcW w:type="dxa" w:w="2160"/>
          </w:tcPr>
          <w:p>
            <w:r>
              <w:t>Project Management</w:t>
            </w:r>
          </w:p>
        </w:tc>
        <w:tc>
          <w:tcPr>
            <w:tcW w:type="dxa" w:w="2160"/>
          </w:tcPr>
          <w:p>
            <w:r/>
            <w:r>
              <w:rPr>
                <w:b/>
              </w:rPr>
              <w:t>[MISSING: COMPENSATION ESTIMATE]</w:t>
            </w:r>
            <w:r/>
          </w:p>
        </w:tc>
      </w:tr>
      <w:tr>
        <w:tc>
          <w:tcPr>
            <w:tcW w:type="dxa" w:w="2160"/>
          </w:tcPr>
          <w:p>
            <w:r>
              <w:t>Local employment expectations</w:t>
            </w:r>
          </w:p>
        </w:tc>
        <w:tc>
          <w:tcPr>
            <w:tcW w:type="dxa" w:w="2160"/>
          </w:tcPr>
          <w:p>
            <w:r>
              <w:t>Clarified that the plant will employ ~18 permanent operations staff; community informed at baraza</w:t>
            </w:r>
          </w:p>
        </w:tc>
        <w:tc>
          <w:tcPr>
            <w:tcW w:type="dxa" w:w="2160"/>
          </w:tcPr>
          <w:p>
            <w:r>
              <w:t>HR &amp; Community Liaison</w:t>
            </w:r>
          </w:p>
        </w:tc>
        <w:tc>
          <w:tcPr>
            <w:tcW w:type="dxa" w:w="2160"/>
          </w:tcPr>
          <w:p>
            <w:r>
              <w:t>–</w:t>
            </w:r>
          </w:p>
        </w:tc>
      </w:tr>
      <w:tr>
        <w:tc>
          <w:tcPr>
            <w:tcW w:type="dxa" w:w="2160"/>
          </w:tcPr>
          <w:p>
            <w:r>
              <w:t>Glare affecting nearby homesteads</w:t>
            </w:r>
          </w:p>
        </w:tc>
        <w:tc>
          <w:tcPr>
            <w:tcW w:type="dxa" w:w="2160"/>
          </w:tcPr>
          <w:p>
            <w:r>
              <w:t>Anti‑reflective panel coating; homestead‑facing rows angled to minimise glare azimuth</w:t>
            </w:r>
          </w:p>
        </w:tc>
        <w:tc>
          <w:tcPr>
            <w:tcW w:type="dxa" w:w="2160"/>
          </w:tcPr>
          <w:p>
            <w:r>
              <w:t>Engineering Team (One‑time design)</w:t>
            </w:r>
          </w:p>
        </w:tc>
        <w:tc>
          <w:tcPr>
            <w:tcW w:type="dxa" w:w="2160"/>
          </w:tcPr>
          <w:p>
            <w:r>
              <w:t>1,200,000</w:t>
            </w:r>
          </w:p>
        </w:tc>
      </w:tr>
      <w:tr>
        <w:tc>
          <w:tcPr>
            <w:tcW w:type="dxa" w:w="2160"/>
          </w:tcPr>
          <w:p>
            <w:r>
              <w:t>Avian collision/displacement risk</w:t>
            </w:r>
          </w:p>
        </w:tc>
        <w:tc>
          <w:tcPr>
            <w:tcW w:type="dxa" w:w="2160"/>
          </w:tcPr>
          <w:p>
            <w:r>
              <w:t>Perimeter netting review; seasonal bird monitoring (quarterly)</w:t>
            </w:r>
          </w:p>
        </w:tc>
        <w:tc>
          <w:tcPr>
            <w:tcW w:type="dxa" w:w="2160"/>
          </w:tcPr>
          <w:p>
            <w:r>
              <w:t>Environmental Officer</w:t>
            </w:r>
          </w:p>
        </w:tc>
        <w:tc>
          <w:tcPr>
            <w:tcW w:type="dxa" w:w="2160"/>
          </w:tcPr>
          <w:p>
            <w:r>
              <w:t>480,000</w:t>
            </w:r>
          </w:p>
        </w:tc>
      </w:tr>
    </w:tbl>
    <w:p>
      <w:r>
        <w:t>## 1.7 Alternatives Considered</w:t>
      </w:r>
    </w:p>
    <w:p>
      <w:pPr>
        <w:pStyle w:val="ListNumber"/>
      </w:pPr>
      <w:r/>
      <w:r>
        <w:rPr>
          <w:b/>
        </w:rPr>
        <w:t>Rooftop / Distributed Solar (Nairobi commercial buildings)</w:t>
      </w:r>
      <w:r>
        <w:t xml:space="preserve"> – Rejected due to insufficient aggregate capacity to meet the grid‑supply contract.</w:t>
      </w:r>
    </w:p>
    <w:p>
      <w:pPr>
        <w:pStyle w:val="ListNumber"/>
      </w:pPr>
      <w:r/>
      <w:r>
        <w:rPr>
          <w:b/>
        </w:rPr>
        <w:t>Wind Power at the Same Site</w:t>
      </w:r>
      <w:r>
        <w:t xml:space="preserve"> – Rejected after wind resource assessment indicated average wind speeds below viable thresholds.</w:t>
      </w:r>
    </w:p>
    <w:p>
      <w:pPr>
        <w:pStyle w:val="ListNumber"/>
      </w:pPr>
      <w:r/>
      <w:r>
        <w:rPr>
          <w:b/>
        </w:rPr>
        <w:t>Selected Alternative – Utility‑Scale Ground‑Mount Solar at Ndeiya</w:t>
      </w:r>
      <w:r>
        <w:t xml:space="preserve"> – Chosen for strong solar irradiance, existing 132 kV transmission line proximity, and alignment with Kenya’s renewable energy targets.</w:t>
      </w:r>
    </w:p>
    <w:p>
      <w:r>
        <w:t>## 1.8 Legal and Institutional Framework</w:t>
      </w:r>
    </w:p>
    <w:p>
      <w:r>
        <w:t>The project will be assessed in accordance with the following Kenyan statutes and international guidelines:</w:t>
      </w:r>
    </w:p>
    <w:p>
      <w:pPr>
        <w:pStyle w:val="ListBullet"/>
      </w:pPr>
      <w:r/>
      <w:r>
        <w:rPr>
          <w:b/>
        </w:rPr>
        <w:t>Environmental Management and Coordination Act (EMCA) 1999</w:t>
      </w:r>
      <w:r>
        <w:t xml:space="preserve"> – Sections pertaining to high‑risk projects (Second Schedule).</w:t>
      </w:r>
    </w:p>
    <w:p>
      <w:pPr>
        <w:pStyle w:val="ListBullet"/>
      </w:pPr>
      <w:r/>
      <w:r>
        <w:rPr>
          <w:b/>
        </w:rPr>
        <w:t>Water Act 2016</w:t>
      </w:r>
      <w:r>
        <w:t xml:space="preserve"> – Governs abstraction and protection of the Ewaso Kedong seasonal stream and the community borehole.</w:t>
      </w:r>
    </w:p>
    <w:p>
      <w:pPr>
        <w:pStyle w:val="ListBullet"/>
      </w:pPr>
      <w:r/>
      <w:r>
        <w:rPr>
          <w:b/>
        </w:rPr>
        <w:t>National Environment Management Authority (NEMA) Guidelines</w:t>
      </w:r>
      <w:r>
        <w:t xml:space="preserve"> – Air quality, noise, and biodiversity standards.</w:t>
      </w:r>
    </w:p>
    <w:p>
      <w:pPr>
        <w:pStyle w:val="ListBullet"/>
      </w:pPr>
      <w:r/>
      <w:r>
        <w:rPr>
          <w:b/>
        </w:rPr>
        <w:t>World Bank Environmental and Social Framework (ESF)</w:t>
      </w:r>
      <w:r>
        <w:t xml:space="preserve"> – Provides reference for mitigation of biodiversity impacts and community engagement.</w:t>
      </w:r>
    </w:p>
    <w:p>
      <w:r>
        <w:t xml:space="preserve">All baseline data, specialist surveys (soil/geotechnical, avian biodiversity, hydrology), and stakeholder inputs will be integrated into the </w:t>
      </w:r>
      <w:r>
        <w:rPr>
          <w:b/>
        </w:rPr>
        <w:t>Environmental and Social Management Plan (ESMP)</w:t>
      </w:r>
      <w:r>
        <w:t xml:space="preserve"> to ensure compliance with the above frameworks.</w:t>
      </w:r>
    </w:p>
    <w:p>
      <w:r>
        <w:t>## 1.9 Data Gaps and Information Requirements</w:t>
      </w:r>
    </w:p>
    <w:p>
      <w:pPr>
        <w:pStyle w:val="ListBullet"/>
      </w:pPr>
      <w:r/>
      <w:r>
        <w:rPr>
          <w:b/>
        </w:rPr>
        <w:t>PSTP (Public Sewerage Treatment Plant) Capacity:</w:t>
      </w:r>
      <w:r>
        <w:t xml:space="preserve"> </w:t>
      </w:r>
      <w:r>
        <w:rPr>
          <w:b/>
        </w:rPr>
        <w:t>[MISSING: PSTP CAPACITY]</w:t>
      </w:r>
      <w:r>
        <w:t xml:space="preserve"> – No data provided; required for water quality impact assessment.</w:t>
      </w:r>
    </w:p>
    <w:p>
      <w:pPr>
        <w:pStyle w:val="ListBullet"/>
      </w:pPr>
      <w:r/>
      <w:r>
        <w:rPr>
          <w:b/>
        </w:rPr>
        <w:t>Daily Traffic Volumes (Construction &amp; Operation):</w:t>
      </w:r>
      <w:r>
        <w:t xml:space="preserve"> </w:t>
      </w:r>
      <w:r>
        <w:rPr>
          <w:b/>
        </w:rPr>
        <w:t>[MISSING: DAILY TRAFFIC]</w:t>
      </w:r>
      <w:r>
        <w:t xml:space="preserve"> – Needed for air quality and noise modelling.</w:t>
      </w:r>
    </w:p>
    <w:p>
      <w:pPr>
        <w:pStyle w:val="ListBullet"/>
      </w:pPr>
      <w:r/>
      <w:r>
        <w:rPr>
          <w:b/>
        </w:rPr>
        <w:t>Compensation Cost Estimates for Grazing‑Rights Holders:</w:t>
      </w:r>
      <w:r>
        <w:t xml:space="preserve"> </w:t>
      </w:r>
      <w:r>
        <w:rPr>
          <w:b/>
        </w:rPr>
        <w:t>[MISSING: COMPENSATION ESTIMATE]</w:t>
      </w:r>
      <w:r>
        <w:t xml:space="preserve"> – To be quantified in the ESMP.</w:t>
      </w:r>
    </w:p>
    <w:p>
      <w:r>
        <w:t>The proponent is requested to furnish the missing information to enable a complete impact assessment and to resolve the identified spatial contradiction.</w:t>
      </w:r>
    </w:p>
    <w:p>
      <w:r>
        <w:br w:type="page"/>
      </w:r>
    </w:p>
    <w:p>
      <w:pPr>
        <w:pStyle w:val="Heading1"/>
      </w:pPr>
      <w:r>
        <w:t>Chapter 2: Project Description</w:t>
      </w:r>
    </w:p>
    <w:p>
      <w:r>
        <w:t>## 2.1 Project Overview</w:t>
      </w:r>
    </w:p>
    <w:p>
      <w:pPr>
        <w:pStyle w:val="ListBullet"/>
      </w:pPr>
      <w:r/>
      <w:r>
        <w:rPr>
          <w:b/>
        </w:rPr>
        <w:t>Project Name:</w:t>
      </w:r>
      <w:r>
        <w:t xml:space="preserve"> Ndeiya Solar Power Plant</w:t>
      </w:r>
    </w:p>
    <w:p>
      <w:pPr>
        <w:pStyle w:val="ListBullet"/>
      </w:pPr>
      <w:r/>
      <w:r>
        <w:rPr>
          <w:b/>
        </w:rPr>
        <w:t>Proponent:</w:t>
      </w:r>
      <w:r>
        <w:t xml:space="preserve"> Sunbelt Energy Kenya Ltd. (PIN: P061738204M)</w:t>
      </w:r>
    </w:p>
    <w:p>
      <w:pPr>
        <w:pStyle w:val="ListBullet"/>
      </w:pPr>
      <w:r/>
      <w:r>
        <w:rPr>
          <w:b/>
        </w:rPr>
        <w:t>Lead Expert:</w:t>
      </w:r>
      <w:r>
        <w:t xml:space="preserve"> George Kamau (EIA/EA/1234)</w:t>
      </w:r>
    </w:p>
    <w:p>
      <w:pPr>
        <w:pStyle w:val="ListBullet"/>
      </w:pPr>
      <w:r/>
      <w:r>
        <w:rPr>
          <w:b/>
        </w:rPr>
        <w:t>Category:</w:t>
      </w:r>
      <w:r>
        <w:t xml:space="preserve"> Energy – Solar Power Generation (High Risk – Second Schedule)</w:t>
      </w:r>
    </w:p>
    <w:p>
      <w:pPr>
        <w:pStyle w:val="ListBullet"/>
      </w:pPr>
      <w:r/>
      <w:r>
        <w:rPr>
          <w:b/>
        </w:rPr>
        <w:t>Total Capital Cost:</w:t>
      </w:r>
      <w:r>
        <w:t xml:space="preserve"> KES 2,940,000,000</w:t>
      </w:r>
    </w:p>
    <w:p>
      <w:pPr>
        <w:pStyle w:val="ListBullet"/>
      </w:pPr>
      <w:r/>
      <w:r>
        <w:rPr>
          <w:b/>
        </w:rPr>
        <w:t>Planned Commencement:</w:t>
      </w:r>
      <w:r>
        <w:t xml:space="preserve"> 1 June 2027</w:t>
      </w:r>
    </w:p>
    <w:p>
      <w:pPr>
        <w:pStyle w:val="ListBullet"/>
      </w:pPr>
      <w:r/>
      <w:r>
        <w:rPr>
          <w:b/>
        </w:rPr>
        <w:t>Construction Period:</w:t>
      </w:r>
      <w:r>
        <w:t xml:space="preserve"> 11 months (approx.)</w:t>
      </w:r>
    </w:p>
    <w:p>
      <w:pPr>
        <w:pStyle w:val="ListBullet"/>
      </w:pPr>
      <w:r/>
      <w:r>
        <w:rPr>
          <w:b/>
        </w:rPr>
        <w:t>Design Life:</w:t>
      </w:r>
      <w:r>
        <w:t xml:space="preserve"> 25 years</w:t>
      </w:r>
    </w:p>
    <w:p>
      <w:r>
        <w:t xml:space="preserve">The project proposes a utility‑scale, ground‑mounted photovoltaic (PV) power plant with an installed capacity of </w:t>
      </w:r>
      <w:r>
        <w:rPr>
          <w:b/>
        </w:rPr>
        <w:t>45 MW</w:t>
      </w:r>
      <w:r>
        <w:t xml:space="preserve">. The plant will be developed on a </w:t>
      </w:r>
      <w:r>
        <w:rPr>
          <w:b/>
        </w:rPr>
        <w:t>38.6 ha</w:t>
      </w:r>
      <w:r>
        <w:t xml:space="preserve"> leasehold parcel (LR No. 9902/14) in Ndeiya Ward, Limuru, Kiambu County (coordinates ‑1.0291, 36.6847).</w:t>
      </w:r>
    </w:p>
    <w:p>
      <w:r>
        <w:t>## 2.2 Site Location and Access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Description</w:t>
            </w:r>
          </w:p>
        </w:tc>
      </w:tr>
      <w:tr>
        <w:tc>
          <w:tcPr>
            <w:tcW w:type="dxa" w:w="4320"/>
          </w:tcPr>
          <w:p>
            <w:r/>
            <w:r>
              <w:rPr>
                <w:b/>
              </w:rPr>
              <w:t>County / Sub‑County</w:t>
            </w:r>
            <w:r/>
          </w:p>
        </w:tc>
        <w:tc>
          <w:tcPr>
            <w:tcW w:type="dxa" w:w="4320"/>
          </w:tcPr>
          <w:p>
            <w:r>
              <w:t>Kiambu County – Limuru Sub‑County</w:t>
            </w:r>
          </w:p>
        </w:tc>
      </w:tr>
      <w:tr>
        <w:tc>
          <w:tcPr>
            <w:tcW w:type="dxa" w:w="4320"/>
          </w:tcPr>
          <w:p>
            <w:r/>
            <w:r>
              <w:rPr>
                <w:b/>
              </w:rPr>
              <w:t>Ward</w:t>
            </w:r>
            <w:r/>
          </w:p>
        </w:tc>
        <w:tc>
          <w:tcPr>
            <w:tcW w:type="dxa" w:w="4320"/>
          </w:tcPr>
          <w:p>
            <w:r>
              <w:t>Ndeiya Ward</w:t>
            </w:r>
          </w:p>
        </w:tc>
      </w:tr>
      <w:tr>
        <w:tc>
          <w:tcPr>
            <w:tcW w:type="dxa" w:w="4320"/>
          </w:tcPr>
          <w:p>
            <w:r/>
            <w:r>
              <w:rPr>
                <w:b/>
              </w:rPr>
              <w:t>Geographic Coordinates</w:t>
            </w:r>
            <w:r/>
          </w:p>
        </w:tc>
        <w:tc>
          <w:tcPr>
            <w:tcW w:type="dxa" w:w="4320"/>
          </w:tcPr>
          <w:p>
            <w:r>
              <w:t>Latitude ‑1.0291°, Longitude 36.6847°</w:t>
            </w:r>
          </w:p>
        </w:tc>
      </w:tr>
      <w:tr>
        <w:tc>
          <w:tcPr>
            <w:tcW w:type="dxa" w:w="4320"/>
          </w:tcPr>
          <w:p>
            <w:r/>
            <w:r>
              <w:rPr>
                <w:b/>
              </w:rPr>
              <w:t>Land Tenure</w:t>
            </w:r>
            <w:r/>
          </w:p>
        </w:tc>
        <w:tc>
          <w:tcPr>
            <w:tcW w:type="dxa" w:w="4320"/>
          </w:tcPr>
          <w:p>
            <w:r>
              <w:t>Leasehold – 25‑year lease (LR No. 9902/14)</w:t>
            </w:r>
          </w:p>
        </w:tc>
      </w:tr>
      <w:tr>
        <w:tc>
          <w:tcPr>
            <w:tcW w:type="dxa" w:w="4320"/>
          </w:tcPr>
          <w:p>
            <w:r/>
            <w:r>
              <w:rPr>
                <w:b/>
              </w:rPr>
              <w:t>Site Area</w:t>
            </w:r>
            <w:r/>
          </w:p>
        </w:tc>
        <w:tc>
          <w:tcPr>
            <w:tcW w:type="dxa" w:w="4320"/>
          </w:tcPr>
          <w:p>
            <w:r>
              <w:t>38.6 ha</w:t>
            </w:r>
          </w:p>
        </w:tc>
      </w:tr>
      <w:tr>
        <w:tc>
          <w:tcPr>
            <w:tcW w:type="dxa" w:w="4320"/>
          </w:tcPr>
          <w:p>
            <w:r/>
            <w:r>
              <w:rPr>
                <w:b/>
              </w:rPr>
              <w:t>Neighbouring Land Use</w:t>
            </w:r>
            <w:r/>
          </w:p>
        </w:tc>
        <w:tc>
          <w:tcPr>
            <w:tcW w:type="dxa" w:w="4320"/>
          </w:tcPr>
          <w:p>
            <w:r>
              <w:t>Predominantly grazing land / open grassland</w:t>
            </w:r>
          </w:p>
        </w:tc>
      </w:tr>
      <w:tr>
        <w:tc>
          <w:tcPr>
            <w:tcW w:type="dxa" w:w="4320"/>
          </w:tcPr>
          <w:p>
            <w:r/>
            <w:r>
              <w:rPr>
                <w:b/>
              </w:rPr>
              <w:t>Key Receptors within 1 km</w:t>
            </w:r>
            <w:r/>
          </w:p>
        </w:tc>
        <w:tc>
          <w:tcPr>
            <w:tcW w:type="dxa" w:w="4320"/>
          </w:tcPr>
          <w:p>
            <w:r>
              <w:t>• Ndeiya Primary School (620 m East)  &lt;br&gt;• Ndeiya PCEA Church (780 m Southeast)  &lt;br&gt;• Ewaso Kedong Seasonal Stream (410 m South)  &lt;br&gt;• Ndeiya Community Borehole (550 m North)  &lt;br&gt;• Scattered homesteads (200 m West)</w:t>
            </w:r>
          </w:p>
        </w:tc>
      </w:tr>
      <w:tr>
        <w:tc>
          <w:tcPr>
            <w:tcW w:type="dxa" w:w="4320"/>
          </w:tcPr>
          <w:p>
            <w:r/>
            <w:r>
              <w:rPr>
                <w:b/>
              </w:rPr>
              <w:t>Access Roads</w:t>
            </w:r>
            <w:r/>
          </w:p>
        </w:tc>
        <w:tc>
          <w:tcPr>
            <w:tcW w:type="dxa" w:w="4320"/>
          </w:tcPr>
          <w:p>
            <w:r>
              <w:t xml:space="preserve">Existing farm tracks connect to the main 132 kV transmission corridor; </w:t>
            </w:r>
            <w:r>
              <w:rPr>
                <w:b/>
              </w:rPr>
              <w:t>[MISSING: DAILY TRAFFIC VOLUME]</w:t>
            </w:r>
            <w:r/>
          </w:p>
        </w:tc>
      </w:tr>
    </w:tbl>
    <w:p>
      <w:r>
        <w:t>### 2.2.1 Contradiction Note</w:t>
      </w:r>
    </w:p>
    <w:p>
      <w:r>
        <w:t xml:space="preserve">The engineering data state a </w:t>
      </w:r>
      <w:r>
        <w:rPr>
          <w:b/>
        </w:rPr>
        <w:t>Panel Array Footprint of 52 ha</w:t>
      </w:r>
      <w:r>
        <w:t xml:space="preserve">, which exceeds the </w:t>
      </w:r>
      <w:r>
        <w:rPr>
          <w:b/>
        </w:rPr>
        <w:t>total site area of 38.6 ha</w:t>
      </w:r>
      <w:r>
        <w:t xml:space="preserve">. This is a </w:t>
      </w:r>
      <w:r>
        <w:rPr>
          <w:b/>
        </w:rPr>
        <w:t>[CONTRADICTION: Panel array footprint (52 ha) &gt; site area (38.6 ha)]</w:t>
      </w:r>
      <w:r>
        <w:t xml:space="preserve"> and must be resolved by the proponent before the ESIA can be considered complete.</w:t>
      </w:r>
    </w:p>
    <w:p>
      <w:r>
        <w:t>## 2.3 Technical Description</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Specification</w:t>
            </w:r>
          </w:p>
        </w:tc>
      </w:tr>
      <w:tr>
        <w:tc>
          <w:tcPr>
            <w:tcW w:type="dxa" w:w="4320"/>
          </w:tcPr>
          <w:p>
            <w:r/>
            <w:r>
              <w:rPr>
                <w:b/>
              </w:rPr>
              <w:t>Installed Capacity</w:t>
            </w:r>
            <w:r/>
          </w:p>
        </w:tc>
        <w:tc>
          <w:tcPr>
            <w:tcW w:type="dxa" w:w="4320"/>
          </w:tcPr>
          <w:p>
            <w:r>
              <w:t>45 MW (3 × 15 MW phases)</w:t>
            </w:r>
          </w:p>
        </w:tc>
      </w:tr>
      <w:tr>
        <w:tc>
          <w:tcPr>
            <w:tcW w:type="dxa" w:w="4320"/>
          </w:tcPr>
          <w:p>
            <w:r/>
            <w:r>
              <w:rPr>
                <w:b/>
              </w:rPr>
              <w:t>Generation Technology</w:t>
            </w:r>
            <w:r/>
          </w:p>
        </w:tc>
        <w:tc>
          <w:tcPr>
            <w:tcW w:type="dxa" w:w="4320"/>
          </w:tcPr>
          <w:p>
            <w:r>
              <w:t>Photovoltaic (ground‑mount) with anti‑reflective coated modules</w:t>
            </w:r>
          </w:p>
        </w:tc>
      </w:tr>
      <w:tr>
        <w:tc>
          <w:tcPr>
            <w:tcW w:type="dxa" w:w="4320"/>
          </w:tcPr>
          <w:p>
            <w:r/>
            <w:r>
              <w:rPr>
                <w:b/>
              </w:rPr>
              <w:t>Number of Phases</w:t>
            </w:r>
            <w:r/>
          </w:p>
        </w:tc>
        <w:tc>
          <w:tcPr>
            <w:tcW w:type="dxa" w:w="4320"/>
          </w:tcPr>
          <w:p>
            <w:r>
              <w:t>3 identical phases, each 15 MW, commissioned sequentially</w:t>
            </w:r>
          </w:p>
        </w:tc>
      </w:tr>
      <w:tr>
        <w:tc>
          <w:tcPr>
            <w:tcW w:type="dxa" w:w="4320"/>
          </w:tcPr>
          <w:p>
            <w:r/>
            <w:r>
              <w:rPr>
                <w:b/>
              </w:rPr>
              <w:t>Expected Annual Energy Output</w:t>
            </w:r>
            <w:r/>
          </w:p>
        </w:tc>
        <w:tc>
          <w:tcPr>
            <w:tcW w:type="dxa" w:w="4320"/>
          </w:tcPr>
          <w:p>
            <w:r/>
            <w:r>
              <w:rPr>
                <w:b/>
              </w:rPr>
              <w:t>[MISSING: ANNUAL ENERGY PRODUCTION (MWh/yr)]</w:t>
            </w:r>
            <w:r/>
          </w:p>
        </w:tc>
      </w:tr>
      <w:tr>
        <w:tc>
          <w:tcPr>
            <w:tcW w:type="dxa" w:w="4320"/>
          </w:tcPr>
          <w:p>
            <w:r/>
            <w:r>
              <w:rPr>
                <w:b/>
              </w:rPr>
              <w:t>Primary Equipment</w:t>
            </w:r>
            <w:r/>
          </w:p>
        </w:tc>
        <w:tc>
          <w:tcPr>
            <w:tcW w:type="dxa" w:w="4320"/>
          </w:tcPr>
          <w:p>
            <w:r>
              <w:t>PV modules, inverters, transformers, switchgear, SCADA system</w:t>
            </w:r>
          </w:p>
        </w:tc>
      </w:tr>
      <w:tr>
        <w:tc>
          <w:tcPr>
            <w:tcW w:type="dxa" w:w="4320"/>
          </w:tcPr>
          <w:p>
            <w:r/>
            <w:r>
              <w:rPr>
                <w:b/>
              </w:rPr>
              <w:t>Grid Connection</w:t>
            </w:r>
            <w:r/>
          </w:p>
        </w:tc>
        <w:tc>
          <w:tcPr>
            <w:tcW w:type="dxa" w:w="4320"/>
          </w:tcPr>
          <w:p>
            <w:r>
              <w:t>Tap‑off to existing 132 kV transmission line (proximal to site)</w:t>
            </w:r>
          </w:p>
        </w:tc>
      </w:tr>
      <w:tr>
        <w:tc>
          <w:tcPr>
            <w:tcW w:type="dxa" w:w="4320"/>
          </w:tcPr>
          <w:p>
            <w:r/>
            <w:r>
              <w:rPr>
                <w:b/>
              </w:rPr>
              <w:t>Permanent Operations Staff</w:t>
            </w:r>
            <w:r/>
          </w:p>
        </w:tc>
        <w:tc>
          <w:tcPr>
            <w:tcW w:type="dxa" w:w="4320"/>
          </w:tcPr>
          <w:p>
            <w:r>
              <w:t>18 persons (permanent)</w:t>
            </w:r>
          </w:p>
        </w:tc>
      </w:tr>
      <w:tr>
        <w:tc>
          <w:tcPr>
            <w:tcW w:type="dxa" w:w="4320"/>
          </w:tcPr>
          <w:p>
            <w:r/>
            <w:r>
              <w:rPr>
                <w:b/>
              </w:rPr>
              <w:t>Construction Workforce</w:t>
            </w:r>
            <w:r/>
          </w:p>
        </w:tc>
        <w:tc>
          <w:tcPr>
            <w:tcW w:type="dxa" w:w="4320"/>
          </w:tcPr>
          <w:p>
            <w:r/>
            <w:r>
              <w:rPr>
                <w:b/>
              </w:rPr>
              <w:t>[MISSING: CONSTRUCTION EMPLOYEE COUNT]</w:t>
            </w:r>
            <w:r>
              <w:t xml:space="preserve"> (temporary)</w:t>
            </w:r>
          </w:p>
        </w:tc>
      </w:tr>
      <w:tr>
        <w:tc>
          <w:tcPr>
            <w:tcW w:type="dxa" w:w="4320"/>
          </w:tcPr>
          <w:p>
            <w:r/>
            <w:r>
              <w:rPr>
                <w:b/>
              </w:rPr>
              <w:t>Water Supply</w:t>
            </w:r>
            <w:r/>
          </w:p>
        </w:tc>
        <w:tc>
          <w:tcPr>
            <w:tcW w:type="dxa" w:w="4320"/>
          </w:tcPr>
          <w:p>
            <w:r>
              <w:t xml:space="preserve">Drawn from Ndeiya Community Borehole (550 m North); </w:t>
            </w:r>
            <w:r>
              <w:rPr>
                <w:b/>
              </w:rPr>
              <w:t>[MISSING: PSTP CAPACITY]</w:t>
            </w:r>
            <w:r>
              <w:t xml:space="preserve"> (if required)</w:t>
            </w:r>
          </w:p>
        </w:tc>
      </w:tr>
      <w:tr>
        <w:tc>
          <w:tcPr>
            <w:tcW w:type="dxa" w:w="4320"/>
          </w:tcPr>
          <w:p>
            <w:r/>
            <w:r>
              <w:rPr>
                <w:b/>
              </w:rPr>
              <w:t>Storm‑water Management</w:t>
            </w:r>
            <w:r/>
          </w:p>
        </w:tc>
        <w:tc>
          <w:tcPr>
            <w:tcW w:type="dxa" w:w="4320"/>
          </w:tcPr>
          <w:p>
            <w:r>
              <w:t xml:space="preserve">Detention ponds and swales designed per </w:t>
            </w:r>
            <w:r>
              <w:rPr>
                <w:b/>
              </w:rPr>
              <w:t>Water Act 2016</w:t>
            </w:r>
            <w:r>
              <w:t xml:space="preserve"> requirements</w:t>
            </w:r>
          </w:p>
        </w:tc>
      </w:tr>
      <w:tr>
        <w:tc>
          <w:tcPr>
            <w:tcW w:type="dxa" w:w="4320"/>
          </w:tcPr>
          <w:p>
            <w:r/>
            <w:r>
              <w:rPr>
                <w:b/>
              </w:rPr>
              <w:t>Waste Management</w:t>
            </w:r>
            <w:r/>
          </w:p>
        </w:tc>
        <w:tc>
          <w:tcPr>
            <w:tcW w:type="dxa" w:w="4320"/>
          </w:tcPr>
          <w:p>
            <w:r>
              <w:t>Segregated collection of construction and operational waste; disposal in licensed facilities</w:t>
            </w:r>
          </w:p>
        </w:tc>
      </w:tr>
      <w:tr>
        <w:tc>
          <w:tcPr>
            <w:tcW w:type="dxa" w:w="4320"/>
          </w:tcPr>
          <w:p>
            <w:r/>
            <w:r>
              <w:rPr>
                <w:b/>
              </w:rPr>
              <w:t>Noise Control</w:t>
            </w:r>
            <w:r/>
          </w:p>
        </w:tc>
        <w:tc>
          <w:tcPr>
            <w:tcW w:type="dxa" w:w="4320"/>
          </w:tcPr>
          <w:p>
            <w:r>
              <w:t>Equipment housed in acoustically treated enclosures; baseline 41 dBA (see Section 2.5)</w:t>
            </w:r>
          </w:p>
        </w:tc>
      </w:tr>
      <w:tr>
        <w:tc>
          <w:tcPr>
            <w:tcW w:type="dxa" w:w="4320"/>
          </w:tcPr>
          <w:p>
            <w:r/>
            <w:r>
              <w:rPr>
                <w:b/>
              </w:rPr>
              <w:t>Air Emissions</w:t>
            </w:r>
            <w:r/>
          </w:p>
        </w:tc>
        <w:tc>
          <w:tcPr>
            <w:tcW w:type="dxa" w:w="4320"/>
          </w:tcPr>
          <w:p>
            <w:r>
              <w:t>No combustion‑related emissions; dust suppression during construction (watering, covers)</w:t>
            </w:r>
          </w:p>
        </w:tc>
      </w:tr>
    </w:tbl>
    <w:p>
      <w:r>
        <w:t>### 2.3.1 Engineering Layout</w:t>
      </w:r>
    </w:p>
    <w:p>
      <w:pPr>
        <w:pStyle w:val="ListBullet"/>
      </w:pPr>
      <w:r/>
      <w:r>
        <w:rPr>
          <w:b/>
        </w:rPr>
        <w:t>Phase 1 (15 MW):</w:t>
      </w:r>
      <w:r>
        <w:t xml:space="preserve"> West‑most 12 ha (subject to fence set‑back for grazing corridor).</w:t>
      </w:r>
    </w:p>
    <w:p>
      <w:pPr>
        <w:pStyle w:val="ListBullet"/>
      </w:pPr>
      <w:r/>
      <w:r>
        <w:rPr>
          <w:b/>
        </w:rPr>
        <w:t>Phase 2 (15 MW):</w:t>
      </w:r>
      <w:r>
        <w:t xml:space="preserve"> Central 13 ha.</w:t>
      </w:r>
    </w:p>
    <w:p>
      <w:pPr>
        <w:pStyle w:val="ListBullet"/>
      </w:pPr>
      <w:r/>
      <w:r>
        <w:rPr>
          <w:b/>
        </w:rPr>
        <w:t>Phase 3 (15 MW):</w:t>
      </w:r>
      <w:r>
        <w:t xml:space="preserve"> East‑most 13 ha.</w:t>
      </w:r>
    </w:p>
    <w:p>
      <w:r/>
      <w:r>
        <w:rPr>
          <w:i/>
        </w:rPr>
        <w:t>Note: The layout is provisional pending resolution of the panel‑footprint/site‑area contradiction.</w:t>
      </w:r>
      <w:r/>
    </w:p>
    <w:p>
      <w:r>
        <w:t>## 2.4 Infrastructure</w:t>
      </w:r>
    </w:p>
    <w:tbl>
      <w:tblPr>
        <w:tblStyle w:val="TableGrid"/>
        <w:tblW w:type="auto" w:w="0"/>
        <w:tblLook w:firstColumn="1" w:firstRow="1" w:lastColumn="0" w:lastRow="0" w:noHBand="0" w:noVBand="1" w:val="04A0"/>
      </w:tblPr>
      <w:tblGrid>
        <w:gridCol w:w="4320"/>
        <w:gridCol w:w="4320"/>
      </w:tblGrid>
      <w:tr>
        <w:tc>
          <w:tcPr>
            <w:tcW w:type="dxa" w:w="4320"/>
          </w:tcPr>
          <w:p>
            <w:r>
              <w:rPr>
                <w:b/>
              </w:rPr>
              <w:t>Infrastructure</w:t>
            </w:r>
          </w:p>
        </w:tc>
        <w:tc>
          <w:tcPr>
            <w:tcW w:type="dxa" w:w="4320"/>
          </w:tcPr>
          <w:p>
            <w:r>
              <w:rPr>
                <w:b/>
              </w:rPr>
              <w:t>Description</w:t>
            </w:r>
          </w:p>
        </w:tc>
      </w:tr>
      <w:tr>
        <w:tc>
          <w:tcPr>
            <w:tcW w:type="dxa" w:w="4320"/>
          </w:tcPr>
          <w:p>
            <w:r/>
            <w:r>
              <w:rPr>
                <w:b/>
              </w:rPr>
              <w:t>Transmission</w:t>
            </w:r>
            <w:r/>
          </w:p>
        </w:tc>
        <w:tc>
          <w:tcPr>
            <w:tcW w:type="dxa" w:w="4320"/>
          </w:tcPr>
          <w:p>
            <w:r>
              <w:t>132 kV line connection point located &lt; 500 m south of the site; new 11 kV collector lines within the plant.</w:t>
            </w:r>
          </w:p>
        </w:tc>
      </w:tr>
      <w:tr>
        <w:tc>
          <w:tcPr>
            <w:tcW w:type="dxa" w:w="4320"/>
          </w:tcPr>
          <w:p>
            <w:r/>
            <w:r>
              <w:rPr>
                <w:b/>
              </w:rPr>
              <w:t>Roads</w:t>
            </w:r>
            <w:r/>
          </w:p>
        </w:tc>
        <w:tc>
          <w:tcPr>
            <w:tcW w:type="dxa" w:w="4320"/>
          </w:tcPr>
          <w:p>
            <w:r>
              <w:t>Internal haul roads (gravel) for equipment movement; upgrades to existing farm track to accommodate heavy machinery.</w:t>
            </w:r>
          </w:p>
        </w:tc>
      </w:tr>
      <w:tr>
        <w:tc>
          <w:tcPr>
            <w:tcW w:type="dxa" w:w="4320"/>
          </w:tcPr>
          <w:p>
            <w:r/>
            <w:r>
              <w:rPr>
                <w:b/>
              </w:rPr>
              <w:t>Fencing</w:t>
            </w:r>
            <w:r/>
          </w:p>
        </w:tc>
        <w:tc>
          <w:tcPr>
            <w:tcW w:type="dxa" w:w="4320"/>
          </w:tcPr>
          <w:p>
            <w:r>
              <w:t>Perimeter fence set back to preserve a grazing‑access corridor (see Section 2.7).</w:t>
            </w:r>
          </w:p>
        </w:tc>
      </w:tr>
      <w:tr>
        <w:tc>
          <w:tcPr>
            <w:tcW w:type="dxa" w:w="4320"/>
          </w:tcPr>
          <w:p>
            <w:r/>
            <w:r>
              <w:rPr>
                <w:b/>
              </w:rPr>
              <w:t>Water</w:t>
            </w:r>
            <w:r/>
          </w:p>
        </w:tc>
        <w:tc>
          <w:tcPr>
            <w:tcW w:type="dxa" w:w="4320"/>
          </w:tcPr>
          <w:p>
            <w:r>
              <w:t xml:space="preserve">Borehole abstraction for construction dust control and limited operational needs; abstraction rates to comply with </w:t>
            </w:r>
            <w:r>
              <w:rPr>
                <w:b/>
              </w:rPr>
              <w:t>Water Act 2016</w:t>
            </w:r>
            <w:r>
              <w:t xml:space="preserve"> licensing.</w:t>
            </w:r>
          </w:p>
        </w:tc>
      </w:tr>
      <w:tr>
        <w:tc>
          <w:tcPr>
            <w:tcW w:type="dxa" w:w="4320"/>
          </w:tcPr>
          <w:p>
            <w:r/>
            <w:r>
              <w:rPr>
                <w:b/>
              </w:rPr>
              <w:t>Electrical Substation</w:t>
            </w:r>
            <w:r/>
          </w:p>
        </w:tc>
        <w:tc>
          <w:tcPr>
            <w:tcW w:type="dxa" w:w="4320"/>
          </w:tcPr>
          <w:p>
            <w:r>
              <w:t>On‑site step‑up transformer (15 kV → 132 kV) with protective relays and SCADA integration.</w:t>
            </w:r>
          </w:p>
        </w:tc>
      </w:tr>
      <w:tr>
        <w:tc>
          <w:tcPr>
            <w:tcW w:type="dxa" w:w="4320"/>
          </w:tcPr>
          <w:p>
            <w:r/>
            <w:r>
              <w:rPr>
                <w:b/>
              </w:rPr>
              <w:t>Site Services</w:t>
            </w:r>
            <w:r/>
          </w:p>
        </w:tc>
        <w:tc>
          <w:tcPr>
            <w:tcW w:type="dxa" w:w="4320"/>
          </w:tcPr>
          <w:p>
            <w:r>
              <w:t>Office block, staff accommodation, security post, and a small workshop.</w:t>
            </w:r>
          </w:p>
        </w:tc>
      </w:tr>
    </w:tbl>
    <w:p>
      <w:r>
        <w:t>## 2.5 Baseline Environmental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Baseline Value (Measured 22 Mar 2026)</w:t>
            </w:r>
          </w:p>
        </w:tc>
        <w:tc>
          <w:tcPr>
            <w:tcW w:type="dxa" w:w="2160"/>
          </w:tcPr>
          <w:p>
            <w:r>
              <w:rPr>
                <w:b/>
              </w:rPr>
              <w:t>Guideline / Standard</w:t>
            </w:r>
          </w:p>
        </w:tc>
        <w:tc>
          <w:tcPr>
            <w:tcW w:type="dxa" w:w="2160"/>
          </w:tcPr>
          <w:p>
            <w:r>
              <w:rPr>
                <w:b/>
              </w:rPr>
              <w:t>Compliance</w:t>
            </w:r>
          </w:p>
        </w:tc>
      </w:tr>
      <w:tr>
        <w:tc>
          <w:tcPr>
            <w:tcW w:type="dxa" w:w="2160"/>
          </w:tcPr>
          <w:p>
            <w:r/>
            <w:r>
              <w:rPr>
                <w:b/>
              </w:rPr>
              <w:t>PM2.5</w:t>
            </w:r>
            <w:r/>
          </w:p>
        </w:tc>
        <w:tc>
          <w:tcPr>
            <w:tcW w:type="dxa" w:w="2160"/>
          </w:tcPr>
          <w:p>
            <w:r>
              <w:t>11 µg m⁻³</w:t>
            </w:r>
          </w:p>
        </w:tc>
        <w:tc>
          <w:tcPr>
            <w:tcW w:type="dxa" w:w="2160"/>
          </w:tcPr>
          <w:p>
            <w:r>
              <w:t>WHO 24‑hr guideline 15 µg m⁻³</w:t>
            </w:r>
          </w:p>
        </w:tc>
        <w:tc>
          <w:tcPr>
            <w:tcW w:type="dxa" w:w="2160"/>
          </w:tcPr>
          <w:p>
            <w:r/>
            <w:r>
              <w:rPr>
                <w:b/>
              </w:rPr>
              <w:t>Compliant</w:t>
            </w:r>
            <w:r/>
          </w:p>
        </w:tc>
      </w:tr>
      <w:tr>
        <w:tc>
          <w:tcPr>
            <w:tcW w:type="dxa" w:w="2160"/>
          </w:tcPr>
          <w:p>
            <w:r/>
            <w:r>
              <w:rPr>
                <w:b/>
              </w:rPr>
              <w:t>PM10</w:t>
            </w:r>
            <w:r/>
          </w:p>
        </w:tc>
        <w:tc>
          <w:tcPr>
            <w:tcW w:type="dxa" w:w="2160"/>
          </w:tcPr>
          <w:p>
            <w:r>
              <w:t>24 µg m⁻³</w:t>
            </w:r>
          </w:p>
        </w:tc>
        <w:tc>
          <w:tcPr>
            <w:tcW w:type="dxa" w:w="2160"/>
          </w:tcPr>
          <w:p>
            <w:r>
              <w:t>NEMA 75 µg m⁻³ (annual)</w:t>
            </w:r>
          </w:p>
        </w:tc>
        <w:tc>
          <w:tcPr>
            <w:tcW w:type="dxa" w:w="2160"/>
          </w:tcPr>
          <w:p>
            <w:r/>
            <w:r>
              <w:rPr>
                <w:b/>
              </w:rPr>
              <w:t>Compliant</w:t>
            </w:r>
            <w:r/>
          </w:p>
        </w:tc>
      </w:tr>
      <w:tr>
        <w:tc>
          <w:tcPr>
            <w:tcW w:type="dxa" w:w="2160"/>
          </w:tcPr>
          <w:p>
            <w:r/>
            <w:r>
              <w:rPr>
                <w:b/>
              </w:rPr>
              <w:t>Noise (ambient)</w:t>
            </w:r>
            <w:r/>
          </w:p>
        </w:tc>
        <w:tc>
          <w:tcPr>
            <w:tcW w:type="dxa" w:w="2160"/>
          </w:tcPr>
          <w:p>
            <w:r>
              <w:t>41 dBA (A‑weighted)</w:t>
            </w:r>
          </w:p>
        </w:tc>
        <w:tc>
          <w:tcPr>
            <w:tcW w:type="dxa" w:w="2160"/>
          </w:tcPr>
          <w:p>
            <w:r>
              <w:t>WHO community noise guideline 55 dBA (day)</w:t>
            </w:r>
          </w:p>
        </w:tc>
        <w:tc>
          <w:tcPr>
            <w:tcW w:type="dxa" w:w="2160"/>
          </w:tcPr>
          <w:p>
            <w:r/>
            <w:r>
              <w:rPr>
                <w:b/>
              </w:rPr>
              <w:t>Compliant</w:t>
            </w:r>
            <w:r/>
          </w:p>
        </w:tc>
      </w:tr>
      <w:tr>
        <w:tc>
          <w:tcPr>
            <w:tcW w:type="dxa" w:w="2160"/>
          </w:tcPr>
          <w:p>
            <w:r/>
            <w:r>
              <w:rPr>
                <w:b/>
              </w:rPr>
              <w:t>Groundwater Depth</w:t>
            </w:r>
            <w:r/>
          </w:p>
        </w:tc>
        <w:tc>
          <w:tcPr>
            <w:tcW w:type="dxa" w:w="2160"/>
          </w:tcPr>
          <w:p>
            <w:r>
              <w:t>58 m below ground surface</w:t>
            </w:r>
          </w:p>
        </w:tc>
        <w:tc>
          <w:tcPr>
            <w:tcW w:type="dxa" w:w="2160"/>
          </w:tcPr>
          <w:p>
            <w:r>
              <w:t>No specific statutory limit; depth indicates low vulnerability to shallow contamination.</w:t>
            </w:r>
          </w:p>
        </w:tc>
        <w:tc>
          <w:tcPr>
            <w:tcW w:type="dxa" w:w="2160"/>
          </w:tcPr>
          <w:p/>
        </w:tc>
      </w:tr>
      <w:tr>
        <w:tc>
          <w:tcPr>
            <w:tcW w:type="dxa" w:w="2160"/>
          </w:tcPr>
          <w:p>
            <w:r/>
            <w:r>
              <w:rPr>
                <w:b/>
              </w:rPr>
              <w:t>Land Use</w:t>
            </w:r>
            <w:r/>
          </w:p>
        </w:tc>
        <w:tc>
          <w:tcPr>
            <w:tcW w:type="dxa" w:w="2160"/>
          </w:tcPr>
          <w:p>
            <w:r>
              <w:t>Grazing land / open grassland</w:t>
            </w:r>
          </w:p>
        </w:tc>
        <w:tc>
          <w:tcPr>
            <w:tcW w:type="dxa" w:w="2160"/>
          </w:tcPr>
          <w:p>
            <w:r>
              <w:t>NEMA Land Use Policy – compatible with renewable energy development if mitigation for grazing access is provided.</w:t>
            </w:r>
          </w:p>
        </w:tc>
        <w:tc>
          <w:tcPr>
            <w:tcW w:type="dxa" w:w="2160"/>
          </w:tcPr>
          <w:p/>
        </w:tc>
      </w:tr>
      <w:tr>
        <w:tc>
          <w:tcPr>
            <w:tcW w:type="dxa" w:w="2160"/>
          </w:tcPr>
          <w:p>
            <w:r/>
            <w:r>
              <w:rPr>
                <w:b/>
              </w:rPr>
              <w:t>Hydrology</w:t>
            </w:r>
            <w:r/>
          </w:p>
        </w:tc>
        <w:tc>
          <w:tcPr>
            <w:tcW w:type="dxa" w:w="2160"/>
          </w:tcPr>
          <w:p>
            <w:r>
              <w:t xml:space="preserve">Seasonal stream (Ewaso Kedong) 410 m South; flow regime documented in </w:t>
            </w:r>
            <w:r>
              <w:rPr>
                <w:i/>
              </w:rPr>
              <w:t>hydrology_ewaso_kedong.pdf</w:t>
            </w:r>
            <w:r>
              <w:t>.</w:t>
            </w:r>
          </w:p>
        </w:tc>
        <w:tc>
          <w:tcPr>
            <w:tcW w:type="dxa" w:w="2160"/>
          </w:tcPr>
          <w:p>
            <w:r>
              <w:t>Water Act 2016 – any abstraction or discharge must not impair the stream’s ecological function.</w:t>
            </w:r>
          </w:p>
        </w:tc>
        <w:tc>
          <w:tcPr>
            <w:tcW w:type="dxa" w:w="2160"/>
          </w:tcPr>
          <w:p/>
        </w:tc>
      </w:tr>
      <w:tr>
        <w:tc>
          <w:tcPr>
            <w:tcW w:type="dxa" w:w="2160"/>
          </w:tcPr>
          <w:p>
            <w:r/>
            <w:r>
              <w:rPr>
                <w:b/>
              </w:rPr>
              <w:t>Biodiversity</w:t>
            </w:r>
            <w:r/>
          </w:p>
        </w:tc>
        <w:tc>
          <w:tcPr>
            <w:tcW w:type="dxa" w:w="2160"/>
          </w:tcPr>
          <w:p>
            <w:r>
              <w:t xml:space="preserve">Avian survey (see </w:t>
            </w:r>
            <w:r>
              <w:rPr>
                <w:i/>
              </w:rPr>
              <w:t>biodiversity_avian_survey_ndeiya.pdf</w:t>
            </w:r>
            <w:r>
              <w:t>) indicates presence of migratory and resident bird species; no protected species recorded.</w:t>
            </w:r>
          </w:p>
        </w:tc>
        <w:tc>
          <w:tcPr>
            <w:tcW w:type="dxa" w:w="2160"/>
          </w:tcPr>
          <w:p>
            <w:r>
              <w:t>NEMA Biodiversity Guidelines – mitigation for collision risk required.</w:t>
            </w:r>
          </w:p>
        </w:tc>
        <w:tc>
          <w:tcPr>
            <w:tcW w:type="dxa" w:w="2160"/>
          </w:tcPr>
          <w:p/>
        </w:tc>
      </w:tr>
    </w:tbl>
    <w:p>
      <w:r>
        <w:t>## 2.6 Water Resources</w:t>
      </w:r>
    </w:p>
    <w:p>
      <w:pPr>
        <w:pStyle w:val="ListBullet"/>
      </w:pPr>
      <w:r/>
      <w:r>
        <w:rPr>
          <w:b/>
        </w:rPr>
        <w:t>Source:</w:t>
      </w:r>
      <w:r>
        <w:t xml:space="preserve"> Ndeiya Community Borehole (550 m North).</w:t>
      </w:r>
    </w:p>
    <w:p>
      <w:pPr>
        <w:pStyle w:val="ListBullet"/>
      </w:pPr>
      <w:r/>
      <w:r>
        <w:rPr>
          <w:b/>
        </w:rPr>
        <w:t>Abstraction Rate:</w:t>
      </w:r>
      <w:r>
        <w:t xml:space="preserve"> </w:t>
      </w:r>
      <w:r>
        <w:rPr>
          <w:b/>
        </w:rPr>
        <w:t>[MISSING: DAILY WATER ABSTRACTION VOLUME]</w:t>
      </w:r>
      <w:r>
        <w:t>.</w:t>
      </w:r>
    </w:p>
    <w:p>
      <w:pPr>
        <w:pStyle w:val="ListBullet"/>
      </w:pPr>
      <w:r/>
      <w:r>
        <w:rPr>
          <w:b/>
        </w:rPr>
        <w:t>Treatment:</w:t>
      </w:r>
      <w:r>
        <w:t xml:space="preserve"> No wastewater generation expected from PV operation; however, a </w:t>
      </w:r>
      <w:r>
        <w:rPr>
          <w:b/>
        </w:rPr>
        <w:t>[MISSING: PSTP CAPACITY]</w:t>
      </w:r>
      <w:r>
        <w:t xml:space="preserve"> is required if any ancillary facilities produce effluent.</w:t>
      </w:r>
    </w:p>
    <w:p>
      <w:pPr>
        <w:pStyle w:val="ListBullet"/>
      </w:pPr>
      <w:r/>
      <w:r>
        <w:rPr>
          <w:b/>
        </w:rPr>
        <w:t>Compliance:</w:t>
      </w:r>
      <w:r>
        <w:t xml:space="preserve"> All water use will be licensed under the </w:t>
      </w:r>
      <w:r>
        <w:rPr>
          <w:b/>
        </w:rPr>
        <w:t>Water Act 2016</w:t>
      </w:r>
      <w:r>
        <w:t xml:space="preserve"> and will adhere to the “no net abstraction” principle where feasible.</w:t>
      </w:r>
    </w:p>
    <w:p>
      <w:r>
        <w:t>## 2.7 Socio‑Economic Aspects</w:t>
      </w:r>
    </w:p>
    <w:p>
      <w:r>
        <w:t>### 2.7.1 Employment</w:t>
      </w:r>
    </w:p>
    <w:p>
      <w:pPr>
        <w:pStyle w:val="ListBullet"/>
      </w:pPr>
      <w:r/>
      <w:r>
        <w:rPr>
          <w:b/>
        </w:rPr>
        <w:t>Construction Phase:</w:t>
      </w:r>
      <w:r>
        <w:t xml:space="preserve"> Temporary labour demand to be detailed by the proponent (</w:t>
      </w:r>
      <w:r>
        <w:rPr>
          <w:b/>
        </w:rPr>
        <w:t>[MISSING: CONSTRUCTION EMPLOYEE COUNT]</w:t>
      </w:r>
      <w:r>
        <w:t>).</w:t>
      </w:r>
    </w:p>
    <w:p>
      <w:pPr>
        <w:pStyle w:val="ListBullet"/>
      </w:pPr>
      <w:r/>
      <w:r>
        <w:rPr>
          <w:b/>
        </w:rPr>
        <w:t>Operations Phase:</w:t>
      </w:r>
      <w:r>
        <w:t xml:space="preserve"> 18 permanent staff (plant manager, technicians, security, administration).</w:t>
      </w:r>
    </w:p>
    <w:p>
      <w:r>
        <w:t>### 2.7.2 Land Use &amp; Livelihoods</w:t>
      </w:r>
    </w:p>
    <w:p>
      <w:pPr>
        <w:pStyle w:val="ListBullet"/>
      </w:pPr>
      <w:r>
        <w:t xml:space="preserve">The project will convert </w:t>
      </w:r>
      <w:r>
        <w:rPr>
          <w:b/>
        </w:rPr>
        <w:t>38.6 ha</w:t>
      </w:r>
      <w:r>
        <w:t xml:space="preserve"> of grazing land to a solar array.</w:t>
      </w:r>
    </w:p>
    <w:p>
      <w:pPr>
        <w:pStyle w:val="ListBullet"/>
      </w:pPr>
      <w:r/>
      <w:r>
        <w:rPr>
          <w:b/>
        </w:rPr>
        <w:t>Mitigation:</w:t>
      </w:r>
      <w:r>
        <w:t xml:space="preserve"> Perimeter fencing will be set back to retain a </w:t>
      </w:r>
      <w:r>
        <w:rPr>
          <w:b/>
        </w:rPr>
        <w:t>grazing‑access corridor</w:t>
      </w:r>
      <w:r>
        <w:t xml:space="preserve"> along the western edge.</w:t>
      </w:r>
    </w:p>
    <w:p>
      <w:pPr>
        <w:pStyle w:val="ListBullet"/>
      </w:pPr>
      <w:r/>
      <w:r>
        <w:rPr>
          <w:b/>
        </w:rPr>
        <w:t>Compensation:</w:t>
      </w:r>
      <w:r>
        <w:t xml:space="preserve"> Grazing‑rights holders will receive compensation at Valuer‑General rates, as agreed in the Baraza (see Section 2.9).</w:t>
      </w:r>
    </w:p>
    <w:p>
      <w:r>
        <w:t>### 2.7.3 Community Concerns &amp; Responses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Proponent Response</w:t>
            </w:r>
          </w:p>
        </w:tc>
        <w:tc>
          <w:tcPr>
            <w:tcW w:type="dxa" w:w="2880"/>
          </w:tcPr>
          <w:p>
            <w:r>
              <w:rPr>
                <w:b/>
              </w:rPr>
              <w:t>Mitigation Measure</w:t>
            </w:r>
          </w:p>
        </w:tc>
      </w:tr>
      <w:tr>
        <w:tc>
          <w:tcPr>
            <w:tcW w:type="dxa" w:w="2880"/>
          </w:tcPr>
          <w:p>
            <w:r>
              <w:t>Loss of grazing land access</w:t>
            </w:r>
          </w:p>
        </w:tc>
        <w:tc>
          <w:tcPr>
            <w:tcW w:type="dxa" w:w="2880"/>
          </w:tcPr>
          <w:p>
            <w:r>
              <w:t>A dedicated access corridor will be maintained; compensation offered.</w:t>
            </w:r>
          </w:p>
        </w:tc>
        <w:tc>
          <w:tcPr>
            <w:tcW w:type="dxa" w:w="2880"/>
          </w:tcPr>
          <w:p>
            <w:r/>
            <w:r>
              <w:rPr>
                <w:b/>
              </w:rPr>
              <w:t>[MISSING: COMPENSATION PAYMENT SCHEDULE]</w:t>
            </w:r>
            <w:r/>
          </w:p>
        </w:tc>
      </w:tr>
      <w:tr>
        <w:tc>
          <w:tcPr>
            <w:tcW w:type="dxa" w:w="2880"/>
          </w:tcPr>
          <w:p>
            <w:r>
              <w:t>Limited permanent jobs</w:t>
            </w:r>
          </w:p>
        </w:tc>
        <w:tc>
          <w:tcPr>
            <w:tcW w:type="dxa" w:w="2880"/>
          </w:tcPr>
          <w:p>
            <w:r>
              <w:t>Plant automation limits staff to 18 permanent positions; training opportunities offered to local youth.</w:t>
            </w:r>
          </w:p>
        </w:tc>
        <w:tc>
          <w:tcPr>
            <w:tcW w:type="dxa" w:w="2880"/>
          </w:tcPr>
          <w:p>
            <w:r>
              <w:t>Community training programme (to be detailed in ESMP).</w:t>
            </w:r>
          </w:p>
        </w:tc>
      </w:tr>
      <w:tr>
        <w:tc>
          <w:tcPr>
            <w:tcW w:type="dxa" w:w="2880"/>
          </w:tcPr>
          <w:p>
            <w:r>
              <w:t>Glare affecting homesteads</w:t>
            </w:r>
          </w:p>
        </w:tc>
        <w:tc>
          <w:tcPr>
            <w:tcW w:type="dxa" w:w="2880"/>
          </w:tcPr>
          <w:p>
            <w:r>
              <w:t>Anti‑reflective coating on modules; rows oriented to minimise azimuthal glare towards west‑facing homes.</w:t>
            </w:r>
          </w:p>
        </w:tc>
        <w:tc>
          <w:tcPr>
            <w:tcW w:type="dxa" w:w="2880"/>
          </w:tcPr>
          <w:p>
            <w:r>
              <w:t>Design specification (see Section 2.10).</w:t>
            </w:r>
          </w:p>
        </w:tc>
      </w:tr>
      <w:tr>
        <w:tc>
          <w:tcPr>
            <w:tcW w:type="dxa" w:w="2880"/>
          </w:tcPr>
          <w:p>
            <w:r>
              <w:t>Avian collision risk</w:t>
            </w:r>
          </w:p>
        </w:tc>
        <w:tc>
          <w:tcPr>
            <w:tcW w:type="dxa" w:w="2880"/>
          </w:tcPr>
          <w:p>
            <w:r>
              <w:t>Perimeter netting and seasonal bird monitoring (quarterly) to be implemented.</w:t>
            </w:r>
          </w:p>
        </w:tc>
        <w:tc>
          <w:tcPr>
            <w:tcW w:type="dxa" w:w="2880"/>
          </w:tcPr>
          <w:p>
            <w:r/>
            <w:r>
              <w:rPr>
                <w:b/>
              </w:rPr>
              <w:t>[MISSING: MONITORING FREQUENCY &amp; RESPONSIBLE PARTY]</w:t>
            </w:r>
            <w:r>
              <w:t xml:space="preserve"> (see ESMP).</w:t>
            </w:r>
          </w:p>
        </w:tc>
      </w:tr>
    </w:tbl>
    <w:p>
      <w:r>
        <w:t>## 2.8 Alternatives Considered</w:t>
      </w:r>
    </w:p>
    <w:tbl>
      <w:tblPr>
        <w:tblStyle w:val="TableGrid"/>
        <w:tblW w:type="auto" w:w="0"/>
        <w:tblLook w:firstColumn="1" w:firstRow="1" w:lastColumn="0" w:lastRow="0" w:noHBand="0" w:noVBand="1" w:val="04A0"/>
      </w:tblPr>
      <w:tblGrid>
        <w:gridCol w:w="4320"/>
        <w:gridCol w:w="4320"/>
      </w:tblGrid>
      <w:tr>
        <w:tc>
          <w:tcPr>
            <w:tcW w:type="dxa" w:w="4320"/>
          </w:tcPr>
          <w:p>
            <w:r>
              <w:rPr>
                <w:b/>
              </w:rPr>
              <w:t>Alternative</w:t>
            </w:r>
          </w:p>
        </w:tc>
        <w:tc>
          <w:tcPr>
            <w:tcW w:type="dxa" w:w="4320"/>
          </w:tcPr>
          <w:p>
            <w:r>
              <w:rPr>
                <w:b/>
              </w:rPr>
              <w:t>Rationale for Rejection</w:t>
            </w:r>
          </w:p>
        </w:tc>
      </w:tr>
      <w:tr>
        <w:tc>
          <w:tcPr>
            <w:tcW w:type="dxa" w:w="4320"/>
          </w:tcPr>
          <w:p>
            <w:r/>
            <w:r>
              <w:rPr>
                <w:b/>
              </w:rPr>
              <w:t>Rooftop / Distributed Solar (Nairobi commercial buildings)</w:t>
            </w:r>
            <w:r/>
          </w:p>
        </w:tc>
        <w:tc>
          <w:tcPr>
            <w:tcW w:type="dxa" w:w="4320"/>
          </w:tcPr>
          <w:p>
            <w:r>
              <w:t>Insufficient aggregate capacity to meet the 45 MW grid‑supply contract; higher OPEX and logistical complexity.</w:t>
            </w:r>
          </w:p>
        </w:tc>
      </w:tr>
      <w:tr>
        <w:tc>
          <w:tcPr>
            <w:tcW w:type="dxa" w:w="4320"/>
          </w:tcPr>
          <w:p>
            <w:r/>
            <w:r>
              <w:rPr>
                <w:b/>
              </w:rPr>
              <w:t>Wind Power at the same site</w:t>
            </w:r>
            <w:r/>
          </w:p>
        </w:tc>
        <w:tc>
          <w:tcPr>
            <w:tcW w:type="dxa" w:w="4320"/>
          </w:tcPr>
          <w:p>
            <w:r>
              <w:t>Wind resource assessment indicated average wind speeds below the threshold for viable generation; higher visual and noise impacts.</w:t>
            </w:r>
          </w:p>
        </w:tc>
      </w:tr>
      <w:tr>
        <w:tc>
          <w:tcPr>
            <w:tcW w:type="dxa" w:w="4320"/>
          </w:tcPr>
          <w:p>
            <w:r/>
            <w:r>
              <w:rPr>
                <w:b/>
              </w:rPr>
              <w:t>Utility‑scale ground‑mount (selected)</w:t>
            </w:r>
            <w:r/>
          </w:p>
        </w:tc>
        <w:tc>
          <w:tcPr>
            <w:tcW w:type="dxa" w:w="4320"/>
          </w:tcPr>
          <w:p>
            <w:r>
              <w:t>Strong solar irradiance, proximity to existing 132 kV line, and lower land‑use conflict after mitigation.</w:t>
            </w:r>
          </w:p>
        </w:tc>
      </w:tr>
    </w:tbl>
    <w:p>
      <w:r>
        <w:t>## 2.9 Stakeholder Engagement</w:t>
      </w:r>
    </w:p>
    <w:p>
      <w:pPr>
        <w:pStyle w:val="ListBullet"/>
      </w:pPr>
      <w:r/>
      <w:r>
        <w:rPr>
          <w:b/>
        </w:rPr>
        <w:t>Public Notice:</w:t>
      </w:r>
      <w:r>
        <w:t xml:space="preserve"> Published in </w:t>
      </w:r>
      <w:r>
        <w:rPr>
          <w:i/>
        </w:rPr>
        <w:t>The Standard</w:t>
      </w:r>
      <w:r>
        <w:t xml:space="preserve"> on 14 July 2026 (21‑day notice).</w:t>
      </w:r>
    </w:p>
    <w:p>
      <w:pPr>
        <w:pStyle w:val="ListBullet"/>
      </w:pPr>
      <w:r/>
      <w:r>
        <w:rPr>
          <w:b/>
        </w:rPr>
        <w:t>Baraza (Community Meeting):</w:t>
      </w:r>
      <w:r>
        <w:t xml:space="preserve"> 6 August 2026 at Ndeiya Chief’s Camp; 94 attendees, including vulnerable grazing‑rights holders.</w:t>
      </w:r>
    </w:p>
    <w:p>
      <w:pPr>
        <w:pStyle w:val="ListBullet"/>
      </w:pPr>
      <w:r/>
      <w:r>
        <w:rPr>
          <w:b/>
        </w:rPr>
        <w:t>GRM:</w:t>
      </w:r>
      <w:r>
        <w:t xml:space="preserve"> A Grievance Redress Mechanism Committee has been formed; procedures will be incorporated into the ESMP.</w:t>
      </w:r>
    </w:p>
    <w:p>
      <w:r>
        <w:t>Key issues raised at the Baraza were documented and are addressed in Section 2.7.3.</w:t>
      </w:r>
    </w:p>
    <w:p>
      <w:r>
        <w:t>## 2.10 Environmental and Social Management Plan (ESMP) – Sample 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Impact / Issue</w:t>
            </w:r>
          </w:p>
        </w:tc>
        <w:tc>
          <w:tcPr>
            <w:tcW w:type="dxa" w:w="1728"/>
          </w:tcPr>
          <w:p>
            <w:r>
              <w:rPr>
                <w:b/>
              </w:rPr>
              <w:t>Mitigation / Management Action</w:t>
            </w:r>
          </w:p>
        </w:tc>
        <w:tc>
          <w:tcPr>
            <w:tcW w:type="dxa" w:w="1728"/>
          </w:tcPr>
          <w:p>
            <w:r>
              <w:rPr>
                <w:b/>
              </w:rPr>
              <w:t>Responsible Party</w:t>
            </w:r>
          </w:p>
        </w:tc>
        <w:tc>
          <w:tcPr>
            <w:tcW w:type="dxa" w:w="1728"/>
          </w:tcPr>
          <w:p>
            <w:r>
              <w:rPr>
                <w:b/>
              </w:rPr>
              <w:t>Frequency / Timing</w:t>
            </w:r>
          </w:p>
        </w:tc>
        <w:tc>
          <w:tcPr>
            <w:tcW w:type="dxa" w:w="1728"/>
          </w:tcPr>
          <w:p>
            <w:r>
              <w:rPr>
                <w:b/>
              </w:rPr>
              <w:t>Estimated Cost (KES)</w:t>
            </w:r>
          </w:p>
        </w:tc>
      </w:tr>
      <w:tr>
        <w:tc>
          <w:tcPr>
            <w:tcW w:type="dxa" w:w="1728"/>
          </w:tcPr>
          <w:p>
            <w:r/>
            <w:r>
              <w:rPr>
                <w:b/>
              </w:rPr>
              <w:t>Avian collision / displacement</w:t>
            </w:r>
            <w:r/>
          </w:p>
        </w:tc>
        <w:tc>
          <w:tcPr>
            <w:tcW w:type="dxa" w:w="1728"/>
          </w:tcPr>
          <w:p>
            <w:r>
              <w:t>Install perimeter netting; conduct seasonal bird monitoring; adjust netting design as needed.</w:t>
            </w:r>
          </w:p>
        </w:tc>
        <w:tc>
          <w:tcPr>
            <w:tcW w:type="dxa" w:w="1728"/>
          </w:tcPr>
          <w:p>
            <w:r>
              <w:t>Environmental Officer</w:t>
            </w:r>
          </w:p>
        </w:tc>
        <w:tc>
          <w:tcPr>
            <w:tcW w:type="dxa" w:w="1728"/>
          </w:tcPr>
          <w:p>
            <w:r>
              <w:t>Quarterly monitoring; netting inspection annually</w:t>
            </w:r>
          </w:p>
        </w:tc>
        <w:tc>
          <w:tcPr>
            <w:tcW w:type="dxa" w:w="1728"/>
          </w:tcPr>
          <w:p>
            <w:r>
              <w:t>480,000 (quarterly monitoring)</w:t>
            </w:r>
          </w:p>
        </w:tc>
      </w:tr>
      <w:tr>
        <w:tc>
          <w:tcPr>
            <w:tcW w:type="dxa" w:w="1728"/>
          </w:tcPr>
          <w:p>
            <w:r/>
            <w:r>
              <w:rPr>
                <w:b/>
              </w:rPr>
              <w:t>Glare to homesteads</w:t>
            </w:r>
            <w:r/>
          </w:p>
        </w:tc>
        <w:tc>
          <w:tcPr>
            <w:tcW w:type="dxa" w:w="1728"/>
          </w:tcPr>
          <w:p>
            <w:r>
              <w:t>Apply anti‑reflective coating to modules; orient rows to minimise glare azimuth; conduct post‑commissioning glare assessment.</w:t>
            </w:r>
          </w:p>
        </w:tc>
        <w:tc>
          <w:tcPr>
            <w:tcW w:type="dxa" w:w="1728"/>
          </w:tcPr>
          <w:p>
            <w:r>
              <w:t>Engineering Team</w:t>
            </w:r>
          </w:p>
        </w:tc>
        <w:tc>
          <w:tcPr>
            <w:tcW w:type="dxa" w:w="1728"/>
          </w:tcPr>
          <w:p>
            <w:r>
              <w:t>One‑time design &amp; installation; post‑commissioning verification (6 months)</w:t>
            </w:r>
          </w:p>
        </w:tc>
        <w:tc>
          <w:tcPr>
            <w:tcW w:type="dxa" w:w="1728"/>
          </w:tcPr>
          <w:p>
            <w:r>
              <w:t>1,200,000 (one‑time)</w:t>
            </w:r>
          </w:p>
        </w:tc>
      </w:tr>
      <w:tr>
        <w:tc>
          <w:tcPr>
            <w:tcW w:type="dxa" w:w="1728"/>
          </w:tcPr>
          <w:p>
            <w:r/>
            <w:r>
              <w:rPr>
                <w:b/>
              </w:rPr>
              <w:t>Dust generation (construction)</w:t>
            </w:r>
            <w:r/>
          </w:p>
        </w:tc>
        <w:tc>
          <w:tcPr>
            <w:tcW w:type="dxa" w:w="1728"/>
          </w:tcPr>
          <w:p>
            <w:r>
              <w:t>Water‑spray on haul roads; cover trucks; enforce speed limits.</w:t>
            </w:r>
          </w:p>
        </w:tc>
        <w:tc>
          <w:tcPr>
            <w:tcW w:type="dxa" w:w="1728"/>
          </w:tcPr>
          <w:p>
            <w:r>
              <w:t>Construction Contractor</w:t>
            </w:r>
          </w:p>
        </w:tc>
        <w:tc>
          <w:tcPr>
            <w:tcW w:type="dxa" w:w="1728"/>
          </w:tcPr>
          <w:p>
            <w:r>
              <w:t>Daily during construction</w:t>
            </w:r>
          </w:p>
        </w:tc>
        <w:tc>
          <w:tcPr>
            <w:tcW w:type="dxa" w:w="1728"/>
          </w:tcPr>
          <w:p>
            <w:r/>
            <w:r>
              <w:rPr>
                <w:b/>
              </w:rPr>
              <w:t>[MISSING: DUST CONTROL BUDGET]</w:t>
            </w:r>
            <w:r/>
          </w:p>
        </w:tc>
      </w:tr>
      <w:tr>
        <w:tc>
          <w:tcPr>
            <w:tcW w:type="dxa" w:w="1728"/>
          </w:tcPr>
          <w:p>
            <w:r/>
            <w:r>
              <w:rPr>
                <w:b/>
              </w:rPr>
              <w:t>Noise (construction &amp; operation)</w:t>
            </w:r>
            <w:r/>
          </w:p>
        </w:tc>
        <w:tc>
          <w:tcPr>
            <w:tcW w:type="dxa" w:w="1728"/>
          </w:tcPr>
          <w:p>
            <w:r>
              <w:t>Use low‑noise equipment; schedule high‑noise activities within daytime hours; install acoustic enclosures for inverters.</w:t>
            </w:r>
          </w:p>
        </w:tc>
        <w:tc>
          <w:tcPr>
            <w:tcW w:type="dxa" w:w="1728"/>
          </w:tcPr>
          <w:p>
            <w:r>
              <w:t>Contractor / Operations Manager</w:t>
            </w:r>
          </w:p>
        </w:tc>
        <w:tc>
          <w:tcPr>
            <w:tcW w:type="dxa" w:w="1728"/>
          </w:tcPr>
          <w:p>
            <w:r>
              <w:t>Continuous; daily logs</w:t>
            </w:r>
          </w:p>
        </w:tc>
        <w:tc>
          <w:tcPr>
            <w:tcW w:type="dxa" w:w="1728"/>
          </w:tcPr>
          <w:p>
            <w:r/>
            <w:r>
              <w:rPr>
                <w:b/>
              </w:rPr>
              <w:t>[MISSING: NOISE MITIGATION BUDGET]</w:t>
            </w:r>
            <w:r/>
          </w:p>
        </w:tc>
      </w:tr>
      <w:tr>
        <w:tc>
          <w:tcPr>
            <w:tcW w:type="dxa" w:w="1728"/>
          </w:tcPr>
          <w:p>
            <w:r/>
            <w:r>
              <w:rPr>
                <w:b/>
              </w:rPr>
              <w:t>Water abstraction</w:t>
            </w:r>
            <w:r/>
          </w:p>
        </w:tc>
        <w:tc>
          <w:tcPr>
            <w:tcW w:type="dxa" w:w="1728"/>
          </w:tcPr>
          <w:p>
            <w:r>
              <w:t>Obtain Water Act 2016 licence; monitor borehole levels quarterly; implement water‑saving practices.</w:t>
            </w:r>
          </w:p>
        </w:tc>
        <w:tc>
          <w:tcPr>
            <w:tcW w:type="dxa" w:w="1728"/>
          </w:tcPr>
          <w:p>
            <w:r>
              <w:t>Water Management Officer</w:t>
            </w:r>
          </w:p>
        </w:tc>
        <w:tc>
          <w:tcPr>
            <w:tcW w:type="dxa" w:w="1728"/>
          </w:tcPr>
          <w:p>
            <w:r>
              <w:t>Quarterly</w:t>
            </w:r>
          </w:p>
        </w:tc>
        <w:tc>
          <w:tcPr>
            <w:tcW w:type="dxa" w:w="1728"/>
          </w:tcPr>
          <w:p>
            <w:r/>
            <w:r>
              <w:rPr>
                <w:b/>
              </w:rPr>
              <w:t>[MISSING: WATER MONITORING BUDGET]</w:t>
            </w:r>
            <w:r/>
          </w:p>
        </w:tc>
      </w:tr>
      <w:tr>
        <w:tc>
          <w:tcPr>
            <w:tcW w:type="dxa" w:w="1728"/>
          </w:tcPr>
          <w:p>
            <w:r/>
            <w:r>
              <w:rPr>
                <w:b/>
              </w:rPr>
              <w:t>Community grievances</w:t>
            </w:r>
            <w:r/>
          </w:p>
        </w:tc>
        <w:tc>
          <w:tcPr>
            <w:tcW w:type="dxa" w:w="1728"/>
          </w:tcPr>
          <w:p>
            <w:r>
              <w:t>GRM Committee to receive, log, and resolve complaints within 30 days; annual public reporting.</w:t>
            </w:r>
          </w:p>
        </w:tc>
        <w:tc>
          <w:tcPr>
            <w:tcW w:type="dxa" w:w="1728"/>
          </w:tcPr>
          <w:p>
            <w:r>
              <w:t>GRM Committee</w:t>
            </w:r>
          </w:p>
        </w:tc>
        <w:tc>
          <w:tcPr>
            <w:tcW w:type="dxa" w:w="1728"/>
          </w:tcPr>
          <w:p>
            <w:r>
              <w:t>Ongoing</w:t>
            </w:r>
          </w:p>
        </w:tc>
        <w:tc>
          <w:tcPr>
            <w:tcW w:type="dxa" w:w="1728"/>
          </w:tcPr>
          <w:p>
            <w:r/>
            <w:r>
              <w:rPr>
                <w:b/>
              </w:rPr>
              <w:t>[MISSING: GRM OPERATIONAL COST]</w:t>
            </w:r>
            <w:r/>
          </w:p>
        </w:tc>
      </w:tr>
    </w:tbl>
    <w:p>
      <w:r>
        <w:t xml:space="preserve">All ESMP actions will be aligned with the </w:t>
      </w:r>
      <w:r>
        <w:rPr>
          <w:b/>
        </w:rPr>
        <w:t>World Bank Environmental and Social Framework (ESF)</w:t>
      </w:r>
      <w:r>
        <w:t xml:space="preserve"> and Kenyan statutory requirements (e.g., NEMA Guidelines, Water Act 2016, WHO air‑quality standards).</w:t>
      </w:r>
    </w:p>
    <w:p>
      <w:r>
        <w:t>---</w:t>
      </w:r>
    </w:p>
    <w:p>
      <w:r/>
      <w:r>
        <w:rPr>
          <w:b/>
        </w:rPr>
        <w:t>Prepared by:</w:t>
      </w:r>
      <w:r/>
    </w:p>
    <w:p>
      <w:r>
        <w:t>George Kamau – Lead Expert (EIA/EA/1234)</w:t>
      </w:r>
    </w:p>
    <w:p>
      <w:r/>
      <w:r>
        <w:rPr>
          <w:b/>
        </w:rPr>
        <w:t>Date:</w:t>
      </w:r>
      <w:r>
        <w:t xml:space="preserve"> 16 September 2026</w:t>
      </w:r>
    </w:p>
    <w:p>
      <w:r>
        <w:t>---</w:t>
      </w:r>
    </w:p>
    <w:p>
      <w:r/>
      <w:r>
        <w:rPr>
          <w:i/>
        </w:rPr>
        <w:t>End of Chapter 2 – Project Description</w:t>
      </w:r>
      <w:r/>
    </w:p>
    <w:p>
      <w:r>
        <w:br w:type="page"/>
      </w:r>
    </w:p>
    <w:p>
      <w:pPr>
        <w:pStyle w:val="Heading1"/>
      </w:pPr>
      <w:r>
        <w:t>Chapter 3: Analysis of Project Alternatives</w:t>
      </w:r>
    </w:p>
    <w:p>
      <w:r>
        <w:t>[Content generation failed due to repeated rate limits.]</w:t>
      </w:r>
    </w:p>
    <w:p>
      <w:r>
        <w:br w:type="page"/>
      </w:r>
    </w:p>
    <w:p>
      <w:pPr>
        <w:pStyle w:val="Heading1"/>
      </w:pPr>
      <w:r>
        <w:t>Chapter 4: Policy, Legal and Institutional Framework</w:t>
      </w:r>
    </w:p>
    <w:p>
      <w:r>
        <w:t>## 4.1 Legislative Context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Sector</w:t>
            </w:r>
          </w:p>
        </w:tc>
        <w:tc>
          <w:tcPr>
            <w:tcW w:type="dxa" w:w="2880"/>
          </w:tcPr>
          <w:p>
            <w:r>
              <w:rPr>
                <w:b/>
              </w:rPr>
              <w:t>Relevant Legislation</w:t>
            </w:r>
          </w:p>
        </w:tc>
        <w:tc>
          <w:tcPr>
            <w:tcW w:type="dxa" w:w="2880"/>
          </w:tcPr>
          <w:p>
            <w:r>
              <w:rPr>
                <w:b/>
              </w:rPr>
              <w:t>Key Provisions Applicable to the Ndeiya Solar Power Plant</w:t>
            </w:r>
          </w:p>
        </w:tc>
      </w:tr>
      <w:tr>
        <w:tc>
          <w:tcPr>
            <w:tcW w:type="dxa" w:w="2880"/>
          </w:tcPr>
          <w:p>
            <w:r/>
            <w:r>
              <w:rPr>
                <w:b/>
              </w:rPr>
              <w:t>Environmental Management</w:t>
            </w:r>
            <w:r/>
          </w:p>
        </w:tc>
        <w:tc>
          <w:tcPr>
            <w:tcW w:type="dxa" w:w="2880"/>
          </w:tcPr>
          <w:p>
            <w:r/>
            <w:r>
              <w:rPr>
                <w:b/>
              </w:rPr>
              <w:t>Environmental Management and Co‑ordination Act (EMCA) 1999</w:t>
            </w:r>
            <w:r>
              <w:t xml:space="preserve"> – Section 58 (Mandatory EIA for Second Schedule Projects)</w:t>
            </w:r>
          </w:p>
        </w:tc>
        <w:tc>
          <w:tcPr>
            <w:tcW w:type="dxa" w:w="2880"/>
          </w:tcPr>
          <w:p>
            <w:r>
              <w:t xml:space="preserve">The project is classified as </w:t>
            </w:r>
            <w:r>
              <w:rPr>
                <w:b/>
              </w:rPr>
              <w:t>High Risk – Second Schedule</w:t>
            </w:r>
            <w:r>
              <w:t>; therefore a full Environmental Impact Assessment (EIA) is mandatory before any construction licence can be issued.</w:t>
            </w:r>
          </w:p>
        </w:tc>
      </w:tr>
      <w:tr>
        <w:tc>
          <w:tcPr>
            <w:tcW w:type="dxa" w:w="2880"/>
          </w:tcPr>
          <w:p>
            <w:r/>
          </w:p>
        </w:tc>
        <w:tc>
          <w:tcPr>
            <w:tcW w:type="dxa" w:w="2880"/>
          </w:tcPr>
          <w:p>
            <w:r/>
            <w:r>
              <w:rPr>
                <w:b/>
              </w:rPr>
              <w:t>Environmental (Impact Assessment and Audit) Regulations 2003</w:t>
            </w:r>
            <w:r>
              <w:t xml:space="preserve"> – Regulation 17 (Public Participation Requirements)</w:t>
            </w:r>
          </w:p>
        </w:tc>
        <w:tc>
          <w:tcPr>
            <w:tcW w:type="dxa" w:w="2880"/>
          </w:tcPr>
          <w:p>
            <w:r>
              <w:t>Requires the proponent to undertake a structured public participation process, including notice in a national newspaper, a Baraza with affected communities, and the establishment of a Grievance Redress Mechanism (GRM).</w:t>
            </w:r>
          </w:p>
        </w:tc>
      </w:tr>
      <w:tr>
        <w:tc>
          <w:tcPr>
            <w:tcW w:type="dxa" w:w="2880"/>
          </w:tcPr>
          <w:p>
            <w:r/>
            <w:r>
              <w:rPr>
                <w:b/>
              </w:rPr>
              <w:t>Water Resources</w:t>
            </w:r>
            <w:r/>
          </w:p>
        </w:tc>
        <w:tc>
          <w:tcPr>
            <w:tcW w:type="dxa" w:w="2880"/>
          </w:tcPr>
          <w:p>
            <w:r/>
            <w:r>
              <w:rPr>
                <w:b/>
              </w:rPr>
              <w:t>Water Act 2016</w:t>
            </w:r>
            <w:r>
              <w:t xml:space="preserve"> – Section 143 (Prohibited activities near water resources)</w:t>
            </w:r>
          </w:p>
        </w:tc>
        <w:tc>
          <w:tcPr>
            <w:tcW w:type="dxa" w:w="2880"/>
          </w:tcPr>
          <w:p>
            <w:r>
              <w:t>The Ewaso Kedong Seasonal Stream lies 410 m south of the site; any abstraction, discharge or alteration within the protected zone must be avoided or authorised by the Water Resources Authority.</w:t>
            </w:r>
          </w:p>
        </w:tc>
      </w:tr>
      <w:tr>
        <w:tc>
          <w:tcPr>
            <w:tcW w:type="dxa" w:w="2880"/>
          </w:tcPr>
          <w:p>
            <w:r/>
            <w:r>
              <w:rPr>
                <w:b/>
              </w:rPr>
              <w:t>Wildlife &amp; Biodiversity</w:t>
            </w:r>
            <w:r/>
          </w:p>
        </w:tc>
        <w:tc>
          <w:tcPr>
            <w:tcW w:type="dxa" w:w="2880"/>
          </w:tcPr>
          <w:p>
            <w:r/>
            <w:r>
              <w:rPr>
                <w:b/>
              </w:rPr>
              <w:t>Wildlife Conservation and Management Act 2013</w:t>
            </w:r>
            <w:r/>
          </w:p>
        </w:tc>
        <w:tc>
          <w:tcPr>
            <w:tcW w:type="dxa" w:w="2880"/>
          </w:tcPr>
          <w:p>
            <w:r>
              <w:t>Obligates the proponent to avoid, mitigate and monitor impacts on protected bird species; the avian collision risk identified in the specialist survey triggers the need for mitigation (perimeter netting, seasonal monitoring).</w:t>
            </w:r>
          </w:p>
        </w:tc>
      </w:tr>
      <w:tr>
        <w:tc>
          <w:tcPr>
            <w:tcW w:type="dxa" w:w="2880"/>
          </w:tcPr>
          <w:p>
            <w:r/>
            <w:r>
              <w:rPr>
                <w:b/>
              </w:rPr>
              <w:t>Land Use &amp; Planning</w:t>
            </w:r>
            <w:r/>
          </w:p>
        </w:tc>
        <w:tc>
          <w:tcPr>
            <w:tcW w:type="dxa" w:w="2880"/>
          </w:tcPr>
          <w:p>
            <w:r/>
            <w:r>
              <w:rPr>
                <w:b/>
              </w:rPr>
              <w:t>Physical and Land Use Planning Act 2019</w:t>
            </w:r>
            <w:r/>
          </w:p>
        </w:tc>
        <w:tc>
          <w:tcPr>
            <w:tcW w:type="dxa" w:w="2880"/>
          </w:tcPr>
          <w:p>
            <w:r>
              <w:t>The leasehold title (LR No. 9902/14) and the designated land use (grazing/open grassland) must be reconciled with the change to utility‑scale solar generation; any amendment requires County approval.</w:t>
            </w:r>
          </w:p>
        </w:tc>
      </w:tr>
      <w:tr>
        <w:tc>
          <w:tcPr>
            <w:tcW w:type="dxa" w:w="2880"/>
          </w:tcPr>
          <w:p>
            <w:r/>
            <w:r>
              <w:rPr>
                <w:b/>
              </w:rPr>
              <w:t>County Governance</w:t>
            </w:r>
            <w:r/>
          </w:p>
        </w:tc>
        <w:tc>
          <w:tcPr>
            <w:tcW w:type="dxa" w:w="2880"/>
          </w:tcPr>
          <w:p>
            <w:r/>
            <w:r>
              <w:rPr>
                <w:b/>
              </w:rPr>
              <w:t>County Governments Act (relevant County Government Act)</w:t>
            </w:r>
            <w:r>
              <w:t xml:space="preserve"> – Kiambu County</w:t>
            </w:r>
          </w:p>
        </w:tc>
        <w:tc>
          <w:tcPr>
            <w:tcW w:type="dxa" w:w="2880"/>
          </w:tcPr>
          <w:p>
            <w:r>
              <w:t>Kiambu County’s Environment and Natural Resources Management Department is the designated County authority for issuing the County Environmental Impact Assessment (CEIA) licence and for monitoring compliance with the ESMP.</w:t>
            </w:r>
          </w:p>
        </w:tc>
      </w:tr>
      <w:tr>
        <w:tc>
          <w:tcPr>
            <w:tcW w:type="dxa" w:w="2880"/>
          </w:tcPr>
          <w:p>
            <w:r/>
            <w:r>
              <w:rPr>
                <w:b/>
              </w:rPr>
              <w:t>Occupational Safety</w:t>
            </w:r>
            <w:r/>
          </w:p>
        </w:tc>
        <w:tc>
          <w:tcPr>
            <w:tcW w:type="dxa" w:w="2880"/>
          </w:tcPr>
          <w:p>
            <w:r/>
            <w:r>
              <w:rPr>
                <w:b/>
              </w:rPr>
              <w:t>Occupational Safety and Health Act (OSHA) 2007</w:t>
            </w:r>
            <w:r/>
          </w:p>
        </w:tc>
        <w:tc>
          <w:tcPr>
            <w:tcW w:type="dxa" w:w="2880"/>
          </w:tcPr>
          <w:p>
            <w:r>
              <w:t>The construction phase (11 months) must comply with OSHA standards for worker safety, including fall protection on PV racking and electrical safety.</w:t>
            </w:r>
          </w:p>
        </w:tc>
      </w:tr>
      <w:tr>
        <w:tc>
          <w:tcPr>
            <w:tcW w:type="dxa" w:w="2880"/>
          </w:tcPr>
          <w:p>
            <w:r/>
            <w:r>
              <w:rPr>
                <w:b/>
              </w:rPr>
              <w:t>Public Health</w:t>
            </w:r>
            <w:r/>
          </w:p>
        </w:tc>
        <w:tc>
          <w:tcPr>
            <w:tcW w:type="dxa" w:w="2880"/>
          </w:tcPr>
          <w:p>
            <w:r/>
            <w:r>
              <w:rPr>
                <w:b/>
              </w:rPr>
              <w:t>Public Health Act Cap 242</w:t>
            </w:r>
            <w:r/>
          </w:p>
        </w:tc>
        <w:tc>
          <w:tcPr>
            <w:tcW w:type="dxa" w:w="2880"/>
          </w:tcPr>
          <w:p>
            <w:r>
              <w:t>Air quality and noise baselines must be compared against national standards (WHO 24‑hr PM₂.₅ guideline 15 µg/m³; NEMA PM₁₀ limit 75 µg/m³).</w:t>
            </w:r>
          </w:p>
        </w:tc>
      </w:tr>
      <w:tr>
        <w:tc>
          <w:tcPr>
            <w:tcW w:type="dxa" w:w="2880"/>
          </w:tcPr>
          <w:p>
            <w:r/>
            <w:r>
              <w:rPr>
                <w:b/>
              </w:rPr>
              <w:t>Infrastructure &amp; Access</w:t>
            </w:r>
            <w:r/>
          </w:p>
        </w:tc>
        <w:tc>
          <w:tcPr>
            <w:tcW w:type="dxa" w:w="2880"/>
          </w:tcPr>
          <w:p>
            <w:r/>
            <w:r>
              <w:rPr>
                <w:b/>
              </w:rPr>
              <w:t>Way Leave Act Cap 292</w:t>
            </w:r>
            <w:r>
              <w:t xml:space="preserve">; </w:t>
            </w:r>
            <w:r>
              <w:rPr>
                <w:b/>
              </w:rPr>
              <w:t>Public Roads and Roads of Access Act (Cap 399)</w:t>
            </w:r>
            <w:r>
              <w:t xml:space="preserve">; </w:t>
            </w:r>
            <w:r>
              <w:rPr>
                <w:b/>
              </w:rPr>
              <w:t>Traffic Act Chapter 403</w:t>
            </w:r>
            <w:r/>
          </w:p>
        </w:tc>
        <w:tc>
          <w:tcPr>
            <w:tcW w:type="dxa" w:w="2880"/>
          </w:tcPr>
          <w:p>
            <w:r>
              <w:t>Any new access roads, way‑leaves for transmission line connections, or traffic management measures must be authorised by the relevant authorities.</w:t>
            </w:r>
          </w:p>
        </w:tc>
      </w:tr>
      <w:tr>
        <w:tc>
          <w:tcPr>
            <w:tcW w:type="dxa" w:w="2880"/>
          </w:tcPr>
          <w:p>
            <w:r/>
            <w:r>
              <w:rPr>
                <w:b/>
              </w:rPr>
              <w:t>International Safeguards</w:t>
            </w:r>
            <w:r/>
          </w:p>
        </w:tc>
        <w:tc>
          <w:tcPr>
            <w:tcW w:type="dxa" w:w="2880"/>
          </w:tcPr>
          <w:p>
            <w:r/>
            <w:r>
              <w:rPr>
                <w:b/>
              </w:rPr>
              <w:t>World Bank Environmental and Social Framework (ESF)</w:t>
            </w:r>
            <w:r/>
          </w:p>
        </w:tc>
        <w:tc>
          <w:tcPr>
            <w:tcW w:type="dxa" w:w="2880"/>
          </w:tcPr>
          <w:p>
            <w:r>
              <w:t>As the project is financed partially by a World Bank‑linked loan, compliance with the ESF (including labor, biodiversity, and community safeguards) is required.</w:t>
            </w:r>
          </w:p>
        </w:tc>
      </w:tr>
    </w:tbl>
    <w:p>
      <w:r>
        <w:t>## 4.2 Institutional Arrangements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Institution</w:t>
            </w:r>
          </w:p>
        </w:tc>
        <w:tc>
          <w:tcPr>
            <w:tcW w:type="dxa" w:w="2880"/>
          </w:tcPr>
          <w:p>
            <w:r>
              <w:rPr>
                <w:b/>
              </w:rPr>
              <w:t>Role in the Project</w:t>
            </w:r>
          </w:p>
        </w:tc>
        <w:tc>
          <w:tcPr>
            <w:tcW w:type="dxa" w:w="2880"/>
          </w:tcPr>
          <w:p>
            <w:r>
              <w:rPr>
                <w:b/>
              </w:rPr>
              <w:t>Points of Contact</w:t>
            </w:r>
          </w:p>
        </w:tc>
      </w:tr>
      <w:tr>
        <w:tc>
          <w:tcPr>
            <w:tcW w:type="dxa" w:w="2880"/>
          </w:tcPr>
          <w:p>
            <w:r/>
            <w:r>
              <w:rPr>
                <w:b/>
              </w:rPr>
              <w:t>National Environment Management Authority (NEMA)</w:t>
            </w:r>
            <w:r/>
          </w:p>
        </w:tc>
        <w:tc>
          <w:tcPr>
            <w:tcW w:type="dxa" w:w="2880"/>
          </w:tcPr>
          <w:p>
            <w:r>
              <w:t>- Lead regulator for the EIA process (EMCA §58). &lt;br&gt; - Review and issue the Environmental Impact Assessment (EIA) licence. &lt;br&gt; - Monitor implementation of the ESMP.</w:t>
            </w:r>
          </w:p>
        </w:tc>
        <w:tc>
          <w:tcPr>
            <w:tcW w:type="dxa" w:w="2880"/>
          </w:tcPr>
          <w:p>
            <w:r>
              <w:t>Lead Expert: George Kamau (EIA/EA/1234) – development@sunbeltenergy.co.ke</w:t>
            </w:r>
          </w:p>
        </w:tc>
      </w:tr>
      <w:tr>
        <w:tc>
          <w:tcPr>
            <w:tcW w:type="dxa" w:w="2880"/>
          </w:tcPr>
          <w:p>
            <w:r/>
            <w:r>
              <w:rPr>
                <w:b/>
              </w:rPr>
              <w:t>Kiambu County Government – Environment &amp; Natural Resources Management Department</w:t>
            </w:r>
            <w:r/>
          </w:p>
        </w:tc>
        <w:tc>
          <w:tcPr>
            <w:tcW w:type="dxa" w:w="2880"/>
          </w:tcPr>
          <w:p>
            <w:r>
              <w:t>- Issue the County Environmental Impact Assessment (CEIA) licence. &lt;br&gt; - Co‑ordinate public participation at the County level. &lt;br&gt; - Enforce compliance with County planning and land‑use regulations.</w:t>
            </w:r>
          </w:p>
        </w:tc>
        <w:tc>
          <w:tcPr>
            <w:tcW w:type="dxa" w:w="2880"/>
          </w:tcPr>
          <w:p>
            <w:r>
              <w:t>County Environmental Officer (to be confirmed)</w:t>
            </w:r>
          </w:p>
        </w:tc>
      </w:tr>
      <w:tr>
        <w:tc>
          <w:tcPr>
            <w:tcW w:type="dxa" w:w="2880"/>
          </w:tcPr>
          <w:p>
            <w:r/>
            <w:r>
              <w:rPr>
                <w:b/>
              </w:rPr>
              <w:t>Water Resources Authority (WRA)</w:t>
            </w:r>
            <w:r/>
          </w:p>
        </w:tc>
        <w:tc>
          <w:tcPr>
            <w:tcW w:type="dxa" w:w="2880"/>
          </w:tcPr>
          <w:p>
            <w:r>
              <w:t>- Review any water abstraction or discharge proposals affecting the Ewaso Kedong Seasonal Stream.</w:t>
            </w:r>
          </w:p>
        </w:tc>
        <w:tc>
          <w:tcPr>
            <w:tcW w:type="dxa" w:w="2880"/>
          </w:tcPr>
          <w:p>
            <w:r>
              <w:t>WRA Liaison Officer (to be confirmed)</w:t>
            </w:r>
          </w:p>
        </w:tc>
      </w:tr>
      <w:tr>
        <w:tc>
          <w:tcPr>
            <w:tcW w:type="dxa" w:w="2880"/>
          </w:tcPr>
          <w:p>
            <w:r/>
            <w:r>
              <w:rPr>
                <w:b/>
              </w:rPr>
              <w:t>Kenya Wildlife Service (KWS)</w:t>
            </w:r>
            <w:r/>
          </w:p>
        </w:tc>
        <w:tc>
          <w:tcPr>
            <w:tcW w:type="dxa" w:w="2880"/>
          </w:tcPr>
          <w:p>
            <w:r>
              <w:t>- Review avian collision mitigation measures and issue any required wildlife permits.</w:t>
            </w:r>
          </w:p>
        </w:tc>
        <w:tc>
          <w:tcPr>
            <w:tcW w:type="dxa" w:w="2880"/>
          </w:tcPr>
          <w:p>
            <w:r>
              <w:t>KWS Regional Officer, Central Province</w:t>
            </w:r>
          </w:p>
        </w:tc>
      </w:tr>
      <w:tr>
        <w:tc>
          <w:tcPr>
            <w:tcW w:type="dxa" w:w="2880"/>
          </w:tcPr>
          <w:p>
            <w:r/>
            <w:r>
              <w:rPr>
                <w:b/>
              </w:rPr>
              <w:t>Occupational Safety &amp; Health Directorate (OSHD)</w:t>
            </w:r>
            <w:r/>
          </w:p>
        </w:tc>
        <w:tc>
          <w:tcPr>
            <w:tcW w:type="dxa" w:w="2880"/>
          </w:tcPr>
          <w:p>
            <w:r>
              <w:t>- Inspect construction sites for OSHA compliance.</w:t>
            </w:r>
          </w:p>
        </w:tc>
        <w:tc>
          <w:tcPr>
            <w:tcW w:type="dxa" w:w="2880"/>
          </w:tcPr>
          <w:p>
            <w:r>
              <w:t>OSHD Inspector (to be confirmed)</w:t>
            </w:r>
          </w:p>
        </w:tc>
      </w:tr>
      <w:tr>
        <w:tc>
          <w:tcPr>
            <w:tcW w:type="dxa" w:w="2880"/>
          </w:tcPr>
          <w:p>
            <w:r/>
            <w:r>
              <w:rPr>
                <w:b/>
              </w:rPr>
              <w:t>Grievance Redress Mechanism (GRM) Committee</w:t>
            </w:r>
            <w:r/>
          </w:p>
        </w:tc>
        <w:tc>
          <w:tcPr>
            <w:tcW w:type="dxa" w:w="2880"/>
          </w:tcPr>
          <w:p>
            <w:r>
              <w:t>- Receive, log and resolve community complaints throughout the project life‑cycle.</w:t>
            </w:r>
          </w:p>
        </w:tc>
        <w:tc>
          <w:tcPr>
            <w:tcW w:type="dxa" w:w="2880"/>
          </w:tcPr>
          <w:p>
            <w:r>
              <w:t>GRM Chair (proposed community representative)</w:t>
            </w:r>
          </w:p>
        </w:tc>
      </w:tr>
      <w:tr>
        <w:tc>
          <w:tcPr>
            <w:tcW w:type="dxa" w:w="2880"/>
          </w:tcPr>
          <w:p>
            <w:r/>
            <w:r>
              <w:rPr>
                <w:b/>
              </w:rPr>
              <w:t>World Bank – Environmental &amp; Social Department</w:t>
            </w:r>
            <w:r/>
          </w:p>
        </w:tc>
        <w:tc>
          <w:tcPr>
            <w:tcW w:type="dxa" w:w="2880"/>
          </w:tcPr>
          <w:p>
            <w:r>
              <w:t>- Conduct safeguard compliance audits under the ESF.</w:t>
            </w:r>
          </w:p>
        </w:tc>
        <w:tc>
          <w:tcPr>
            <w:tcW w:type="dxa" w:w="2880"/>
          </w:tcPr>
          <w:p>
            <w:r>
              <w:t>World Bank ESG Officer (to be confirmed)</w:t>
            </w:r>
          </w:p>
        </w:tc>
      </w:tr>
    </w:tbl>
    <w:p>
      <w:r>
        <w:t>## 4.3 Public Participation &amp; Consultation</w:t>
      </w:r>
    </w:p>
    <w:p>
      <w:r>
        <w:t xml:space="preserve">The proponent has complied with </w:t>
      </w:r>
      <w:r>
        <w:rPr>
          <w:b/>
        </w:rPr>
        <w:t>Regulation 17</w:t>
      </w:r>
      <w:r>
        <w:t xml:space="preserve"> of the 2003 Impact Assessment Regulations by:</w:t>
      </w:r>
    </w:p>
    <w:p>
      <w:pPr>
        <w:pStyle w:val="ListNumber"/>
      </w:pPr>
      <w:r>
        <w:t xml:space="preserve">Publishing a notice in </w:t>
      </w:r>
      <w:r>
        <w:rPr>
          <w:i/>
        </w:rPr>
        <w:t>The Standard</w:t>
      </w:r>
      <w:r>
        <w:t xml:space="preserve"> on </w:t>
      </w:r>
      <w:r>
        <w:rPr>
          <w:b/>
        </w:rPr>
        <w:t>14 July 2026</w:t>
      </w:r>
      <w:r>
        <w:t xml:space="preserve"> (21‑day notice period).</w:t>
      </w:r>
    </w:p>
    <w:p>
      <w:pPr>
        <w:pStyle w:val="ListNumber"/>
      </w:pPr>
      <w:r>
        <w:t xml:space="preserve">Convening a </w:t>
      </w:r>
      <w:r>
        <w:rPr>
          <w:b/>
        </w:rPr>
        <w:t>Baraza</w:t>
      </w:r>
      <w:r>
        <w:t xml:space="preserve"> on </w:t>
      </w:r>
      <w:r>
        <w:rPr>
          <w:b/>
        </w:rPr>
        <w:t>6 August 2026</w:t>
      </w:r>
      <w:r>
        <w:t xml:space="preserve"> at Ndeiya Chief’s Camp, attended by </w:t>
      </w:r>
      <w:r>
        <w:rPr>
          <w:b/>
        </w:rPr>
        <w:t>94</w:t>
      </w:r>
      <w:r>
        <w:t xml:space="preserve"> participants, including the identified vulnerable group – grazing‑rights holders on adjacent unfenced land.</w:t>
      </w:r>
    </w:p>
    <w:p>
      <w:pPr>
        <w:pStyle w:val="ListNumber"/>
      </w:pPr>
      <w:r>
        <w:t xml:space="preserve">Forming a </w:t>
      </w:r>
      <w:r>
        <w:rPr>
          <w:b/>
        </w:rPr>
        <w:t>GRM Committee</w:t>
      </w:r>
      <w:r>
        <w:t xml:space="preserve"> to manage post‑approval grievances.</w:t>
      </w:r>
    </w:p>
    <w:p>
      <w:r>
        <w:t>All consultation activities have been documented and will be incorporated into the ESMP’s Stakeholder Engagement component.</w:t>
      </w:r>
    </w:p>
    <w:p>
      <w:r>
        <w:t>## 4.4 Compliance with Environmental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Baseline (2026‑03‑22)</w:t>
            </w:r>
          </w:p>
        </w:tc>
        <w:tc>
          <w:tcPr>
            <w:tcW w:type="dxa" w:w="2160"/>
          </w:tcPr>
          <w:p>
            <w:r>
              <w:rPr>
                <w:b/>
              </w:rPr>
              <w:t>Applicable Standard</w:t>
            </w:r>
          </w:p>
        </w:tc>
        <w:tc>
          <w:tcPr>
            <w:tcW w:type="dxa" w:w="2160"/>
          </w:tcPr>
          <w:p>
            <w:r>
              <w:rPr>
                <w:b/>
              </w:rPr>
              <w:t>Assessment</w:t>
            </w:r>
          </w:p>
        </w:tc>
      </w:tr>
      <w:tr>
        <w:tc>
          <w:tcPr>
            <w:tcW w:type="dxa" w:w="2160"/>
          </w:tcPr>
          <w:p>
            <w:r/>
            <w:r>
              <w:rPr>
                <w:b/>
              </w:rPr>
              <w:t>PM₂.₅</w:t>
            </w:r>
            <w:r/>
          </w:p>
        </w:tc>
        <w:tc>
          <w:tcPr>
            <w:tcW w:type="dxa" w:w="2160"/>
          </w:tcPr>
          <w:p>
            <w:r>
              <w:t>11 µg/m³</w:t>
            </w:r>
          </w:p>
        </w:tc>
        <w:tc>
          <w:tcPr>
            <w:tcW w:type="dxa" w:w="2160"/>
          </w:tcPr>
          <w:p>
            <w:r>
              <w:t>WHO 24‑hr guideline 15 µg/m³</w:t>
            </w:r>
          </w:p>
        </w:tc>
        <w:tc>
          <w:tcPr>
            <w:tcW w:type="dxa" w:w="2160"/>
          </w:tcPr>
          <w:p>
            <w:r/>
            <w:r>
              <w:rPr>
                <w:b/>
              </w:rPr>
              <w:t>Within</w:t>
            </w:r>
            <w:r>
              <w:t xml:space="preserve"> guideline</w:t>
            </w:r>
          </w:p>
        </w:tc>
      </w:tr>
      <w:tr>
        <w:tc>
          <w:tcPr>
            <w:tcW w:type="dxa" w:w="2160"/>
          </w:tcPr>
          <w:p>
            <w:r/>
            <w:r>
              <w:rPr>
                <w:b/>
              </w:rPr>
              <w:t>PM₁₀</w:t>
            </w:r>
            <w:r/>
          </w:p>
        </w:tc>
        <w:tc>
          <w:tcPr>
            <w:tcW w:type="dxa" w:w="2160"/>
          </w:tcPr>
          <w:p>
            <w:r>
              <w:t>24 µg/m³</w:t>
            </w:r>
          </w:p>
        </w:tc>
        <w:tc>
          <w:tcPr>
            <w:tcW w:type="dxa" w:w="2160"/>
          </w:tcPr>
          <w:p>
            <w:r>
              <w:t>NEMA limit 75 µg/m³</w:t>
            </w:r>
          </w:p>
        </w:tc>
        <w:tc>
          <w:tcPr>
            <w:tcW w:type="dxa" w:w="2160"/>
          </w:tcPr>
          <w:p>
            <w:r/>
            <w:r>
              <w:rPr>
                <w:b/>
              </w:rPr>
              <w:t>Within</w:t>
            </w:r>
            <w:r>
              <w:t xml:space="preserve"> limit</w:t>
            </w:r>
          </w:p>
        </w:tc>
      </w:tr>
      <w:tr>
        <w:tc>
          <w:tcPr>
            <w:tcW w:type="dxa" w:w="2160"/>
          </w:tcPr>
          <w:p>
            <w:r/>
            <w:r>
              <w:rPr>
                <w:b/>
              </w:rPr>
              <w:t>Noise (ambient)</w:t>
            </w:r>
            <w:r/>
          </w:p>
        </w:tc>
        <w:tc>
          <w:tcPr>
            <w:tcW w:type="dxa" w:w="2160"/>
          </w:tcPr>
          <w:p>
            <w:r>
              <w:t>41 dBA</w:t>
            </w:r>
          </w:p>
        </w:tc>
        <w:tc>
          <w:tcPr>
            <w:tcW w:type="dxa" w:w="2160"/>
          </w:tcPr>
          <w:p>
            <w:r>
              <w:t>NEMA residential noise limit 55 dBA (day)</w:t>
            </w:r>
          </w:p>
        </w:tc>
        <w:tc>
          <w:tcPr>
            <w:tcW w:type="dxa" w:w="2160"/>
          </w:tcPr>
          <w:p>
            <w:r/>
            <w:r>
              <w:rPr>
                <w:b/>
              </w:rPr>
              <w:t>Within</w:t>
            </w:r>
            <w:r>
              <w:t xml:space="preserve"> limit</w:t>
            </w:r>
          </w:p>
        </w:tc>
      </w:tr>
      <w:tr>
        <w:tc>
          <w:tcPr>
            <w:tcW w:type="dxa" w:w="2160"/>
          </w:tcPr>
          <w:p>
            <w:r/>
            <w:r>
              <w:rPr>
                <w:b/>
              </w:rPr>
              <w:t>Groundwater depth</w:t>
            </w:r>
            <w:r/>
          </w:p>
        </w:tc>
        <w:tc>
          <w:tcPr>
            <w:tcW w:type="dxa" w:w="2160"/>
          </w:tcPr>
          <w:p>
            <w:r>
              <w:t>58 m</w:t>
            </w:r>
          </w:p>
        </w:tc>
        <w:tc>
          <w:tcPr>
            <w:tcW w:type="dxa" w:w="2160"/>
          </w:tcPr>
          <w:p>
            <w:r>
              <w:t>No statutory depth limit; however, abstraction must not exceed sustainable yield per Water Act 2016.</w:t>
            </w:r>
          </w:p>
        </w:tc>
        <w:tc>
          <w:tcPr>
            <w:tcW w:type="dxa" w:w="2160"/>
          </w:tcPr>
          <w:p>
            <w:r/>
            <w:r>
              <w:rPr>
                <w:b/>
              </w:rPr>
              <w:t>[MISSING: Sustainable yield assessment]</w:t>
            </w:r>
            <w:r/>
          </w:p>
        </w:tc>
      </w:tr>
    </w:tbl>
    <w:p>
      <w:r>
        <w:t>## 4.5 Key Legal and Technical Issues Identified</w:t>
      </w:r>
    </w:p>
    <w:p>
      <w:pPr>
        <w:pStyle w:val="ListNumber"/>
      </w:pPr>
      <w:r/>
      <w:r>
        <w:rPr>
          <w:b/>
        </w:rPr>
        <w:t>Land‑Use Contradiction</w:t>
      </w:r>
      <w:r>
        <w:t xml:space="preserve"> – The </w:t>
      </w:r>
      <w:r>
        <w:rPr>
          <w:b/>
        </w:rPr>
        <w:t>Panel Array Footprint</w:t>
      </w:r>
      <w:r>
        <w:t xml:space="preserve"> is reported as </w:t>
      </w:r>
      <w:r>
        <w:rPr>
          <w:b/>
        </w:rPr>
        <w:t>52 ha</w:t>
      </w:r>
      <w:r>
        <w:t xml:space="preserve">, which </w:t>
      </w:r>
      <w:r>
        <w:rPr>
          <w:b/>
        </w:rPr>
        <w:t>exceeds the total Site Area of 38.6 ha</w:t>
      </w:r>
      <w:r>
        <w:t>.</w:t>
      </w:r>
    </w:p>
    <w:p>
      <w:r/>
      <w:r>
        <w:rPr>
          <w:b/>
        </w:rPr>
        <w:t>[CONTRADICTION: Panel array footprint (52 ha) exceeds site area (38.6 ha)]</w:t>
      </w:r>
      <w:r/>
    </w:p>
    <w:p>
      <w:r/>
      <w:r>
        <w:rPr>
          <w:i/>
        </w:rPr>
        <w:t>Implication</w:t>
      </w:r>
      <w:r>
        <w:t>: The proponent must revise the design to fit within the legally leased land or seek additional land acquisition before the EIA licence can be granted.</w:t>
      </w:r>
    </w:p>
    <w:p>
      <w:pPr>
        <w:pStyle w:val="ListNumber"/>
      </w:pPr>
      <w:r/>
      <w:r>
        <w:rPr>
          <w:b/>
        </w:rPr>
        <w:t>Water Resource Proximity</w:t>
      </w:r>
      <w:r>
        <w:t xml:space="preserve"> – The Ewaso Kedong Seasonal Stream lies within 410 m of the site. Under </w:t>
      </w:r>
      <w:r>
        <w:rPr>
          <w:b/>
        </w:rPr>
        <w:t>Water Act 2016 §143</w:t>
      </w:r>
      <w:r>
        <w:t>, any activity that may affect the stream’s flow or water quality requires a Water Use Permit. A detailed water management plan is therefore required.</w:t>
      </w:r>
    </w:p>
    <w:p>
      <w:pPr>
        <w:pStyle w:val="ListNumber"/>
      </w:pPr>
      <w:r/>
      <w:r>
        <w:rPr>
          <w:b/>
        </w:rPr>
        <w:t>Biodiversity Safeguards</w:t>
      </w:r>
      <w:r>
        <w:t xml:space="preserve"> – The avian survey indicates a risk of bird collisions. Compliance with the </w:t>
      </w:r>
      <w:r>
        <w:rPr>
          <w:b/>
        </w:rPr>
        <w:t>Wildlife Conservation and Management Act 2013</w:t>
      </w:r>
      <w:r>
        <w:t xml:space="preserve"> mandates implementation of mitigation (perimeter netting, seasonal monitoring) and submission of a biodiversity management plan to KWS.</w:t>
      </w:r>
    </w:p>
    <w:p>
      <w:pPr>
        <w:pStyle w:val="ListNumber"/>
      </w:pPr>
      <w:r/>
      <w:r>
        <w:rPr>
          <w:b/>
        </w:rPr>
        <w:t>Grazing‑Rights Compensation</w:t>
      </w:r>
      <w:r>
        <w:t xml:space="preserve"> – The identified vulnerable group (grazing‑rights holders) must receive compensation at </w:t>
      </w:r>
      <w:r>
        <w:rPr>
          <w:b/>
        </w:rPr>
        <w:t>Valuer‑General rates</w:t>
      </w:r>
      <w:r>
        <w:t xml:space="preserve"> and be provided with a </w:t>
      </w:r>
      <w:r>
        <w:rPr>
          <w:b/>
        </w:rPr>
        <w:t>preserved access corridor</w:t>
      </w:r>
      <w:r>
        <w:t xml:space="preserve"> as per the mitigation measures. This aligns with the </w:t>
      </w:r>
      <w:r>
        <w:rPr>
          <w:b/>
        </w:rPr>
        <w:t>Public Participation Requirements</w:t>
      </w:r>
      <w:r>
        <w:t xml:space="preserve"> (Regulation 17) and the </w:t>
      </w:r>
      <w:r>
        <w:rPr>
          <w:b/>
        </w:rPr>
        <w:t>County Land Use Planning Act</w:t>
      </w:r>
      <w:r>
        <w:t>.</w:t>
      </w:r>
    </w:p>
    <w:p>
      <w:pPr>
        <w:pStyle w:val="ListNumber"/>
      </w:pPr>
      <w:r/>
      <w:r>
        <w:rPr>
          <w:b/>
        </w:rPr>
        <w:t>Employment Expectations</w:t>
      </w:r>
      <w:r>
        <w:t xml:space="preserve"> – The project will create </w:t>
      </w:r>
      <w:r>
        <w:rPr>
          <w:b/>
        </w:rPr>
        <w:t>18 permanent operations staff</w:t>
      </w:r>
      <w:r>
        <w:t xml:space="preserve"> (as stated). No additional permanent jobs are anticipated; this must be clearly communicated to avoid community misconceptions.</w:t>
      </w:r>
    </w:p>
    <w:p>
      <w:pPr>
        <w:pStyle w:val="ListNumber"/>
      </w:pPr>
      <w:r/>
      <w:r>
        <w:rPr>
          <w:b/>
        </w:rPr>
        <w:t>Glare Mitigation</w:t>
      </w:r>
      <w:r>
        <w:t xml:space="preserve"> – Anti‑reflective panel coating and azimuth‑optimized row orientation are proposed. These measures satisfy the </w:t>
      </w:r>
      <w:r>
        <w:rPr>
          <w:b/>
        </w:rPr>
        <w:t>Public Health Act</w:t>
      </w:r>
      <w:r>
        <w:t xml:space="preserve"> requirement to prevent nuisance to nearby dwellings.</w:t>
      </w:r>
    </w:p>
    <w:p>
      <w:r>
        <w:t>## 4.6 Institutional Capacity &amp; Monitoring</w:t>
      </w:r>
    </w:p>
    <w:p>
      <w:pPr>
        <w:pStyle w:val="ListBullet"/>
      </w:pPr>
      <w:r/>
      <w:r>
        <w:rPr>
          <w:b/>
        </w:rPr>
        <w:t>NEMA</w:t>
      </w:r>
      <w:r>
        <w:t xml:space="preserve"> will conduct a pre‑licence audit of the ESMP, focusing on the </w:t>
      </w:r>
      <w:r>
        <w:rPr>
          <w:b/>
        </w:rPr>
        <w:t>Air Quality Management</w:t>
      </w:r>
      <w:r>
        <w:t xml:space="preserve">, </w:t>
      </w:r>
      <w:r>
        <w:rPr>
          <w:b/>
        </w:rPr>
        <w:t>Noise Management</w:t>
      </w:r>
      <w:r>
        <w:t xml:space="preserve">, </w:t>
      </w:r>
      <w:r>
        <w:rPr>
          <w:b/>
        </w:rPr>
        <w:t>Water Management</w:t>
      </w:r>
      <w:r>
        <w:t xml:space="preserve">, and </w:t>
      </w:r>
      <w:r>
        <w:rPr>
          <w:b/>
        </w:rPr>
        <w:t>Biodiversity Conservation</w:t>
      </w:r>
      <w:r>
        <w:t xml:space="preserve"> modules.</w:t>
      </w:r>
    </w:p>
    <w:p>
      <w:pPr>
        <w:pStyle w:val="ListBullet"/>
      </w:pPr>
      <w:r/>
      <w:r>
        <w:rPr>
          <w:b/>
        </w:rPr>
        <w:t>Kiambu County</w:t>
      </w:r>
      <w:r>
        <w:t xml:space="preserve"> will monitor compliance with the </w:t>
      </w:r>
      <w:r>
        <w:rPr>
          <w:b/>
        </w:rPr>
        <w:t>County Environmental Management Plan</w:t>
      </w:r>
      <w:r>
        <w:t xml:space="preserve">, including the enforcement of the </w:t>
      </w:r>
      <w:r>
        <w:rPr>
          <w:b/>
        </w:rPr>
        <w:t>perimeter fencing</w:t>
      </w:r>
      <w:r>
        <w:t xml:space="preserve"> and </w:t>
      </w:r>
      <w:r>
        <w:rPr>
          <w:b/>
        </w:rPr>
        <w:t>grazing‑rights compensation</w:t>
      </w:r>
      <w:r>
        <w:t>.</w:t>
      </w:r>
    </w:p>
    <w:p>
      <w:pPr>
        <w:pStyle w:val="ListBullet"/>
      </w:pPr>
      <w:r/>
      <w:r>
        <w:rPr>
          <w:b/>
        </w:rPr>
        <w:t>KWS</w:t>
      </w:r>
      <w:r>
        <w:t xml:space="preserve"> will oversee the implementation of the </w:t>
      </w:r>
      <w:r>
        <w:rPr>
          <w:b/>
        </w:rPr>
        <w:t>avian mitigation measures</w:t>
      </w:r>
      <w:r>
        <w:t xml:space="preserve"> and conduct quarterly bird monitoring as outlined in the ESMP (budget KES 480,000).</w:t>
      </w:r>
    </w:p>
    <w:p>
      <w:pPr>
        <w:pStyle w:val="ListBullet"/>
      </w:pPr>
      <w:r/>
      <w:r>
        <w:rPr>
          <w:b/>
        </w:rPr>
        <w:t>GRM Committee</w:t>
      </w:r>
      <w:r>
        <w:t xml:space="preserve"> will maintain a publicly accessible log of complaints, response times, and resolution outcomes, in line with </w:t>
      </w:r>
      <w:r>
        <w:rPr>
          <w:b/>
        </w:rPr>
        <w:t>World Bank ESF</w:t>
      </w:r>
      <w:r>
        <w:t xml:space="preserve"> grievance standards.</w:t>
      </w:r>
    </w:p>
    <w:p>
      <w:r>
        <w:t>## 4.7 Summary of Legal Compliance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Status</w:t>
            </w:r>
          </w:p>
        </w:tc>
        <w:tc>
          <w:tcPr>
            <w:tcW w:type="dxa" w:w="2880"/>
          </w:tcPr>
          <w:p>
            <w:r>
              <w:rPr>
                <w:b/>
              </w:rPr>
              <w:t>Comments</w:t>
            </w:r>
          </w:p>
        </w:tc>
      </w:tr>
      <w:tr>
        <w:tc>
          <w:tcPr>
            <w:tcW w:type="dxa" w:w="2880"/>
          </w:tcPr>
          <w:p>
            <w:r>
              <w:t>EMCA §58 (EIA for Second Schedule)</w:t>
            </w:r>
          </w:p>
        </w:tc>
        <w:tc>
          <w:tcPr>
            <w:tcW w:type="dxa" w:w="2880"/>
          </w:tcPr>
          <w:p>
            <w:r/>
            <w:r>
              <w:rPr>
                <w:b/>
              </w:rPr>
              <w:t>Pending</w:t>
            </w:r>
            <w:r>
              <w:t xml:space="preserve"> – EIA licence not yet issued (pre‑approval stage).</w:t>
            </w:r>
          </w:p>
        </w:tc>
        <w:tc>
          <w:tcPr>
            <w:tcW w:type="dxa" w:w="2880"/>
          </w:tcPr>
          <w:p>
            <w:r>
              <w:t>All required documentation (baseline, alternatives, mitigation) prepared.</w:t>
            </w:r>
          </w:p>
        </w:tc>
      </w:tr>
      <w:tr>
        <w:tc>
          <w:tcPr>
            <w:tcW w:type="dxa" w:w="2880"/>
          </w:tcPr>
          <w:p>
            <w:r>
              <w:t>NEMA Reg 17 (Public Participation)</w:t>
            </w:r>
          </w:p>
        </w:tc>
        <w:tc>
          <w:tcPr>
            <w:tcW w:type="dxa" w:w="2880"/>
          </w:tcPr>
          <w:p>
            <w:r/>
            <w:r>
              <w:rPr>
                <w:b/>
              </w:rPr>
              <w:t>Met</w:t>
            </w:r>
            <w:r>
              <w:t xml:space="preserve"> – Newspaper notice, Baraza, GRM established.</w:t>
            </w:r>
          </w:p>
        </w:tc>
        <w:tc>
          <w:tcPr>
            <w:tcW w:type="dxa" w:w="2880"/>
          </w:tcPr>
          <w:p>
            <w:r>
              <w:t>Ongoing stakeholder engagement to be documented in ESMP.</w:t>
            </w:r>
          </w:p>
        </w:tc>
      </w:tr>
      <w:tr>
        <w:tc>
          <w:tcPr>
            <w:tcW w:type="dxa" w:w="2880"/>
          </w:tcPr>
          <w:p>
            <w:r>
              <w:t>Water Act §143 (Prohibited activities near water)</w:t>
            </w:r>
          </w:p>
        </w:tc>
        <w:tc>
          <w:tcPr>
            <w:tcW w:type="dxa" w:w="2880"/>
          </w:tcPr>
          <w:p>
            <w:r/>
            <w:r>
              <w:rPr>
                <w:b/>
              </w:rPr>
              <w:t>Pending</w:t>
            </w:r>
            <w:r>
              <w:t xml:space="preserve"> – Water Use Permit application required for any abstraction/discharge near Ewaso Kedong Stream.</w:t>
            </w:r>
          </w:p>
        </w:tc>
        <w:tc>
          <w:tcPr>
            <w:tcW w:type="dxa" w:w="2880"/>
          </w:tcPr>
          <w:p/>
        </w:tc>
      </w:tr>
      <w:tr>
        <w:tc>
          <w:tcPr>
            <w:tcW w:type="dxa" w:w="2880"/>
          </w:tcPr>
          <w:p>
            <w:r>
              <w:t>Wildlife Conservation Act (Bird collision)</w:t>
            </w:r>
          </w:p>
        </w:tc>
        <w:tc>
          <w:tcPr>
            <w:tcW w:type="dxa" w:w="2880"/>
          </w:tcPr>
          <w:p>
            <w:r/>
            <w:r>
              <w:rPr>
                <w:b/>
              </w:rPr>
              <w:t>Mitigation identified</w:t>
            </w:r>
            <w:r>
              <w:t xml:space="preserve"> – Netting and monitoring; KWS approval pending.</w:t>
            </w:r>
          </w:p>
        </w:tc>
        <w:tc>
          <w:tcPr>
            <w:tcW w:type="dxa" w:w="2880"/>
          </w:tcPr>
          <w:p/>
        </w:tc>
      </w:tr>
      <w:tr>
        <w:tc>
          <w:tcPr>
            <w:tcW w:type="dxa" w:w="2880"/>
          </w:tcPr>
          <w:p>
            <w:r>
              <w:t>County Planning Approval</w:t>
            </w:r>
          </w:p>
        </w:tc>
        <w:tc>
          <w:tcPr>
            <w:tcW w:type="dxa" w:w="2880"/>
          </w:tcPr>
          <w:p>
            <w:r/>
            <w:r>
              <w:rPr>
                <w:b/>
              </w:rPr>
              <w:t>Pending</w:t>
            </w:r>
            <w:r>
              <w:t xml:space="preserve"> – Land‑use change from grazing to utility‑scale solar must be approved by Kiambu County.</w:t>
            </w:r>
          </w:p>
        </w:tc>
        <w:tc>
          <w:tcPr>
            <w:tcW w:type="dxa" w:w="2880"/>
          </w:tcPr>
          <w:p/>
        </w:tc>
      </w:tr>
      <w:tr>
        <w:tc>
          <w:tcPr>
            <w:tcW w:type="dxa" w:w="2880"/>
          </w:tcPr>
          <w:p>
            <w:r>
              <w:t>Occupational Safety (OSHA)</w:t>
            </w:r>
          </w:p>
        </w:tc>
        <w:tc>
          <w:tcPr>
            <w:tcW w:type="dxa" w:w="2880"/>
          </w:tcPr>
          <w:p>
            <w:r/>
            <w:r>
              <w:rPr>
                <w:b/>
              </w:rPr>
              <w:t>To be addressed</w:t>
            </w:r>
            <w:r>
              <w:t xml:space="preserve"> – Construction safety plan to be submitted with ESMP.</w:t>
            </w:r>
          </w:p>
        </w:tc>
        <w:tc>
          <w:tcPr>
            <w:tcW w:type="dxa" w:w="2880"/>
          </w:tcPr>
          <w:p/>
        </w:tc>
      </w:tr>
      <w:tr>
        <w:tc>
          <w:tcPr>
            <w:tcW w:type="dxa" w:w="2880"/>
          </w:tcPr>
          <w:p>
            <w:r>
              <w:t>World Bank ESF</w:t>
            </w:r>
          </w:p>
        </w:tc>
        <w:tc>
          <w:tcPr>
            <w:tcW w:type="dxa" w:w="2880"/>
          </w:tcPr>
          <w:p>
            <w:r/>
            <w:r>
              <w:rPr>
                <w:b/>
              </w:rPr>
              <w:t>Applicable</w:t>
            </w:r>
            <w:r>
              <w:t xml:space="preserve"> – Safeguard compliance plan to be integrated into ESMP.</w:t>
            </w:r>
          </w:p>
        </w:tc>
        <w:tc>
          <w:tcPr>
            <w:tcW w:type="dxa" w:w="2880"/>
          </w:tcPr>
          <w:p/>
        </w:tc>
      </w:tr>
    </w:tbl>
    <w:p>
      <w:r/>
      <w:r>
        <w:rPr>
          <w:b/>
        </w:rPr>
        <w:t>Conclusion:</w:t>
      </w:r>
      <w:r>
        <w:t xml:space="preserve"> The Ndeiya Solar Power Plant project is broadly aligned with Kenya’s environmental and social legislative framework. However, the </w:t>
      </w:r>
      <w:r>
        <w:rPr>
          <w:b/>
        </w:rPr>
        <w:t>site‑area versus panel‑footprint contradiction</w:t>
      </w:r>
      <w:r>
        <w:t xml:space="preserve"> constitutes a critical design flaw that must be resolved before the EIA licence can be considered. Additionally, the proponent must secure the necessary water use authorisations, wildlife permits, and County land‑use approvals, and incorporate the identified mitigation measures into a comprehensive </w:t>
      </w:r>
      <w:r>
        <w:rPr>
          <w:b/>
        </w:rPr>
        <w:t>Environmental and Social Management Plan (ESMP)</w:t>
      </w:r>
      <w:r>
        <w:t>.</w:t>
      </w:r>
    </w:p>
    <w:p>
      <w:r>
        <w:br w:type="page"/>
      </w:r>
    </w:p>
    <w:p>
      <w:pPr>
        <w:pStyle w:val="Heading1"/>
      </w:pPr>
      <w:r>
        <w:t>Chapter 5: Baseline Environmental and Social Conditions</w:t>
      </w:r>
    </w:p>
    <w:p>
      <w:r>
        <w:t>[Content generation failed due to repeated rate limits.]</w:t>
      </w:r>
    </w:p>
    <w:p>
      <w:r>
        <w:br w:type="page"/>
      </w:r>
    </w:p>
    <w:p>
      <w:pPr>
        <w:pStyle w:val="Heading1"/>
      </w:pPr>
      <w:r>
        <w:t>Chapter 6: Public Participation and Stakeholder Consultation</w:t>
      </w:r>
    </w:p>
    <w:p>
      <w:r>
        <w:t>[Content generation failed due to repeated rate limits.]</w:t>
      </w:r>
    </w:p>
    <w:p>
      <w:r>
        <w:br w:type="page"/>
      </w:r>
    </w:p>
    <w:p>
      <w:pPr>
        <w:pStyle w:val="Heading1"/>
      </w:pPr>
      <w:r>
        <w:t>Chapter 7: Anticipated Impacts and Mitigation Measures</w:t>
      </w:r>
    </w:p>
    <w:p>
      <w:r>
        <w:t>[Content generation failed due to repeated rate limits.]</w:t>
      </w:r>
    </w:p>
    <w:p>
      <w:r>
        <w:br w:type="page"/>
      </w:r>
    </w:p>
    <w:p>
      <w:pPr>
        <w:pStyle w:val="Heading1"/>
      </w:pPr>
      <w:r>
        <w:t>Chapter 8: Environmental and Social Management Plan</w:t>
      </w:r>
    </w:p>
    <w:p>
      <w:r>
        <w:t>[Content generation failed due to repeated rate limits.]</w:t>
      </w:r>
    </w:p>
    <w:p>
      <w:r>
        <w:br w:type="page"/>
      </w:r>
    </w:p>
    <w:p>
      <w:pPr>
        <w:pStyle w:val="Heading1"/>
      </w:pPr>
      <w:r>
        <w:t>Chapter 9: Conclusion and Recommendations</w:t>
      </w:r>
    </w:p>
    <w:p>
      <w:r>
        <w:t>## 9.1 Summary of Key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Baseline Condition</w:t>
            </w:r>
          </w:p>
        </w:tc>
        <w:tc>
          <w:tcPr>
            <w:tcW w:type="dxa" w:w="2160"/>
          </w:tcPr>
          <w:p>
            <w:r>
              <w:rPr>
                <w:b/>
              </w:rPr>
              <w:t>Projected Impact</w:t>
            </w:r>
          </w:p>
        </w:tc>
        <w:tc>
          <w:tcPr>
            <w:tcW w:type="dxa" w:w="2160"/>
          </w:tcPr>
          <w:p>
            <w:r>
              <w:rPr>
                <w:b/>
              </w:rPr>
              <w:t>Compliance / Significance</w:t>
            </w:r>
          </w:p>
        </w:tc>
      </w:tr>
      <w:tr>
        <w:tc>
          <w:tcPr>
            <w:tcW w:type="dxa" w:w="2160"/>
          </w:tcPr>
          <w:p>
            <w:r/>
            <w:r>
              <w:rPr>
                <w:b/>
              </w:rPr>
              <w:t>Air Quality</w:t>
            </w:r>
            <w:r/>
          </w:p>
        </w:tc>
        <w:tc>
          <w:tcPr>
            <w:tcW w:type="dxa" w:w="2160"/>
          </w:tcPr>
          <w:p>
            <w:r>
              <w:t>PM₂.₅ = 11 µg/m³ (WHO 24‑hr guideline = 15 µg/m³) &lt;br&gt; PM₁₀ = 24 µg/m³ (Kenya NEMA limit = 75 µg/m³)</w:t>
            </w:r>
          </w:p>
        </w:tc>
        <w:tc>
          <w:tcPr>
            <w:tcW w:type="dxa" w:w="2160"/>
          </w:tcPr>
          <w:p>
            <w:r>
              <w:t>Construction dust generation; operational emissions are negligible for a solar PV plant.</w:t>
            </w:r>
          </w:p>
        </w:tc>
        <w:tc>
          <w:tcPr>
            <w:tcW w:type="dxa" w:w="2160"/>
          </w:tcPr>
          <w:p>
            <w:r>
              <w:t xml:space="preserve">Baseline already </w:t>
            </w:r>
            <w:r>
              <w:rPr>
                <w:b/>
              </w:rPr>
              <w:t>below</w:t>
            </w:r>
            <w:r>
              <w:t xml:space="preserve"> national and WHO limits. With dust‑suppression measures (watering, covered haulage) impacts are expected to remain within acceptable limits.</w:t>
            </w:r>
          </w:p>
        </w:tc>
      </w:tr>
      <w:tr>
        <w:tc>
          <w:tcPr>
            <w:tcW w:type="dxa" w:w="2160"/>
          </w:tcPr>
          <w:p>
            <w:r/>
            <w:r>
              <w:rPr>
                <w:b/>
              </w:rPr>
              <w:t>Noise</w:t>
            </w:r>
            <w:r/>
          </w:p>
        </w:tc>
        <w:tc>
          <w:tcPr>
            <w:tcW w:type="dxa" w:w="2160"/>
          </w:tcPr>
          <w:p>
            <w:r>
              <w:t>41 dBA (ambient)</w:t>
            </w:r>
          </w:p>
        </w:tc>
        <w:tc>
          <w:tcPr>
            <w:tcW w:type="dxa" w:w="2160"/>
          </w:tcPr>
          <w:p>
            <w:r>
              <w:t>Temporary construction noise (equipment, traffic) and permanent O&amp;M noise (cooling fans, inverter bays).</w:t>
            </w:r>
          </w:p>
        </w:tc>
        <w:tc>
          <w:tcPr>
            <w:tcW w:type="dxa" w:w="2160"/>
          </w:tcPr>
          <w:p>
            <w:r>
              <w:t>Ambient level is well below the NEMA residential noise limit of 55 dBA. Proposed mitigation (equipment mufflers, restricted working hours) will keep noise impacts within the guideline.</w:t>
            </w:r>
          </w:p>
        </w:tc>
      </w:tr>
      <w:tr>
        <w:tc>
          <w:tcPr>
            <w:tcW w:type="dxa" w:w="2160"/>
          </w:tcPr>
          <w:p>
            <w:r/>
            <w:r>
              <w:rPr>
                <w:b/>
              </w:rPr>
              <w:t>Land Use</w:t>
            </w:r>
            <w:r/>
          </w:p>
        </w:tc>
        <w:tc>
          <w:tcPr>
            <w:tcW w:type="dxa" w:w="2160"/>
          </w:tcPr>
          <w:p>
            <w:r>
              <w:t>Grazing/open grassland (38.6 ha)</w:t>
            </w:r>
          </w:p>
        </w:tc>
        <w:tc>
          <w:tcPr>
            <w:tcW w:type="dxa" w:w="2160"/>
          </w:tcPr>
          <w:p>
            <w:r>
              <w:t>Conversion of 38.6 ha to ground‑mount PV; loss of grazing access for adjacent land‑holders.</w:t>
            </w:r>
          </w:p>
        </w:tc>
        <w:tc>
          <w:tcPr>
            <w:tcW w:type="dxa" w:w="2160"/>
          </w:tcPr>
          <w:p>
            <w:r/>
            <w:r>
              <w:rPr>
                <w:b/>
              </w:rPr>
              <w:t>[CONTRADICTION: Panel array footprint (52 ha) exceeds site area (38.6 ha)]</w:t>
            </w:r>
            <w:r>
              <w:t xml:space="preserve"> – the proponent must reconcile the spatial discrepancy before any further assessment.</w:t>
            </w:r>
          </w:p>
        </w:tc>
      </w:tr>
      <w:tr>
        <w:tc>
          <w:tcPr>
            <w:tcW w:type="dxa" w:w="2160"/>
          </w:tcPr>
          <w:p>
            <w:r/>
            <w:r>
              <w:rPr>
                <w:b/>
              </w:rPr>
              <w:t>Water Resources</w:t>
            </w:r>
            <w:r/>
          </w:p>
        </w:tc>
        <w:tc>
          <w:tcPr>
            <w:tcW w:type="dxa" w:w="2160"/>
          </w:tcPr>
          <w:p>
            <w:r>
              <w:t>Groundwater depth = 58 m; nearby community borehole (550 m N).</w:t>
            </w:r>
          </w:p>
        </w:tc>
        <w:tc>
          <w:tcPr>
            <w:tcW w:type="dxa" w:w="2160"/>
          </w:tcPr>
          <w:p>
            <w:r>
              <w:t>Limited water abstraction for dust control and O&amp;M; potential runoff to Ewaso Kedong Seasonal Stream (410 m S).</w:t>
            </w:r>
          </w:p>
        </w:tc>
        <w:tc>
          <w:tcPr>
            <w:tcW w:type="dxa" w:w="2160"/>
          </w:tcPr>
          <w:p>
            <w:r>
              <w:t xml:space="preserve">No quantitative water abstraction or treatment capacity provided. </w:t>
            </w:r>
            <w:r>
              <w:rPr>
                <w:b/>
              </w:rPr>
              <w:t>[MISSING: PSTP CAPACITY]</w:t>
            </w:r>
            <w:r>
              <w:t xml:space="preserve"> and </w:t>
            </w:r>
            <w:r>
              <w:rPr>
                <w:b/>
              </w:rPr>
              <w:t>[MISSING: DAILY WATER ABSTRACTION VOLUME]</w:t>
            </w:r>
            <w:r>
              <w:t xml:space="preserve"> must be supplied to assess compliance with the </w:t>
            </w:r>
            <w:r>
              <w:rPr>
                <w:b/>
              </w:rPr>
              <w:t>Water Act 2016</w:t>
            </w:r>
            <w:r>
              <w:t>.</w:t>
            </w:r>
          </w:p>
        </w:tc>
      </w:tr>
      <w:tr>
        <w:tc>
          <w:tcPr>
            <w:tcW w:type="dxa" w:w="2160"/>
          </w:tcPr>
          <w:p>
            <w:r/>
            <w:r>
              <w:rPr>
                <w:b/>
              </w:rPr>
              <w:t>Biodiversity</w:t>
            </w:r>
            <w:r/>
          </w:p>
        </w:tc>
        <w:tc>
          <w:tcPr>
            <w:tcW w:type="dxa" w:w="2160"/>
          </w:tcPr>
          <w:p>
            <w:r>
              <w:t>Avian species present (see avian survey).</w:t>
            </w:r>
          </w:p>
        </w:tc>
        <w:tc>
          <w:tcPr>
            <w:tcW w:type="dxa" w:w="2160"/>
          </w:tcPr>
          <w:p>
            <w:r>
              <w:t>Risk of bird collision with PV modules; habitat disturbance during construction.</w:t>
            </w:r>
          </w:p>
        </w:tc>
        <w:tc>
          <w:tcPr>
            <w:tcW w:type="dxa" w:w="2160"/>
          </w:tcPr>
          <w:p>
            <w:r>
              <w:t xml:space="preserve">Mitigation (perimeter netting, seasonal monitoring) is consistent with the </w:t>
            </w:r>
            <w:r>
              <w:rPr>
                <w:b/>
              </w:rPr>
              <w:t>World Bank Environmental and Social Framework (ESF)</w:t>
            </w:r>
            <w:r>
              <w:t xml:space="preserve"> bird‑collision guidelines.</w:t>
            </w:r>
          </w:p>
        </w:tc>
      </w:tr>
      <w:tr>
        <w:tc>
          <w:tcPr>
            <w:tcW w:type="dxa" w:w="2160"/>
          </w:tcPr>
          <w:p>
            <w:r/>
            <w:r>
              <w:rPr>
                <w:b/>
              </w:rPr>
              <w:t>Socio‑economic</w:t>
            </w:r>
            <w:r/>
          </w:p>
        </w:tc>
        <w:tc>
          <w:tcPr>
            <w:tcW w:type="dxa" w:w="2160"/>
          </w:tcPr>
          <w:p>
            <w:r>
              <w:t>94 participants at Baraza; vulnerable grazing‑rights holders identified.</w:t>
            </w:r>
          </w:p>
        </w:tc>
        <w:tc>
          <w:tcPr>
            <w:tcW w:type="dxa" w:w="2160"/>
          </w:tcPr>
          <w:p>
            <w:r>
              <w:t>Creation of 18 permanent O&amp;M jobs; temporary construction labour (not quantified).</w:t>
            </w:r>
          </w:p>
        </w:tc>
        <w:tc>
          <w:tcPr>
            <w:tcW w:type="dxa" w:w="2160"/>
          </w:tcPr>
          <w:p>
            <w:r>
              <w:t xml:space="preserve">Employment provision aligns with national labour policy, but the limited permanent workforce should be complemented with a </w:t>
            </w:r>
            <w:r>
              <w:rPr>
                <w:b/>
              </w:rPr>
              <w:t>[MISSING: CONSTRUCTION‑PHASE EMPLOYMENT ESTIMATE]</w:t>
            </w:r>
            <w:r>
              <w:t>. Compensation for grazing loss is planned per Valuer‑General rates.</w:t>
            </w:r>
          </w:p>
        </w:tc>
      </w:tr>
      <w:tr>
        <w:tc>
          <w:tcPr>
            <w:tcW w:type="dxa" w:w="2160"/>
          </w:tcPr>
          <w:p>
            <w:r/>
            <w:r>
              <w:rPr>
                <w:b/>
              </w:rPr>
              <w:t>Glare</w:t>
            </w:r>
            <w:r/>
          </w:p>
        </w:tc>
        <w:tc>
          <w:tcPr>
            <w:tcW w:type="dxa" w:w="2160"/>
          </w:tcPr>
          <w:p>
            <w:r>
              <w:t>No baseline measurement; anecdotal reports from homesteads (200 m W).</w:t>
            </w:r>
          </w:p>
        </w:tc>
        <w:tc>
          <w:tcPr>
            <w:tcW w:type="dxa" w:w="2160"/>
          </w:tcPr>
          <w:p>
            <w:r>
              <w:t>Potential visual discomfort for nearby dwellings.</w:t>
            </w:r>
          </w:p>
        </w:tc>
        <w:tc>
          <w:tcPr>
            <w:tcW w:type="dxa" w:w="2160"/>
          </w:tcPr>
          <w:p>
            <w:r>
              <w:t>Anti‑reflective coating and panel azimuth optimisation are appropriate technical controls.</w:t>
            </w:r>
          </w:p>
        </w:tc>
      </w:tr>
    </w:tbl>
    <w:p>
      <w:r>
        <w:t>## 9.2 Overall Environmental Significance</w:t>
      </w:r>
    </w:p>
    <w:p>
      <w:r>
        <w:t xml:space="preserve">Applying the NEMA “Significance Matrix” (considering magnitude, extent, duration, and reversibility), the project’s impacts are classified as </w:t>
      </w:r>
      <w:r>
        <w:rPr>
          <w:b/>
        </w:rPr>
        <w:t>Low to Moderate</w:t>
      </w:r>
      <w:r>
        <w:t xml:space="preserve"> for most environmental media, provided that the identified mitigation measures are fully implemented and monitored. The only issue that elevates the overall significance to a </w:t>
      </w:r>
      <w:r>
        <w:rPr>
          <w:b/>
        </w:rPr>
        <w:t>Conditional</w:t>
      </w:r>
      <w:r>
        <w:t xml:space="preserve"> level is the </w:t>
      </w:r>
      <w:r>
        <w:rPr>
          <w:b/>
        </w:rPr>
        <w:t>spatial contradiction</w:t>
      </w:r>
      <w:r>
        <w:t xml:space="preserve"> between the declared panel footprint (52 ha) and the available site area (38.6 ha). This inconsistency must be resolved to confirm that the physical layout can be accommodated without encroaching on adjacent land or protected habitats.</w:t>
      </w:r>
    </w:p>
    <w:p>
      <w:r>
        <w:t>## 9.3 Adequacy of the Proposed ESMP</w:t>
      </w:r>
    </w:p>
    <w:p>
      <w:r>
        <w:t>The Environmental and Social Management Plan (ESMP) addresses the principal impact 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Impact</w:t>
            </w:r>
          </w:p>
        </w:tc>
        <w:tc>
          <w:tcPr>
            <w:tcW w:type="dxa" w:w="1728"/>
          </w:tcPr>
          <w:p>
            <w:r>
              <w:rPr>
                <w:b/>
              </w:rPr>
              <w:t>Mitigation Measure</w:t>
            </w:r>
          </w:p>
        </w:tc>
        <w:tc>
          <w:tcPr>
            <w:tcW w:type="dxa" w:w="1728"/>
          </w:tcPr>
          <w:p>
            <w:r>
              <w:rPr>
                <w:b/>
              </w:rPr>
              <w:t>Responsible Party</w:t>
            </w:r>
          </w:p>
        </w:tc>
        <w:tc>
          <w:tcPr>
            <w:tcW w:type="dxa" w:w="1728"/>
          </w:tcPr>
          <w:p>
            <w:r>
              <w:rPr>
                <w:b/>
              </w:rPr>
              <w:t>Monitoring Frequency</w:t>
            </w:r>
          </w:p>
        </w:tc>
        <w:tc>
          <w:tcPr>
            <w:tcW w:type="dxa" w:w="1728"/>
          </w:tcPr>
          <w:p>
            <w:r>
              <w:rPr>
                <w:b/>
              </w:rPr>
              <w:t>Adequacy Rating</w:t>
            </w:r>
          </w:p>
        </w:tc>
      </w:tr>
      <w:tr>
        <w:tc>
          <w:tcPr>
            <w:tcW w:type="dxa" w:w="1728"/>
          </w:tcPr>
          <w:p>
            <w:r>
              <w:t>Dust &amp; Airborne Particulates</w:t>
            </w:r>
          </w:p>
        </w:tc>
        <w:tc>
          <w:tcPr>
            <w:tcW w:type="dxa" w:w="1728"/>
          </w:tcPr>
          <w:p>
            <w:r>
              <w:t>Watering of haul roads; covered transport of modules</w:t>
            </w:r>
          </w:p>
        </w:tc>
        <w:tc>
          <w:tcPr>
            <w:tcW w:type="dxa" w:w="1728"/>
          </w:tcPr>
          <w:p>
            <w:r>
              <w:t>Construction Contractor</w:t>
            </w:r>
          </w:p>
        </w:tc>
        <w:tc>
          <w:tcPr>
            <w:tcW w:type="dxa" w:w="1728"/>
          </w:tcPr>
          <w:p>
            <w:r>
              <w:t>Weekly visual inspection; monthly PM monitoring</w:t>
            </w:r>
          </w:p>
        </w:tc>
        <w:tc>
          <w:tcPr>
            <w:tcW w:type="dxa" w:w="1728"/>
          </w:tcPr>
          <w:p>
            <w:r>
              <w:t>Adequate</w:t>
            </w:r>
          </w:p>
        </w:tc>
      </w:tr>
      <w:tr>
        <w:tc>
          <w:tcPr>
            <w:tcW w:type="dxa" w:w="1728"/>
          </w:tcPr>
          <w:p>
            <w:r>
              <w:t>Noise</w:t>
            </w:r>
          </w:p>
        </w:tc>
        <w:tc>
          <w:tcPr>
            <w:tcW w:type="dxa" w:w="1728"/>
          </w:tcPr>
          <w:p>
            <w:r>
              <w:t>Equipment mufflers; work limited to 07:00‑19:00</w:t>
            </w:r>
          </w:p>
        </w:tc>
        <w:tc>
          <w:tcPr>
            <w:tcW w:type="dxa" w:w="1728"/>
          </w:tcPr>
          <w:p>
            <w:r>
              <w:t>Contractor</w:t>
            </w:r>
          </w:p>
        </w:tc>
        <w:tc>
          <w:tcPr>
            <w:tcW w:type="dxa" w:w="1728"/>
          </w:tcPr>
          <w:p>
            <w:r>
              <w:t>Daily log; quarterly sound level checks</w:t>
            </w:r>
          </w:p>
        </w:tc>
        <w:tc>
          <w:tcPr>
            <w:tcW w:type="dxa" w:w="1728"/>
          </w:tcPr>
          <w:p>
            <w:r>
              <w:t>Adequate</w:t>
            </w:r>
          </w:p>
        </w:tc>
      </w:tr>
      <w:tr>
        <w:tc>
          <w:tcPr>
            <w:tcW w:type="dxa" w:w="1728"/>
          </w:tcPr>
          <w:p>
            <w:r>
              <w:t>Avian Collision</w:t>
            </w:r>
          </w:p>
        </w:tc>
        <w:tc>
          <w:tcPr>
            <w:tcW w:type="dxa" w:w="1728"/>
          </w:tcPr>
          <w:p>
            <w:r>
              <w:t>Perimeter netting; quarterly bird surveys (KES 480,000)</w:t>
            </w:r>
          </w:p>
        </w:tc>
        <w:tc>
          <w:tcPr>
            <w:tcW w:type="dxa" w:w="1728"/>
          </w:tcPr>
          <w:p>
            <w:r>
              <w:t>Environmental Officer</w:t>
            </w:r>
          </w:p>
        </w:tc>
        <w:tc>
          <w:tcPr>
            <w:tcW w:type="dxa" w:w="1728"/>
          </w:tcPr>
          <w:p>
            <w:r>
              <w:t>Quarterly</w:t>
            </w:r>
          </w:p>
        </w:tc>
        <w:tc>
          <w:tcPr>
            <w:tcW w:type="dxa" w:w="1728"/>
          </w:tcPr>
          <w:p>
            <w:r>
              <w:t>Adequate</w:t>
            </w:r>
          </w:p>
        </w:tc>
      </w:tr>
      <w:tr>
        <w:tc>
          <w:tcPr>
            <w:tcW w:type="dxa" w:w="1728"/>
          </w:tcPr>
          <w:p>
            <w:r>
              <w:t>Glare</w:t>
            </w:r>
          </w:p>
        </w:tc>
        <w:tc>
          <w:tcPr>
            <w:tcW w:type="dxa" w:w="1728"/>
          </w:tcPr>
          <w:p>
            <w:r>
              <w:t>Anti‑reflective coating; panel azimuth optimisation (KES 1,200,000)</w:t>
            </w:r>
          </w:p>
        </w:tc>
        <w:tc>
          <w:tcPr>
            <w:tcW w:type="dxa" w:w="1728"/>
          </w:tcPr>
          <w:p>
            <w:r>
              <w:t>Engineering Team</w:t>
            </w:r>
          </w:p>
        </w:tc>
        <w:tc>
          <w:tcPr>
            <w:tcW w:type="dxa" w:w="1728"/>
          </w:tcPr>
          <w:p>
            <w:r>
              <w:t>One‑time design; post‑commissioning visual checks</w:t>
            </w:r>
          </w:p>
        </w:tc>
        <w:tc>
          <w:tcPr>
            <w:tcW w:type="dxa" w:w="1728"/>
          </w:tcPr>
          <w:p>
            <w:r>
              <w:t>Adequate</w:t>
            </w:r>
          </w:p>
        </w:tc>
      </w:tr>
      <w:tr>
        <w:tc>
          <w:tcPr>
            <w:tcW w:type="dxa" w:w="1728"/>
          </w:tcPr>
          <w:p>
            <w:r>
              <w:t>Water Use &amp; Run‑off</w:t>
            </w:r>
          </w:p>
        </w:tc>
        <w:tc>
          <w:tcPr>
            <w:tcW w:type="dxa" w:w="1728"/>
          </w:tcPr>
          <w:p>
            <w:r>
              <w:t>Controlled water draw; runoff collection basins (design pending)</w:t>
            </w:r>
          </w:p>
        </w:tc>
        <w:tc>
          <w:tcPr>
            <w:tcW w:type="dxa" w:w="1728"/>
          </w:tcPr>
          <w:p>
            <w:r>
              <w:t>O&amp;M Manager</w:t>
            </w:r>
          </w:p>
        </w:tc>
        <w:tc>
          <w:tcPr>
            <w:tcW w:type="dxa" w:w="1728"/>
          </w:tcPr>
          <w:p>
            <w:r>
              <w:t>Monthly water balance; post‑rain event sampling</w:t>
            </w:r>
          </w:p>
        </w:tc>
        <w:tc>
          <w:tcPr>
            <w:tcW w:type="dxa" w:w="1728"/>
          </w:tcPr>
          <w:p>
            <w:r/>
            <w:r>
              <w:rPr>
                <w:b/>
              </w:rPr>
              <w:t>Pending – missing PSTP capacity and abstraction data</w:t>
            </w:r>
            <w:r/>
          </w:p>
        </w:tc>
      </w:tr>
      <w:tr>
        <w:tc>
          <w:tcPr>
            <w:tcW w:type="dxa" w:w="1728"/>
          </w:tcPr>
          <w:p>
            <w:r>
              <w:t>Socio‑economic (Grazing loss)</w:t>
            </w:r>
          </w:p>
        </w:tc>
        <w:tc>
          <w:tcPr>
            <w:tcW w:type="dxa" w:w="1728"/>
          </w:tcPr>
          <w:p>
            <w:r>
              <w:t>Set‑back fencing; compensation per Valuer‑General rates</w:t>
            </w:r>
          </w:p>
        </w:tc>
        <w:tc>
          <w:tcPr>
            <w:tcW w:type="dxa" w:w="1728"/>
          </w:tcPr>
          <w:p>
            <w:r>
              <w:t>Proponent – Community Liaison Officer</w:t>
            </w:r>
          </w:p>
        </w:tc>
        <w:tc>
          <w:tcPr>
            <w:tcW w:type="dxa" w:w="1728"/>
          </w:tcPr>
          <w:p>
            <w:r>
              <w:t>Annual review of compensation disbursement</w:t>
            </w:r>
          </w:p>
        </w:tc>
        <w:tc>
          <w:tcPr>
            <w:tcW w:type="dxa" w:w="1728"/>
          </w:tcPr>
          <w:p>
            <w:r>
              <w:t>Adequate</w:t>
            </w:r>
          </w:p>
        </w:tc>
      </w:tr>
      <w:tr>
        <w:tc>
          <w:tcPr>
            <w:tcW w:type="dxa" w:w="1728"/>
          </w:tcPr>
          <w:p>
            <w:r>
              <w:t>Traffic (Construction)</w:t>
            </w:r>
          </w:p>
        </w:tc>
        <w:tc>
          <w:tcPr>
            <w:tcW w:type="dxa" w:w="1728"/>
          </w:tcPr>
          <w:p>
            <w:r>
              <w:t>Designated haul routes; speed limits</w:t>
            </w:r>
          </w:p>
        </w:tc>
        <w:tc>
          <w:tcPr>
            <w:tcW w:type="dxa" w:w="1728"/>
          </w:tcPr>
          <w:p>
            <w:r>
              <w:t>Contractor</w:t>
            </w:r>
          </w:p>
        </w:tc>
        <w:tc>
          <w:tcPr>
            <w:tcW w:type="dxa" w:w="1728"/>
          </w:tcPr>
          <w:p>
            <w:r>
              <w:t>Weekly traffic counts (data missing)</w:t>
            </w:r>
          </w:p>
        </w:tc>
        <w:tc>
          <w:tcPr>
            <w:tcW w:type="dxa" w:w="1728"/>
          </w:tcPr>
          <w:p>
            <w:r/>
            <w:r>
              <w:rPr>
                <w:b/>
              </w:rPr>
              <w:t xml:space="preserve">Pending – </w:t>
            </w:r>
            <w:r>
              <w:t>[MISSING: DAILY TRAFFIC VOLUME]</w:t>
            </w:r>
            <w:r>
              <w:rPr>
                <w:b/>
              </w:rPr>
            </w:r>
            <w:r/>
          </w:p>
        </w:tc>
      </w:tr>
    </w:tbl>
    <w:p>
      <w:r>
        <w:t xml:space="preserve">Overall, the ESMP is </w:t>
      </w:r>
      <w:r>
        <w:rPr>
          <w:b/>
        </w:rPr>
        <w:t>substantially complete</w:t>
      </w:r>
      <w:r>
        <w:t xml:space="preserve"> but requires the missing quantitative data (water treatment capacity, traffic volumes) to finalize monitoring protocols and demonstrate compliance with the </w:t>
      </w:r>
      <w:r>
        <w:rPr>
          <w:b/>
        </w:rPr>
        <w:t>Water Act 2016</w:t>
      </w:r>
      <w:r>
        <w:t xml:space="preserve"> and NEMA traffic guidelines.</w:t>
      </w:r>
    </w:p>
    <w:p>
      <w:r>
        <w:t>## 9.4 Recommendations</w:t>
      </w:r>
    </w:p>
    <w:p>
      <w:pPr>
        <w:pStyle w:val="ListNumber"/>
      </w:pPr>
      <w:r/>
      <w:r>
        <w:rPr>
          <w:b/>
        </w:rPr>
        <w:t>Resolve Spatial Contradiction</w:t>
      </w:r>
      <w:r/>
    </w:p>
    <w:p>
      <w:pPr>
        <w:pStyle w:val="ListBullet"/>
      </w:pPr>
      <w:r>
        <w:t>The proponent must provide a revised layout that aligns the PV panel footprint with the 38.6 ha site boundary, or supply evidence of additional land acquisition/lease. Until this is clarified, the ESIA cannot be considered complete.</w:t>
      </w:r>
    </w:p>
    <w:p>
      <w:pPr>
        <w:pStyle w:val="ListNumber"/>
      </w:pPr>
      <w:r/>
      <w:r>
        <w:rPr>
          <w:b/>
        </w:rPr>
        <w:t>Supply Missing Quantitative Information</w:t>
      </w:r>
      <w:r/>
    </w:p>
    <w:p>
      <w:pPr>
        <w:pStyle w:val="ListBullet"/>
      </w:pPr>
      <w:r/>
      <w:r>
        <w:rPr>
          <w:b/>
        </w:rPr>
        <w:t>Water Management:</w:t>
      </w:r>
      <w:r>
        <w:t xml:space="preserve"> Provide the design capacity of the proposed </w:t>
      </w:r>
      <w:r>
        <w:rPr>
          <w:b/>
        </w:rPr>
        <w:t>PSTP</w:t>
      </w:r>
      <w:r>
        <w:t xml:space="preserve"> (or equivalent treatment system) and the estimated daily water abstraction volume for construction and O&amp;M.</w:t>
      </w:r>
    </w:p>
    <w:p>
      <w:pPr>
        <w:pStyle w:val="ListBullet"/>
      </w:pPr>
      <w:r/>
      <w:r>
        <w:rPr>
          <w:b/>
        </w:rPr>
        <w:t>Traffic:</w:t>
      </w:r>
      <w:r>
        <w:t xml:space="preserve"> Submit a traffic impact assessment with projected </w:t>
      </w:r>
      <w:r>
        <w:rPr>
          <w:b/>
        </w:rPr>
        <w:t>daily traffic volume</w:t>
      </w:r>
      <w:r>
        <w:t xml:space="preserve"> (construction trucks, service vehicles) and associated mitigation (e.g., road widening, traffic calming).</w:t>
      </w:r>
    </w:p>
    <w:p>
      <w:pPr>
        <w:pStyle w:val="ListBullet"/>
      </w:pPr>
      <w:r/>
      <w:r>
        <w:rPr>
          <w:b/>
        </w:rPr>
        <w:t>Construction‑Phase Employment:</w:t>
      </w:r>
      <w:r>
        <w:t xml:space="preserve"> Quantify the number of temporary construction jobs and associated local labour utilisation.</w:t>
      </w:r>
    </w:p>
    <w:p>
      <w:pPr>
        <w:pStyle w:val="ListNumber"/>
      </w:pPr>
      <w:r/>
      <w:r>
        <w:rPr>
          <w:b/>
        </w:rPr>
        <w:t>Finalize and Publish the ESMP</w:t>
      </w:r>
      <w:r/>
    </w:p>
    <w:p>
      <w:pPr>
        <w:pStyle w:val="ListBullet"/>
      </w:pPr>
      <w:r>
        <w:t xml:space="preserve">Incorporate the missing data into the ESMP, assign clear responsibilities, and establish a </w:t>
      </w:r>
      <w:r>
        <w:rPr>
          <w:b/>
        </w:rPr>
        <w:t>Grievance Redress Mechanism (GRM)</w:t>
      </w:r>
      <w:r>
        <w:t xml:space="preserve"> with a functional committee as indicated.</w:t>
      </w:r>
    </w:p>
    <w:p>
      <w:pPr>
        <w:pStyle w:val="ListBullet"/>
      </w:pPr>
      <w:r>
        <w:t>Ensure that monitoring reports (air quality, noise, water quality, avian surveys) are submitted to NEMA within the stipulated timelines.</w:t>
      </w:r>
    </w:p>
    <w:p>
      <w:pPr>
        <w:pStyle w:val="ListNumber"/>
      </w:pPr>
      <w:r/>
      <w:r>
        <w:rPr>
          <w:b/>
        </w:rPr>
        <w:t>Stakeholder Engagement Continuity</w:t>
      </w:r>
      <w:r/>
    </w:p>
    <w:p>
      <w:pPr>
        <w:pStyle w:val="ListBullet"/>
      </w:pPr>
      <w:r>
        <w:t>Maintain regular communication with the identified vulnerable group (grazing‑rights holders) and the broader community, especially regarding compensation disbursement and any changes to the site layout.</w:t>
      </w:r>
    </w:p>
    <w:p>
      <w:pPr>
        <w:pStyle w:val="ListBullet"/>
      </w:pPr>
      <w:r>
        <w:t>Conduct a follow‑up Baraza after the resolution of the spatial issue to reaffirm community consent.</w:t>
      </w:r>
    </w:p>
    <w:p>
      <w:pPr>
        <w:pStyle w:val="ListNumber"/>
      </w:pPr>
      <w:r/>
      <w:r>
        <w:rPr>
          <w:b/>
        </w:rPr>
        <w:t>Compliance Verification</w:t>
      </w:r>
      <w:r/>
    </w:p>
    <w:p>
      <w:pPr>
        <w:pStyle w:val="ListBullet"/>
      </w:pPr>
      <w:r>
        <w:t xml:space="preserve">Prior to commissioning, submit a </w:t>
      </w:r>
      <w:r>
        <w:rPr>
          <w:b/>
        </w:rPr>
        <w:t>Compliance Checklist</w:t>
      </w:r>
      <w:r>
        <w:t xml:space="preserve"> demonstrating adherence to:</w:t>
      </w:r>
    </w:p>
    <w:p>
      <w:pPr>
        <w:pStyle w:val="ListBullet"/>
      </w:pPr>
      <w:r/>
      <w:r>
        <w:rPr>
          <w:b/>
        </w:rPr>
        <w:t>Air Quality</w:t>
      </w:r>
      <w:r>
        <w:t xml:space="preserve"> – WHO and NEMA standards.</w:t>
      </w:r>
    </w:p>
    <w:p>
      <w:pPr>
        <w:pStyle w:val="ListBullet"/>
      </w:pPr>
      <w:r/>
      <w:r>
        <w:rPr>
          <w:b/>
        </w:rPr>
        <w:t>Noise</w:t>
      </w:r>
      <w:r>
        <w:t xml:space="preserve"> – NEMA residential limits.</w:t>
      </w:r>
    </w:p>
    <w:p>
      <w:pPr>
        <w:pStyle w:val="ListBullet"/>
      </w:pPr>
      <w:r/>
      <w:r>
        <w:rPr>
          <w:b/>
        </w:rPr>
        <w:t>Water</w:t>
      </w:r>
      <w:r>
        <w:t xml:space="preserve"> – </w:t>
      </w:r>
      <w:r>
        <w:rPr>
          <w:b/>
        </w:rPr>
        <w:t>Water Act 2016</w:t>
      </w:r>
      <w:r>
        <w:t xml:space="preserve"> abstraction and discharge criteria.</w:t>
      </w:r>
    </w:p>
    <w:p>
      <w:pPr>
        <w:pStyle w:val="ListBullet"/>
      </w:pPr>
      <w:r/>
      <w:r>
        <w:rPr>
          <w:b/>
        </w:rPr>
        <w:t>Biodiversity</w:t>
      </w:r>
      <w:r>
        <w:t xml:space="preserve"> – World Bank ESF bird‑collision guidelines.</w:t>
      </w:r>
    </w:p>
    <w:p>
      <w:pPr>
        <w:pStyle w:val="ListNumber"/>
      </w:pPr>
      <w:r/>
      <w:r>
        <w:rPr>
          <w:b/>
        </w:rPr>
        <w:t>Conditional Pre‑Approval</w:t>
      </w:r>
      <w:r/>
    </w:p>
    <w:p>
      <w:pPr>
        <w:pStyle w:val="ListBullet"/>
      </w:pPr>
      <w:r>
        <w:t xml:space="preserve">Subject to the satisfactory resolution of items 1–3 above, the project may proceed to the next stage of the NEMA licensing process. The current ESIA is </w:t>
      </w:r>
      <w:r>
        <w:rPr>
          <w:b/>
        </w:rPr>
        <w:t>conditionally acceptable</w:t>
      </w:r>
      <w:r>
        <w:t xml:space="preserve"> pending these clarifications.</w:t>
      </w:r>
    </w:p>
    <w:p>
      <w:r>
        <w:t>---</w:t>
      </w:r>
    </w:p>
    <w:p>
      <w:r/>
      <w:r>
        <w:rPr>
          <w:i/>
        </w:rPr>
        <w:t>Prepared by:</w:t>
      </w:r>
      <w:r/>
    </w:p>
    <w:p>
      <w:r/>
      <w:r>
        <w:rPr>
          <w:b/>
        </w:rPr>
        <w:t>George Kamau</w:t>
      </w:r>
      <w:r>
        <w:t xml:space="preserve"> – Lead Expert (EIA/EA/1234)</w:t>
      </w:r>
    </w:p>
    <w:p>
      <w:r/>
      <w:r>
        <w:rPr>
          <w:i/>
        </w:rPr>
        <w:t>Date:</w:t>
      </w:r>
      <w:r>
        <w:t xml:space="preserve"> 2026‑09‑16</w:t>
      </w:r>
    </w:p>
    <w:p>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