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ENVIRONMENTAL AND SOCIAL IMPACT ASSESSMENT (ESIA) STUDY REPORT</w:t>
      </w:r>
    </w:p>
    <w:p>
      <w:pPr>
        <w:pStyle w:val="Heading1"/>
      </w:pPr>
      <w:r>
        <w:t>Executive Summary</w:t>
      </w:r>
    </w:p>
    <w:p>
      <w:r>
        <w:t>## Project Overview</w:t>
      </w:r>
    </w:p>
    <w:p>
      <w:pPr>
        <w:pStyle w:val="ListBullet"/>
      </w:pPr>
      <w:r/>
      <w:r>
        <w:rPr>
          <w:b/>
        </w:rPr>
        <w:t>Project Name:</w:t>
      </w:r>
      <w:r>
        <w:t xml:space="preserve"> Kiratina Gardens Residential Estate</w:t>
      </w:r>
    </w:p>
    <w:p>
      <w:pPr>
        <w:pStyle w:val="ListBullet"/>
      </w:pPr>
      <w:r/>
      <w:r>
        <w:rPr>
          <w:b/>
        </w:rPr>
        <w:t>Proponent:</w:t>
      </w:r>
      <w:r>
        <w:t xml:space="preserve"> Meridian Homes (EA) Ltd. (PIN: P048226915T)</w:t>
      </w:r>
    </w:p>
    <w:p>
      <w:pPr>
        <w:pStyle w:val="ListBullet"/>
      </w:pPr>
      <w:r/>
      <w:r>
        <w:rPr>
          <w:b/>
        </w:rPr>
        <w:t>Lead Expert:</w:t>
      </w:r>
      <w:r>
        <w:t xml:space="preserve"> Dr. Peninah Wanjiru (EIA/EA/0876)</w:t>
      </w:r>
    </w:p>
    <w:p>
      <w:pPr>
        <w:pStyle w:val="ListBullet"/>
      </w:pPr>
      <w:r/>
      <w:r>
        <w:rPr>
          <w:b/>
        </w:rPr>
        <w:t>Location:</w:t>
      </w:r>
      <w:r>
        <w:t xml:space="preserve"> Ongata Rongai Ward, Kajiado North, Kajiado County (Latitude ‑1.2038, Longitude 36.8917) – Plot LR No. 21567/4 (Private Freehold)</w:t>
      </w:r>
    </w:p>
    <w:p>
      <w:pPr>
        <w:pStyle w:val="ListBullet"/>
      </w:pPr>
      <w:r/>
      <w:r>
        <w:rPr>
          <w:b/>
        </w:rPr>
        <w:t>Site Area:</w:t>
      </w:r>
      <w:r>
        <w:t xml:space="preserve"> 9.14 ha</w:t>
      </w:r>
    </w:p>
    <w:p>
      <w:pPr>
        <w:pStyle w:val="ListBullet"/>
      </w:pPr>
      <w:r/>
      <w:r>
        <w:rPr>
          <w:b/>
        </w:rPr>
        <w:t>Housing Units:</w:t>
      </w:r>
      <w:r>
        <w:t xml:space="preserve"> 412 (apartments and townhouses) – estimated occupancy of ~1,648 residents (average 4 persons/unit)</w:t>
      </w:r>
    </w:p>
    <w:p>
      <w:pPr>
        <w:pStyle w:val="ListBullet"/>
      </w:pPr>
      <w:r/>
      <w:r>
        <w:rPr>
          <w:b/>
        </w:rPr>
        <w:t>Project Cost:</w:t>
      </w:r>
      <w:r>
        <w:t xml:space="preserve"> KES 1,260,000,000</w:t>
      </w:r>
    </w:p>
    <w:p>
      <w:pPr>
        <w:pStyle w:val="ListBullet"/>
      </w:pPr>
      <w:r/>
      <w:r>
        <w:rPr>
          <w:b/>
        </w:rPr>
        <w:t>Construction Period:</w:t>
      </w:r>
      <w:r>
        <w:t xml:space="preserve"> 30 months (commencing 20 Feb 2027)</w:t>
      </w:r>
    </w:p>
    <w:p>
      <w:pPr>
        <w:pStyle w:val="ListBullet"/>
      </w:pPr>
      <w:r/>
      <w:r>
        <w:rPr>
          <w:b/>
        </w:rPr>
        <w:t>Design Life:</w:t>
      </w:r>
      <w:r>
        <w:t xml:space="preserve"> 50 years</w:t>
      </w:r>
    </w:p>
    <w:p>
      <w:pPr>
        <w:pStyle w:val="ListBullet"/>
      </w:pPr>
      <w:r/>
      <w:r>
        <w:rPr>
          <w:b/>
        </w:rPr>
        <w:t>Category:</w:t>
      </w:r>
      <w:r>
        <w:t xml:space="preserve"> Real Estate/Housing Development – </w:t>
      </w:r>
      <w:r>
        <w:rPr>
          <w:b/>
        </w:rPr>
        <w:t>High Risk</w:t>
      </w:r>
      <w:r>
        <w:t xml:space="preserve"> (exceeds 50 units)</w:t>
      </w:r>
    </w:p>
    <w:p>
      <w:r>
        <w:t>## Baseline Environmental Conditions (Measured 18 Apr 2026)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Parameter</w:t>
            </w:r>
          </w:p>
        </w:tc>
        <w:tc>
          <w:tcPr>
            <w:tcW w:type="dxa" w:w="2160"/>
          </w:tcPr>
          <w:p>
            <w:r>
              <w:rPr>
                <w:b/>
              </w:rPr>
              <w:t>Baseline Value</w:t>
            </w:r>
          </w:p>
        </w:tc>
        <w:tc>
          <w:tcPr>
            <w:tcW w:type="dxa" w:w="2160"/>
          </w:tcPr>
          <w:p>
            <w:r>
              <w:rPr>
                <w:b/>
              </w:rPr>
              <w:t>Relevant Guideline</w:t>
            </w:r>
          </w:p>
        </w:tc>
        <w:tc>
          <w:tcPr>
            <w:tcW w:type="dxa" w:w="2160"/>
          </w:tcPr>
          <w:p>
            <w:r>
              <w:rPr>
                <w:b/>
              </w:rPr>
              <w:t>Compliance</w:t>
            </w:r>
          </w:p>
        </w:tc>
      </w:tr>
      <w:tr>
        <w:tc>
          <w:tcPr>
            <w:tcW w:type="dxa" w:w="2160"/>
          </w:tcPr>
          <w:p>
            <w:r/>
            <w:r>
              <w:rPr>
                <w:b/>
              </w:rPr>
              <w:t>Air – PM₂.₅</w:t>
            </w:r>
            <w:r/>
          </w:p>
        </w:tc>
        <w:tc>
          <w:tcPr>
            <w:tcW w:type="dxa" w:w="2160"/>
          </w:tcPr>
          <w:p>
            <w:r>
              <w:t>14 µg/m³</w:t>
            </w:r>
          </w:p>
        </w:tc>
        <w:tc>
          <w:tcPr>
            <w:tcW w:type="dxa" w:w="2160"/>
          </w:tcPr>
          <w:p>
            <w:r>
              <w:t>WHO 24‑hr guideline = 15 µg/m³</w:t>
            </w:r>
          </w:p>
        </w:tc>
        <w:tc>
          <w:tcPr>
            <w:tcW w:type="dxa" w:w="2160"/>
          </w:tcPr>
          <w:p>
            <w:r/>
            <w:r>
              <w:rPr>
                <w:b/>
              </w:rPr>
              <w:t>Within</w:t>
            </w:r>
            <w:r/>
          </w:p>
        </w:tc>
      </w:tr>
      <w:tr>
        <w:tc>
          <w:tcPr>
            <w:tcW w:type="dxa" w:w="2160"/>
          </w:tcPr>
          <w:p>
            <w:r/>
            <w:r>
              <w:rPr>
                <w:b/>
              </w:rPr>
              <w:t>Air – PM₁₀</w:t>
            </w:r>
            <w:r/>
          </w:p>
        </w:tc>
        <w:tc>
          <w:tcPr>
            <w:tcW w:type="dxa" w:w="2160"/>
          </w:tcPr>
          <w:p>
            <w:r>
              <w:t>29 µg/m³</w:t>
            </w:r>
          </w:p>
        </w:tc>
        <w:tc>
          <w:tcPr>
            <w:tcW w:type="dxa" w:w="2160"/>
          </w:tcPr>
          <w:p>
            <w:r>
              <w:t>NEMA residential limit = 75 µg/m³</w:t>
            </w:r>
          </w:p>
        </w:tc>
        <w:tc>
          <w:tcPr>
            <w:tcW w:type="dxa" w:w="2160"/>
          </w:tcPr>
          <w:p>
            <w:r/>
            <w:r>
              <w:rPr>
                <w:b/>
              </w:rPr>
              <w:t>Within</w:t>
            </w:r>
            <w:r/>
          </w:p>
        </w:tc>
      </w:tr>
      <w:tr>
        <w:tc>
          <w:tcPr>
            <w:tcW w:type="dxa" w:w="2160"/>
          </w:tcPr>
          <w:p>
            <w:r/>
            <w:r>
              <w:rPr>
                <w:b/>
              </w:rPr>
              <w:t>Noise (ambient)</w:t>
            </w:r>
            <w:r/>
          </w:p>
        </w:tc>
        <w:tc>
          <w:tcPr>
            <w:tcW w:type="dxa" w:w="2160"/>
          </w:tcPr>
          <w:p>
            <w:r>
              <w:t>47 dBA (daytime)</w:t>
            </w:r>
          </w:p>
        </w:tc>
        <w:tc>
          <w:tcPr>
            <w:tcW w:type="dxa" w:w="2160"/>
          </w:tcPr>
          <w:p>
            <w:r>
              <w:t>NEMA residential night limit = 45 dBA</w:t>
            </w:r>
          </w:p>
        </w:tc>
        <w:tc>
          <w:tcPr>
            <w:tcW w:type="dxa" w:w="2160"/>
          </w:tcPr>
          <w:p>
            <w:r/>
            <w:r>
              <w:rPr>
                <w:b/>
              </w:rPr>
              <w:t>Exceeds</w:t>
            </w:r>
            <w:r>
              <w:t xml:space="preserve"> night‑time guideline</w:t>
            </w:r>
          </w:p>
        </w:tc>
      </w:tr>
      <w:tr>
        <w:tc>
          <w:tcPr>
            <w:tcW w:type="dxa" w:w="2160"/>
          </w:tcPr>
          <w:p>
            <w:r/>
            <w:r>
              <w:rPr>
                <w:b/>
              </w:rPr>
              <w:t>Groundwater depth</w:t>
            </w:r>
            <w:r/>
          </w:p>
        </w:tc>
        <w:tc>
          <w:tcPr>
            <w:tcW w:type="dxa" w:w="2160"/>
          </w:tcPr>
          <w:p>
            <w:r>
              <w:t>43 m below ground surface</w:t>
            </w:r>
          </w:p>
        </w:tc>
        <w:tc>
          <w:tcPr>
            <w:tcW w:type="dxa" w:w="2160"/>
          </w:tcPr>
          <w:p>
            <w:r>
              <w:t>—</w:t>
            </w:r>
          </w:p>
        </w:tc>
        <w:tc>
          <w:tcPr>
            <w:tcW w:type="dxa" w:w="2160"/>
          </w:tcPr>
          <w:p>
            <w:r>
              <w:t>—</w:t>
            </w:r>
          </w:p>
        </w:tc>
      </w:tr>
      <w:tr>
        <w:tc>
          <w:tcPr>
            <w:tcW w:type="dxa" w:w="2160"/>
          </w:tcPr>
          <w:p>
            <w:r/>
            <w:r>
              <w:rPr>
                <w:b/>
              </w:rPr>
              <w:t>Existing land use</w:t>
            </w:r>
            <w:r/>
          </w:p>
        </w:tc>
        <w:tc>
          <w:tcPr>
            <w:tcW w:type="dxa" w:w="2160"/>
          </w:tcPr>
          <w:p>
            <w:r>
              <w:t>Grassland / light grazing, scattered Acacia</w:t>
            </w:r>
          </w:p>
        </w:tc>
        <w:tc>
          <w:tcPr>
            <w:tcW w:type="dxa" w:w="2160"/>
          </w:tcPr>
          <w:p>
            <w:r>
              <w:t>—</w:t>
            </w:r>
          </w:p>
        </w:tc>
        <w:tc>
          <w:tcPr>
            <w:tcW w:type="dxa" w:w="2160"/>
          </w:tcPr>
          <w:p>
            <w:r>
              <w:t>—</w:t>
            </w:r>
          </w:p>
        </w:tc>
      </w:tr>
      <w:tr>
        <w:tc>
          <w:tcPr>
            <w:tcW w:type="dxa" w:w="2160"/>
          </w:tcPr>
          <w:p>
            <w:r/>
            <w:r>
              <w:rPr>
                <w:b/>
              </w:rPr>
              <w:t>Sewerage</w:t>
            </w:r>
            <w:r/>
          </w:p>
        </w:tc>
        <w:tc>
          <w:tcPr>
            <w:tcW w:type="dxa" w:w="2160"/>
          </w:tcPr>
          <w:p>
            <w:r>
              <w:t>No existing sewer line; site unserved</w:t>
            </w:r>
          </w:p>
        </w:tc>
        <w:tc>
          <w:tcPr>
            <w:tcW w:type="dxa" w:w="2160"/>
          </w:tcPr>
          <w:p>
            <w:r>
              <w:t>—</w:t>
            </w:r>
          </w:p>
        </w:tc>
        <w:tc>
          <w:tcPr>
            <w:tcW w:type="dxa" w:w="2160"/>
          </w:tcPr>
          <w:p>
            <w:r>
              <w:t>—</w:t>
            </w:r>
          </w:p>
        </w:tc>
      </w:tr>
      <w:tr>
        <w:tc>
          <w:tcPr>
            <w:tcW w:type="dxa" w:w="2160"/>
          </w:tcPr>
          <w:p>
            <w:r/>
            <w:r>
              <w:rPr>
                <w:b/>
              </w:rPr>
              <w:t>Stormwater</w:t>
            </w:r>
            <w:r/>
          </w:p>
        </w:tc>
        <w:tc>
          <w:tcPr>
            <w:tcW w:type="dxa" w:w="2160"/>
          </w:tcPr>
          <w:p>
            <w:r>
              <w:t>Natural sheet flow to seasonal swale, 340 m to Kiratina Seasonal Stream</w:t>
            </w:r>
          </w:p>
        </w:tc>
        <w:tc>
          <w:tcPr>
            <w:tcW w:type="dxa" w:w="2160"/>
          </w:tcPr>
          <w:p>
            <w:r>
              <w:t>—</w:t>
            </w:r>
          </w:p>
        </w:tc>
        <w:tc>
          <w:tcPr>
            <w:tcW w:type="dxa" w:w="2160"/>
          </w:tcPr>
          <w:p>
            <w:r>
              <w:t>—</w:t>
            </w:r>
          </w:p>
        </w:tc>
      </w:tr>
    </w:tbl>
    <w:p>
      <w:r>
        <w:t>Key receptors within a 1 km radius include Kiratina Primary School (280 m north), Rongai Mosque (650 m southeast), existing residential plots (90 m all sides), and the on‑site Meridian Estate borehole. The nearest medical centre lies just outside the 1 km buffer (1,100 m east).</w:t>
      </w:r>
    </w:p>
    <w:p>
      <w:r>
        <w:t>## Potential Environmental and Social Impacts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Impact Category</w:t>
            </w:r>
          </w:p>
        </w:tc>
        <w:tc>
          <w:tcPr>
            <w:tcW w:type="dxa" w:w="2160"/>
          </w:tcPr>
          <w:p>
            <w:r>
              <w:rPr>
                <w:b/>
              </w:rPr>
              <w:t>Construction Phase</w:t>
            </w:r>
          </w:p>
        </w:tc>
        <w:tc>
          <w:tcPr>
            <w:tcW w:type="dxa" w:w="2160"/>
          </w:tcPr>
          <w:p>
            <w:r>
              <w:rPr>
                <w:b/>
              </w:rPr>
              <w:t>Operational Phase</w:t>
            </w:r>
          </w:p>
        </w:tc>
        <w:tc>
          <w:tcPr>
            <w:tcW w:type="dxa" w:w="2160"/>
          </w:tcPr>
          <w:p>
            <w:r>
              <w:rPr>
                <w:b/>
              </w:rPr>
              <w:t>Significance (High/Medium/Low)</w:t>
            </w:r>
          </w:p>
        </w:tc>
      </w:tr>
      <w:tr>
        <w:tc>
          <w:tcPr>
            <w:tcW w:type="dxa" w:w="2160"/>
          </w:tcPr>
          <w:p>
            <w:r/>
            <w:r>
              <w:rPr>
                <w:b/>
              </w:rPr>
              <w:t>Water supply</w:t>
            </w:r>
            <w:r/>
          </w:p>
        </w:tc>
        <w:tc>
          <w:tcPr>
            <w:tcW w:type="dxa" w:w="2160"/>
          </w:tcPr>
          <w:p>
            <w:r>
              <w:t>Increased abstraction from on‑site borehole; risk of draw‑down</w:t>
            </w:r>
          </w:p>
        </w:tc>
        <w:tc>
          <w:tcPr>
            <w:tcW w:type="dxa" w:w="2160"/>
          </w:tcPr>
          <w:p>
            <w:r>
              <w:t>Continuous abstraction for domestic use (≈ 500 kL storage)</w:t>
            </w:r>
          </w:p>
        </w:tc>
        <w:tc>
          <w:tcPr>
            <w:tcW w:type="dxa" w:w="2160"/>
          </w:tcPr>
          <w:p>
            <w:r/>
            <w:r>
              <w:rPr>
                <w:b/>
              </w:rPr>
              <w:t>Medium</w:t>
            </w:r>
            <w:r>
              <w:t xml:space="preserve"> (managed by storage tank and monitoring)</w:t>
            </w:r>
          </w:p>
        </w:tc>
      </w:tr>
      <w:tr>
        <w:tc>
          <w:tcPr>
            <w:tcW w:type="dxa" w:w="2160"/>
          </w:tcPr>
          <w:p>
            <w:r/>
            <w:r>
              <w:rPr>
                <w:b/>
              </w:rPr>
              <w:t>Sewage disposal</w:t>
            </w:r>
            <w:r/>
          </w:p>
        </w:tc>
        <w:tc>
          <w:tcPr>
            <w:tcW w:type="dxa" w:w="2160"/>
          </w:tcPr>
          <w:p>
            <w:r>
              <w:t>Generation of wastewater; need for temporary storage</w:t>
            </w:r>
          </w:p>
        </w:tc>
        <w:tc>
          <w:tcPr>
            <w:tcW w:type="dxa" w:w="2160"/>
          </w:tcPr>
          <w:p>
            <w:r>
              <w:t>Discharge of treated effluent from on‑site package treatment plant</w:t>
            </w:r>
          </w:p>
        </w:tc>
        <w:tc>
          <w:tcPr>
            <w:tcW w:type="dxa" w:w="2160"/>
          </w:tcPr>
          <w:p>
            <w:r/>
            <w:r>
              <w:rPr>
                <w:b/>
              </w:rPr>
              <w:t>Medium</w:t>
            </w:r>
            <w:r>
              <w:t xml:space="preserve"> (mitigated by tertiary treatment)</w:t>
            </w:r>
          </w:p>
        </w:tc>
      </w:tr>
      <w:tr>
        <w:tc>
          <w:tcPr>
            <w:tcW w:type="dxa" w:w="2160"/>
          </w:tcPr>
          <w:p>
            <w:r/>
            <w:r>
              <w:rPr>
                <w:b/>
              </w:rPr>
              <w:t>Air quality (dust &amp; emissions)</w:t>
            </w:r>
            <w:r/>
          </w:p>
        </w:tc>
        <w:tc>
          <w:tcPr>
            <w:tcW w:type="dxa" w:w="2160"/>
          </w:tcPr>
          <w:p>
            <w:r>
              <w:t>Dust from earthworks, diesel equipment</w:t>
            </w:r>
          </w:p>
        </w:tc>
        <w:tc>
          <w:tcPr>
            <w:tcW w:type="dxa" w:w="2160"/>
          </w:tcPr>
          <w:p>
            <w:r>
              <w:t>Minor fugitive emissions from estate services</w:t>
            </w:r>
          </w:p>
        </w:tc>
        <w:tc>
          <w:tcPr>
            <w:tcW w:type="dxa" w:w="2160"/>
          </w:tcPr>
          <w:p>
            <w:r/>
            <w:r>
              <w:rPr>
                <w:b/>
              </w:rPr>
              <w:t>Low–Medium</w:t>
            </w:r>
            <w:r>
              <w:t xml:space="preserve"> (controlled by dust suppression)</w:t>
            </w:r>
          </w:p>
        </w:tc>
      </w:tr>
      <w:tr>
        <w:tc>
          <w:tcPr>
            <w:tcW w:type="dxa" w:w="2160"/>
          </w:tcPr>
          <w:p>
            <w:r/>
            <w:r>
              <w:rPr>
                <w:b/>
              </w:rPr>
              <w:t>Noise</w:t>
            </w:r>
            <w:r/>
          </w:p>
        </w:tc>
        <w:tc>
          <w:tcPr>
            <w:tcW w:type="dxa" w:w="2160"/>
          </w:tcPr>
          <w:p>
            <w:r>
              <w:t>Construction activities (machinery, traffic)</w:t>
            </w:r>
          </w:p>
        </w:tc>
        <w:tc>
          <w:tcPr>
            <w:tcW w:type="dxa" w:w="2160"/>
          </w:tcPr>
          <w:p>
            <w:r>
              <w:t>Traffic noise from estate access road</w:t>
            </w:r>
          </w:p>
        </w:tc>
        <w:tc>
          <w:tcPr>
            <w:tcW w:type="dxa" w:w="2160"/>
          </w:tcPr>
          <w:p>
            <w:r/>
            <w:r>
              <w:rPr>
                <w:b/>
              </w:rPr>
              <w:t>Medium</w:t>
            </w:r>
            <w:r>
              <w:t xml:space="preserve"> (mitigated by restricted hours &amp; noise barriers)</w:t>
            </w:r>
          </w:p>
        </w:tc>
      </w:tr>
      <w:tr>
        <w:tc>
          <w:tcPr>
            <w:tcW w:type="dxa" w:w="2160"/>
          </w:tcPr>
          <w:p>
            <w:r/>
            <w:r>
              <w:rPr>
                <w:b/>
              </w:rPr>
              <w:t>Traffic &amp; road safety</w:t>
            </w:r>
            <w:r/>
          </w:p>
        </w:tc>
        <w:tc>
          <w:tcPr>
            <w:tcW w:type="dxa" w:w="2160"/>
          </w:tcPr>
          <w:p>
            <w:r>
              <w:t>Heavy construction traffic; potential congestion near school</w:t>
            </w:r>
          </w:p>
        </w:tc>
        <w:tc>
          <w:tcPr>
            <w:tcW w:type="dxa" w:w="2160"/>
          </w:tcPr>
          <w:p>
            <w:r>
              <w:t>Increased resident vehicle movements</w:t>
            </w:r>
          </w:p>
        </w:tc>
        <w:tc>
          <w:tcPr>
            <w:tcW w:type="dxa" w:w="2160"/>
          </w:tcPr>
          <w:p>
            <w:r/>
            <w:r>
              <w:rPr>
                <w:b/>
              </w:rPr>
              <w:t>Medium</w:t>
            </w:r>
            <w:r>
              <w:t xml:space="preserve"> (mitigated by dedicated access road &amp; traffic marshal)</w:t>
            </w:r>
          </w:p>
        </w:tc>
      </w:tr>
      <w:tr>
        <w:tc>
          <w:tcPr>
            <w:tcW w:type="dxa" w:w="2160"/>
          </w:tcPr>
          <w:p>
            <w:r/>
            <w:r>
              <w:rPr>
                <w:b/>
              </w:rPr>
              <w:t>Biodiversity</w:t>
            </w:r>
            <w:r/>
          </w:p>
        </w:tc>
        <w:tc>
          <w:tcPr>
            <w:tcW w:type="dxa" w:w="2160"/>
          </w:tcPr>
          <w:p>
            <w:r>
              <w:t>Minimal disturbance of scattered Acacia; no protected habitats</w:t>
            </w:r>
          </w:p>
        </w:tc>
        <w:tc>
          <w:tcPr>
            <w:tcW w:type="dxa" w:w="2160"/>
          </w:tcPr>
          <w:p>
            <w:r>
              <w:t>No significant ongoing impacts</w:t>
            </w:r>
          </w:p>
        </w:tc>
        <w:tc>
          <w:tcPr>
            <w:tcW w:type="dxa" w:w="2160"/>
          </w:tcPr>
          <w:p>
            <w:r/>
            <w:r>
              <w:rPr>
                <w:b/>
              </w:rPr>
              <w:t>Low</w:t>
            </w:r>
            <w:r/>
          </w:p>
        </w:tc>
      </w:tr>
      <w:tr>
        <w:tc>
          <w:tcPr>
            <w:tcW w:type="dxa" w:w="2160"/>
          </w:tcPr>
          <w:p>
            <w:r/>
            <w:r>
              <w:rPr>
                <w:b/>
              </w:rPr>
              <w:t>Socio‑economic</w:t>
            </w:r>
            <w:r/>
          </w:p>
        </w:tc>
        <w:tc>
          <w:tcPr>
            <w:tcW w:type="dxa" w:w="2160"/>
          </w:tcPr>
          <w:p>
            <w:r>
              <w:t>Employment generation (construction)</w:t>
            </w:r>
          </w:p>
        </w:tc>
        <w:tc>
          <w:tcPr>
            <w:tcW w:type="dxa" w:w="2160"/>
          </w:tcPr>
          <w:p>
            <w:r>
              <w:t>Provision of affordable housing; improved local services</w:t>
            </w:r>
          </w:p>
        </w:tc>
        <w:tc>
          <w:tcPr>
            <w:tcW w:type="dxa" w:w="2160"/>
          </w:tcPr>
          <w:p>
            <w:r/>
            <w:r>
              <w:rPr>
                <w:b/>
              </w:rPr>
              <w:t>Positive</w:t>
            </w:r>
            <w:r>
              <w:t xml:space="preserve"> (employment figures </w:t>
            </w:r>
            <w:r>
              <w:rPr>
                <w:b/>
              </w:rPr>
              <w:t>[MISSING: EMPLOYMENT COUNT]</w:t>
            </w:r>
            <w:r>
              <w:t>)</w:t>
            </w:r>
          </w:p>
        </w:tc>
      </w:tr>
      <w:tr>
        <w:tc>
          <w:tcPr>
            <w:tcW w:type="dxa" w:w="2160"/>
          </w:tcPr>
          <w:p>
            <w:r/>
            <w:r>
              <w:rPr>
                <w:b/>
              </w:rPr>
              <w:t>Visual &amp; landscape</w:t>
            </w:r>
            <w:r/>
          </w:p>
        </w:tc>
        <w:tc>
          <w:tcPr>
            <w:tcW w:type="dxa" w:w="2160"/>
          </w:tcPr>
          <w:p>
            <w:r>
              <w:t>Temporary site clearing</w:t>
            </w:r>
          </w:p>
        </w:tc>
        <w:tc>
          <w:tcPr>
            <w:tcW w:type="dxa" w:w="2160"/>
          </w:tcPr>
          <w:p>
            <w:r>
              <w:t>Height restriction (max 4 storeys) and landscaped buffer</w:t>
            </w:r>
          </w:p>
        </w:tc>
        <w:tc>
          <w:tcPr>
            <w:tcW w:type="dxa" w:w="2160"/>
          </w:tcPr>
          <w:p>
            <w:r/>
            <w:r>
              <w:rPr>
                <w:b/>
              </w:rPr>
              <w:t>Low</w:t>
            </w:r>
            <w:r/>
          </w:p>
        </w:tc>
      </w:tr>
    </w:tbl>
    <w:p>
      <w:r>
        <w:t>## Mitigation Measures (Integrated into the ESMP)</w:t>
      </w:r>
    </w:p>
    <w:p>
      <w:pPr>
        <w:pStyle w:val="ListNumber"/>
      </w:pPr>
      <w:r/>
      <w:r>
        <w:rPr>
          <w:b/>
        </w:rPr>
        <w:t>Water Resources</w:t>
      </w:r>
      <w:r/>
    </w:p>
    <w:p>
      <w:pPr>
        <w:pStyle w:val="ListBullet"/>
      </w:pPr>
      <w:r>
        <w:t xml:space="preserve">On‑site borehole equipped with a </w:t>
      </w:r>
      <w:r>
        <w:rPr>
          <w:b/>
        </w:rPr>
        <w:t>500,000 L</w:t>
      </w:r>
      <w:r>
        <w:t xml:space="preserve"> storage tank to meet estate demand without drawing from the county supply (in accordance with the </w:t>
      </w:r>
      <w:r>
        <w:rPr>
          <w:b/>
        </w:rPr>
        <w:t>Water Act 2016</w:t>
      </w:r>
      <w:r>
        <w:t>).</w:t>
      </w:r>
    </w:p>
    <w:p>
      <w:pPr>
        <w:pStyle w:val="ListBullet"/>
      </w:pPr>
      <w:r>
        <w:t>Quarterly groundwater monitoring to ensure abstraction does not exceed sustainable yield.</w:t>
      </w:r>
    </w:p>
    <w:p>
      <w:pPr>
        <w:pStyle w:val="ListNumber"/>
      </w:pPr>
      <w:r/>
      <w:r>
        <w:rPr>
          <w:b/>
        </w:rPr>
        <w:t>Sewage Management</w:t>
      </w:r>
      <w:r/>
    </w:p>
    <w:p>
      <w:pPr>
        <w:pStyle w:val="ListBullet"/>
      </w:pPr>
      <w:r>
        <w:t xml:space="preserve">Installation of a </w:t>
      </w:r>
      <w:r>
        <w:rPr>
          <w:b/>
        </w:rPr>
        <w:t>package sewage treatment plant</w:t>
      </w:r>
      <w:r>
        <w:t xml:space="preserve"> with tertiary treatment to meet </w:t>
      </w:r>
      <w:r>
        <w:rPr>
          <w:b/>
        </w:rPr>
        <w:t>World Bank Environmental and Social Framework (ESF)</w:t>
      </w:r>
      <w:r>
        <w:t xml:space="preserve"> effluent standards before discharge to the Kiratina Seasonal Stream.</w:t>
      </w:r>
    </w:p>
    <w:p>
      <w:pPr>
        <w:pStyle w:val="ListBullet"/>
      </w:pPr>
      <w:r>
        <w:t>Regular sludge dewatering and safe disposal in licensed facilities.</w:t>
      </w:r>
    </w:p>
    <w:p>
      <w:pPr>
        <w:pStyle w:val="ListNumber"/>
      </w:pPr>
      <w:r/>
      <w:r>
        <w:rPr>
          <w:b/>
        </w:rPr>
        <w:t>Air Quality &amp; Dust Control</w:t>
      </w:r>
      <w:r/>
    </w:p>
    <w:p>
      <w:pPr>
        <w:pStyle w:val="ListBullet"/>
      </w:pPr>
      <w:r>
        <w:t>Water‑spraying of exposed soils and haul roads; covering of trucks transporting loose material.</w:t>
      </w:r>
    </w:p>
    <w:p>
      <w:pPr>
        <w:pStyle w:val="ListBullet"/>
      </w:pPr>
      <w:r>
        <w:t>Use of low‑emission diesel equipment where available; maintenance schedule to limit exhaust emissions.</w:t>
      </w:r>
    </w:p>
    <w:p>
      <w:pPr>
        <w:pStyle w:val="ListNumber"/>
      </w:pPr>
      <w:r/>
      <w:r>
        <w:rPr>
          <w:b/>
        </w:rPr>
        <w:t>Noise Control</w:t>
      </w:r>
      <w:r/>
    </w:p>
    <w:p>
      <w:pPr>
        <w:pStyle w:val="ListBullet"/>
      </w:pPr>
      <w:r>
        <w:t xml:space="preserve">Construction limited to </w:t>
      </w:r>
      <w:r>
        <w:rPr>
          <w:b/>
        </w:rPr>
        <w:t>07:00–18:00, weekdays only</w:t>
      </w:r>
      <w:r>
        <w:t>; no weekend works.</w:t>
      </w:r>
    </w:p>
    <w:p>
      <w:pPr>
        <w:pStyle w:val="ListBullet"/>
      </w:pPr>
      <w:r>
        <w:t>Installation of temporary acoustic barriers around the perimeter adjacent to the primary school and existing residential plots.</w:t>
      </w:r>
    </w:p>
    <w:p>
      <w:pPr>
        <w:pStyle w:val="ListBullet"/>
      </w:pPr>
      <w:r>
        <w:t>Continuous noise monitoring; corrective actions if levels approach the night‑time limit of 45 dBA.</w:t>
      </w:r>
    </w:p>
    <w:p>
      <w:pPr>
        <w:pStyle w:val="ListNumber"/>
      </w:pPr>
      <w:r/>
      <w:r>
        <w:rPr>
          <w:b/>
        </w:rPr>
        <w:t>Traffic Management</w:t>
      </w:r>
      <w:r/>
    </w:p>
    <w:p>
      <w:pPr>
        <w:pStyle w:val="ListBullet"/>
      </w:pPr>
      <w:r>
        <w:t xml:space="preserve">Construction of a </w:t>
      </w:r>
      <w:r>
        <w:rPr>
          <w:b/>
        </w:rPr>
        <w:t>dedicated estate access road</w:t>
      </w:r>
      <w:r>
        <w:t xml:space="preserve"> with a signal‑controlled junction to the main arterial.</w:t>
      </w:r>
    </w:p>
    <w:p>
      <w:pPr>
        <w:pStyle w:val="ListBullet"/>
      </w:pPr>
      <w:r>
        <w:t xml:space="preserve">Deployment of a </w:t>
      </w:r>
      <w:r>
        <w:rPr>
          <w:b/>
        </w:rPr>
        <w:t>traffic marshal</w:t>
      </w:r>
      <w:r>
        <w:t xml:space="preserve"> during school hours for the first 12 months to ensure safe school‑run traffic flow.</w:t>
      </w:r>
    </w:p>
    <w:p>
      <w:pPr>
        <w:pStyle w:val="ListBullet"/>
      </w:pPr>
      <w:r>
        <w:t>Signage and speed‑calming measures throughout the estate.</w:t>
      </w:r>
    </w:p>
    <w:p>
      <w:pPr>
        <w:pStyle w:val="ListNumber"/>
      </w:pPr>
      <w:r/>
      <w:r>
        <w:rPr>
          <w:b/>
        </w:rPr>
        <w:t>Land Use &amp; Visual Impact</w:t>
      </w:r>
      <w:r/>
    </w:p>
    <w:p>
      <w:pPr>
        <w:pStyle w:val="ListBullet"/>
      </w:pPr>
      <w:r>
        <w:t xml:space="preserve">Height restriction to </w:t>
      </w:r>
      <w:r>
        <w:rPr>
          <w:b/>
        </w:rPr>
        <w:t>four storeys</w:t>
      </w:r>
      <w:r>
        <w:t xml:space="preserve"> on the side facing existing residential plots to preserve neighbourhood character.</w:t>
      </w:r>
    </w:p>
    <w:p>
      <w:pPr>
        <w:pStyle w:val="ListBullet"/>
      </w:pPr>
      <w:r>
        <w:t xml:space="preserve">Creation of a </w:t>
      </w:r>
      <w:r>
        <w:rPr>
          <w:b/>
        </w:rPr>
        <w:t>landscaped buffer zone</w:t>
      </w:r>
      <w:r>
        <w:t xml:space="preserve"> (minimum 10 m) using native species to soften visual transition and provide habitat.</w:t>
      </w:r>
    </w:p>
    <w:p>
      <w:pPr>
        <w:pStyle w:val="ListNumber"/>
      </w:pPr>
      <w:r/>
      <w:r>
        <w:rPr>
          <w:b/>
        </w:rPr>
        <w:t>Community &amp; Social Safeguards</w:t>
      </w:r>
      <w:r/>
    </w:p>
    <w:p>
      <w:pPr>
        <w:pStyle w:val="ListBullet"/>
      </w:pPr>
      <w:r>
        <w:t>No displacement of existing residents (greenfield infill).</w:t>
      </w:r>
    </w:p>
    <w:p>
      <w:pPr>
        <w:pStyle w:val="ListBullet"/>
      </w:pPr>
      <w:r>
        <w:t xml:space="preserve">Allocation of </w:t>
      </w:r>
      <w:r>
        <w:rPr>
          <w:b/>
        </w:rPr>
        <w:t>5 %</w:t>
      </w:r>
      <w:r>
        <w:t xml:space="preserve"> of units as </w:t>
      </w:r>
      <w:r>
        <w:rPr>
          <w:b/>
        </w:rPr>
        <w:t>PWD‑accessible</w:t>
      </w:r>
      <w:r>
        <w:t xml:space="preserve"> in line with inclusive housing policy.</w:t>
      </w:r>
    </w:p>
    <w:p>
      <w:pPr>
        <w:pStyle w:val="ListBullet"/>
      </w:pPr>
      <w:r>
        <w:t xml:space="preserve">Ongoing </w:t>
      </w:r>
      <w:r>
        <w:rPr>
          <w:b/>
        </w:rPr>
        <w:t>GRM Committee</w:t>
      </w:r>
      <w:r>
        <w:t xml:space="preserve"> to receive and address grievances promptly.</w:t>
      </w:r>
    </w:p>
    <w:p>
      <w:r>
        <w:t xml:space="preserve">All mitigation actions are incorporated into the </w:t>
      </w:r>
      <w:r>
        <w:rPr>
          <w:b/>
        </w:rPr>
        <w:t>Environmental and Social Management Plan (ESMP)</w:t>
      </w:r>
      <w:r>
        <w:t xml:space="preserve"> with clear responsibilities, timelines, and monitoring protocols.</w:t>
      </w:r>
    </w:p>
    <w:p>
      <w:r>
        <w:t>## Stakeholder Engagement Summary</w:t>
      </w:r>
    </w:p>
    <w:p>
      <w:pPr>
        <w:pStyle w:val="ListBullet"/>
      </w:pPr>
      <w:r/>
      <w:r>
        <w:rPr>
          <w:b/>
        </w:rPr>
        <w:t>Public Notice:</w:t>
      </w:r>
      <w:r>
        <w:t xml:space="preserve"> Daily Nation advertisement (19 Aug 2026) – 14‑day notice period.</w:t>
      </w:r>
    </w:p>
    <w:p>
      <w:pPr>
        <w:pStyle w:val="ListBullet"/>
      </w:pPr>
      <w:r/>
      <w:r>
        <w:rPr>
          <w:b/>
        </w:rPr>
        <w:t>Baraza:</w:t>
      </w:r>
      <w:r>
        <w:t xml:space="preserve"> Held on 5 Sep 2026 at Ongata Rongai Social Hall; </w:t>
      </w:r>
      <w:r>
        <w:rPr>
          <w:b/>
        </w:rPr>
        <w:t>267</w:t>
      </w:r>
      <w:r>
        <w:t xml:space="preserve"> participants, including local leaders, school representatives, religious leaders, and community members.</w:t>
      </w:r>
    </w:p>
    <w:p>
      <w:pPr>
        <w:pStyle w:val="ListBullet"/>
      </w:pPr>
      <w:r/>
      <w:r>
        <w:rPr>
          <w:b/>
        </w:rPr>
        <w:t>Key Concerns Raised:</w:t>
      </w:r>
      <w:r/>
    </w:p>
    <w:p>
      <w:pPr>
        <w:pStyle w:val="ListNumber"/>
      </w:pPr>
      <w:r>
        <w:t>Water supply reliability – addressed by on‑site borehole and storage tank.</w:t>
      </w:r>
    </w:p>
    <w:p>
      <w:pPr>
        <w:pStyle w:val="ListNumber"/>
      </w:pPr>
      <w:r>
        <w:t>Sewage disposal – addressed by on‑site treatment plant with tertiary treatment.</w:t>
      </w:r>
    </w:p>
    <w:p>
      <w:pPr>
        <w:pStyle w:val="ListNumber"/>
      </w:pPr>
      <w:r>
        <w:t>Traffic impacts on school runs – addressed by dedicated access road and traffic marshal.</w:t>
      </w:r>
    </w:p>
    <w:p>
      <w:pPr>
        <w:pStyle w:val="ListNumber"/>
      </w:pPr>
      <w:r>
        <w:t>Property values and neighbourhood character – addressed by height restriction and landscaped buffer.</w:t>
      </w:r>
    </w:p>
    <w:p>
      <w:pPr>
        <w:pStyle w:val="ListNumber"/>
      </w:pPr>
      <w:r>
        <w:t>Construction dust and noise – addressed by restricted working hours, dust suppression, and acoustic barriers.</w:t>
      </w:r>
    </w:p>
    <w:p>
      <w:pPr>
        <w:pStyle w:val="ListBullet"/>
      </w:pPr>
      <w:r/>
      <w:r>
        <w:rPr>
          <w:b/>
        </w:rPr>
        <w:t>Vulnerable Groups:</w:t>
      </w:r>
      <w:r>
        <w:t xml:space="preserve"> No forced resettlement; provisions for persons with disabilities (PWD) incorporated.</w:t>
      </w:r>
    </w:p>
    <w:p>
      <w:pPr>
        <w:pStyle w:val="ListBullet"/>
      </w:pPr>
      <w:r/>
      <w:r>
        <w:rPr>
          <w:b/>
        </w:rPr>
        <w:t>GRM:</w:t>
      </w:r>
      <w:r>
        <w:t xml:space="preserve"> Established; contact details provided in the ESMP.</w:t>
      </w:r>
    </w:p>
    <w:p>
      <w:r>
        <w:t>## Conclusions and Recommendations</w:t>
      </w:r>
    </w:p>
    <w:p>
      <w:r>
        <w:t xml:space="preserve">The Kiratina Gardens Residential Estate presents a </w:t>
      </w:r>
      <w:r>
        <w:rPr>
          <w:b/>
        </w:rPr>
        <w:t>high‑risk</w:t>
      </w:r>
      <w:r>
        <w:t xml:space="preserve"> development due to the scale of housing units, but the baseline environment is generally within national air‑quality standards and only marginally exceeds night‑time noise guidelines. The identified impacts are </w:t>
      </w:r>
      <w:r>
        <w:rPr>
          <w:b/>
        </w:rPr>
        <w:t>manageable</w:t>
      </w:r>
      <w:r>
        <w:t xml:space="preserve"> through the robust mitigation measures outlined in the ESMP.</w:t>
      </w:r>
    </w:p>
    <w:p>
      <w:r>
        <w:t>Key recommendations for the NEMA reviewer:</w:t>
      </w:r>
    </w:p>
    <w:p>
      <w:pPr>
        <w:pStyle w:val="ListNumber"/>
      </w:pPr>
      <w:r/>
      <w:r>
        <w:rPr>
          <w:b/>
        </w:rPr>
        <w:t>Approve the ESIA</w:t>
      </w:r>
      <w:r>
        <w:t xml:space="preserve"> subject to the implementation of the ESMP as described, with particular emphasis on:</w:t>
      </w:r>
    </w:p>
    <w:p>
      <w:pPr>
        <w:pStyle w:val="ListBullet"/>
      </w:pPr>
      <w:r>
        <w:t>Continuous noise monitoring to ensure compliance with the 45 dBA night‑time limit.</w:t>
      </w:r>
    </w:p>
    <w:p>
      <w:pPr>
        <w:pStyle w:val="ListBullet"/>
      </w:pPr>
      <w:r>
        <w:t>Quarterly groundwater abstraction reporting to verify sustainable use.</w:t>
      </w:r>
    </w:p>
    <w:p>
      <w:pPr>
        <w:pStyle w:val="ListBullet"/>
      </w:pPr>
      <w:r>
        <w:t>Regular effluent quality testing from the sewage treatment plant to meet ESF standards.</w:t>
      </w:r>
    </w:p>
    <w:p>
      <w:pPr>
        <w:pStyle w:val="ListNumber"/>
      </w:pPr>
      <w:r/>
      <w:r>
        <w:rPr>
          <w:b/>
        </w:rPr>
        <w:t>Require periodic compliance audits</w:t>
      </w:r>
      <w:r>
        <w:t xml:space="preserve"> (annually) during construction and the first five years of operation to verify the effectiveness of mitigation measures.</w:t>
      </w:r>
    </w:p>
    <w:p>
      <w:pPr>
        <w:pStyle w:val="ListNumber"/>
      </w:pPr>
      <w:r/>
      <w:r>
        <w:rPr>
          <w:b/>
        </w:rPr>
        <w:t>Encourage the proponent</w:t>
      </w:r>
      <w:r>
        <w:t xml:space="preserve"> to finalize employment figures and submit them as part of the post‑approval monitoring report.</w:t>
      </w:r>
    </w:p>
    <w:p>
      <w:r>
        <w:t>With these conditions satisfied, the project is expected to deliver significant socio‑economic benefits—providing over 1,600 new homes, creating construction‑phase jobs, and enhancing local infrastructure—while maintaining environmental integrity in accordance with Kenyan regulations and international best practice.</w:t>
      </w:r>
    </w:p>
    <w:p>
      <w:r>
        <w:br w:type="page"/>
      </w:r>
    </w:p>
    <w:p>
      <w:pPr>
        <w:pStyle w:val="Heading1"/>
      </w:pPr>
      <w:r>
        <w:t>Chapter 1: Introduction</w:t>
      </w:r>
    </w:p>
    <w:p>
      <w:r>
        <w:t>## 1.1 Project Overview</w:t>
      </w:r>
    </w:p>
    <w:p>
      <w:pPr>
        <w:pStyle w:val="ListBullet"/>
      </w:pPr>
      <w:r/>
      <w:r>
        <w:rPr>
          <w:b/>
        </w:rPr>
        <w:t>Project Name:</w:t>
      </w:r>
      <w:r>
        <w:t xml:space="preserve"> Kiratina Gardens Residential Estate</w:t>
      </w:r>
    </w:p>
    <w:p>
      <w:pPr>
        <w:pStyle w:val="ListBullet"/>
      </w:pPr>
      <w:r/>
      <w:r>
        <w:rPr>
          <w:b/>
        </w:rPr>
        <w:t>Proponent:</w:t>
      </w:r>
      <w:r>
        <w:t xml:space="preserve"> Meridian Homes (EA) Ltd. (PIN: P048226915T)</w:t>
      </w:r>
    </w:p>
    <w:p>
      <w:pPr>
        <w:pStyle w:val="ListBullet"/>
      </w:pPr>
      <w:r/>
      <w:r>
        <w:rPr>
          <w:b/>
        </w:rPr>
        <w:t>Lead Expert:</w:t>
      </w:r>
      <w:r>
        <w:t xml:space="preserve"> Dr. Peninah Wanjiru (EIA/EA/0876)</w:t>
      </w:r>
    </w:p>
    <w:p>
      <w:pPr>
        <w:pStyle w:val="ListBullet"/>
      </w:pPr>
      <w:r/>
      <w:r>
        <w:rPr>
          <w:b/>
        </w:rPr>
        <w:t>Category:</w:t>
      </w:r>
      <w:r>
        <w:t xml:space="preserve"> Real Estate / Housing Development (High‑Risk – &gt;50 housing units)</w:t>
      </w:r>
    </w:p>
    <w:p>
      <w:pPr>
        <w:pStyle w:val="ListBullet"/>
      </w:pPr>
      <w:r/>
      <w:r>
        <w:rPr>
          <w:b/>
        </w:rPr>
        <w:t>Total Cost:</w:t>
      </w:r>
      <w:r>
        <w:t xml:space="preserve"> KES 1,260,000,000</w:t>
      </w:r>
    </w:p>
    <w:p>
      <w:pPr>
        <w:pStyle w:val="ListBullet"/>
      </w:pPr>
      <w:r/>
      <w:r>
        <w:rPr>
          <w:b/>
        </w:rPr>
        <w:t>Construction Period:</w:t>
      </w:r>
      <w:r>
        <w:t xml:space="preserve"> 30 months (commencing 20 February 2027)</w:t>
      </w:r>
    </w:p>
    <w:p>
      <w:pPr>
        <w:pStyle w:val="ListBullet"/>
      </w:pPr>
      <w:r/>
      <w:r>
        <w:rPr>
          <w:b/>
        </w:rPr>
        <w:t>Design Life:</w:t>
      </w:r>
      <w:r>
        <w:t xml:space="preserve"> 50 years</w:t>
      </w:r>
    </w:p>
    <w:p>
      <w:r>
        <w:t xml:space="preserve">The development will comprise </w:t>
      </w:r>
      <w:r>
        <w:rPr>
          <w:b/>
        </w:rPr>
        <w:t>412 housing units</w:t>
      </w:r>
      <w:r>
        <w:t xml:space="preserve"> (a mix of apartments and townhouses) delivering an estimated </w:t>
      </w:r>
      <w:r>
        <w:rPr>
          <w:b/>
        </w:rPr>
        <w:t>1,648 residents</w:t>
      </w:r>
      <w:r>
        <w:t xml:space="preserve"> at full occupancy (average 4 persons per unit). The estate will be delivered as a greenfield infill project on a </w:t>
      </w:r>
      <w:r>
        <w:rPr>
          <w:b/>
        </w:rPr>
        <w:t>9.14 ha</w:t>
      </w:r>
      <w:r>
        <w:t xml:space="preserve"> private freehold plot (LR No. 21567/4) in Ongata Rongai Ward, Kajiado North, Kajiado County (coordinates ‑1.2038, 36.8917).</w:t>
      </w:r>
    </w:p>
    <w:p>
      <w:r>
        <w:t>## 1.2 Location and Site Description</w:t>
      </w:r>
    </w:p>
    <w:tbl>
      <w:tblPr>
        <w:tblStyle w:val="TableGrid"/>
        <w:tblW w:type="auto" w:w="0"/>
        <w:tblLook w:firstColumn="1" w:firstRow="1" w:lastColumn="0" w:lastRow="0" w:noHBand="0" w:noVBand="1" w:val="04A0"/>
      </w:tblPr>
      <w:tblGrid>
        <w:gridCol w:w="4320"/>
        <w:gridCol w:w="4320"/>
      </w:tblGrid>
      <w:tr>
        <w:tc>
          <w:tcPr>
            <w:tcW w:type="dxa" w:w="4320"/>
          </w:tcPr>
          <w:p>
            <w:r>
              <w:rPr>
                <w:b/>
              </w:rPr>
              <w:t>Attribute</w:t>
            </w:r>
          </w:p>
        </w:tc>
        <w:tc>
          <w:tcPr>
            <w:tcW w:type="dxa" w:w="4320"/>
          </w:tcPr>
          <w:p>
            <w:r>
              <w:rPr>
                <w:b/>
              </w:rPr>
              <w:t>Details</w:t>
            </w:r>
          </w:p>
        </w:tc>
      </w:tr>
      <w:tr>
        <w:tc>
          <w:tcPr>
            <w:tcW w:type="dxa" w:w="4320"/>
          </w:tcPr>
          <w:p>
            <w:r/>
            <w:r>
              <w:rPr>
                <w:b/>
              </w:rPr>
              <w:t>County / Sub‑County</w:t>
            </w:r>
            <w:r/>
          </w:p>
        </w:tc>
        <w:tc>
          <w:tcPr>
            <w:tcW w:type="dxa" w:w="4320"/>
          </w:tcPr>
          <w:p>
            <w:r>
              <w:t>Kajiado County – Kajiado North</w:t>
            </w:r>
          </w:p>
        </w:tc>
      </w:tr>
      <w:tr>
        <w:tc>
          <w:tcPr>
            <w:tcW w:type="dxa" w:w="4320"/>
          </w:tcPr>
          <w:p>
            <w:r/>
            <w:r>
              <w:rPr>
                <w:b/>
              </w:rPr>
              <w:t>Ward</w:t>
            </w:r>
            <w:r/>
          </w:p>
        </w:tc>
        <w:tc>
          <w:tcPr>
            <w:tcW w:type="dxa" w:w="4320"/>
          </w:tcPr>
          <w:p>
            <w:r>
              <w:t>Ongata Rongai</w:t>
            </w:r>
          </w:p>
        </w:tc>
      </w:tr>
      <w:tr>
        <w:tc>
          <w:tcPr>
            <w:tcW w:type="dxa" w:w="4320"/>
          </w:tcPr>
          <w:p>
            <w:r/>
            <w:r>
              <w:rPr>
                <w:b/>
              </w:rPr>
              <w:t>Geographic Coordinates</w:t>
            </w:r>
            <w:r/>
          </w:p>
        </w:tc>
        <w:tc>
          <w:tcPr>
            <w:tcW w:type="dxa" w:w="4320"/>
          </w:tcPr>
          <w:p>
            <w:r>
              <w:t>‑1.2038 ° S, 36.8917 ° E</w:t>
            </w:r>
          </w:p>
        </w:tc>
      </w:tr>
      <w:tr>
        <w:tc>
          <w:tcPr>
            <w:tcW w:type="dxa" w:w="4320"/>
          </w:tcPr>
          <w:p>
            <w:r/>
            <w:r>
              <w:rPr>
                <w:b/>
              </w:rPr>
              <w:t>Site Area</w:t>
            </w:r>
            <w:r/>
          </w:p>
        </w:tc>
        <w:tc>
          <w:tcPr>
            <w:tcW w:type="dxa" w:w="4320"/>
          </w:tcPr>
          <w:p>
            <w:r>
              <w:t>9.14 ha</w:t>
            </w:r>
          </w:p>
        </w:tc>
      </w:tr>
      <w:tr>
        <w:tc>
          <w:tcPr>
            <w:tcW w:type="dxa" w:w="4320"/>
          </w:tcPr>
          <w:p>
            <w:r/>
            <w:r>
              <w:rPr>
                <w:b/>
              </w:rPr>
              <w:t>Land Tenure</w:t>
            </w:r>
            <w:r/>
          </w:p>
        </w:tc>
        <w:tc>
          <w:tcPr>
            <w:tcW w:type="dxa" w:w="4320"/>
          </w:tcPr>
          <w:p>
            <w:r>
              <w:t>Private freehold (Plot LR No. 21567/4)</w:t>
            </w:r>
          </w:p>
        </w:tc>
      </w:tr>
      <w:tr>
        <w:tc>
          <w:tcPr>
            <w:tcW w:type="dxa" w:w="4320"/>
          </w:tcPr>
          <w:p>
            <w:r/>
            <w:r>
              <w:rPr>
                <w:b/>
              </w:rPr>
              <w:t>Topography</w:t>
            </w:r>
            <w:r/>
          </w:p>
        </w:tc>
        <w:tc>
          <w:tcPr>
            <w:tcW w:type="dxa" w:w="4320"/>
          </w:tcPr>
          <w:p>
            <w:r>
              <w:t>Gently undulating grassland with scattered Acacia trees; natural sheet flow towards the Kiratina Seasonal Stream (≈340 m west).</w:t>
            </w:r>
          </w:p>
        </w:tc>
      </w:tr>
      <w:tr>
        <w:tc>
          <w:tcPr>
            <w:tcW w:type="dxa" w:w="4320"/>
          </w:tcPr>
          <w:p>
            <w:r/>
            <w:r>
              <w:rPr>
                <w:b/>
              </w:rPr>
              <w:t>Proximity to Key Receptors</w:t>
            </w:r>
            <w:r/>
          </w:p>
        </w:tc>
        <w:tc>
          <w:tcPr>
            <w:tcW w:type="dxa" w:w="4320"/>
          </w:tcPr>
          <w:p>
            <w:r>
              <w:t>• Kiratina Primary School – 280 m north  &lt;br&gt;• Rongai Mosque – 650 m southeast  &lt;br&gt;• Kiratina Seasonal Stream – 340 m west  &lt;br&gt;• Existing Rongai residential plots – 90 m all sides  &lt;br&gt;• Nairobi National Park – ≈4.5 km</w:t>
            </w:r>
          </w:p>
        </w:tc>
      </w:tr>
      <w:tr>
        <w:tc>
          <w:tcPr>
            <w:tcW w:type="dxa" w:w="4320"/>
          </w:tcPr>
          <w:p>
            <w:r/>
            <w:r>
              <w:rPr>
                <w:b/>
              </w:rPr>
              <w:t>Existing Infrastructure</w:t>
            </w:r>
            <w:r/>
          </w:p>
        </w:tc>
        <w:tc>
          <w:tcPr>
            <w:tcW w:type="dxa" w:w="4320"/>
          </w:tcPr>
          <w:p>
            <w:r>
              <w:t>• No municipal sewer line; site currently unserved. &lt;br&gt;• On‑site borehole (Meridian Estate Borehole) located within the project boundary. &lt;br&gt;• Natural drainage to seasonal swale.</w:t>
            </w:r>
          </w:p>
        </w:tc>
      </w:tr>
    </w:tbl>
    <w:p>
      <w:r>
        <w:t>## 1.3 Project Components</w:t>
      </w:r>
    </w:p>
    <w:p>
      <w:pPr>
        <w:pStyle w:val="ListNumber"/>
      </w:pPr>
      <w:r/>
      <w:r>
        <w:rPr>
          <w:b/>
        </w:rPr>
        <w:t>Residential Buildings</w:t>
      </w:r>
      <w:r>
        <w:t xml:space="preserve"> – 412 units (apartments and townhouses) with a maximum height of 4 storeys on the side abutting existing residential plots.</w:t>
      </w:r>
    </w:p>
    <w:p>
      <w:pPr>
        <w:pStyle w:val="ListNumber"/>
      </w:pPr>
      <w:r/>
      <w:r>
        <w:rPr>
          <w:b/>
        </w:rPr>
        <w:t>Road Network</w:t>
      </w:r>
      <w:r>
        <w:t xml:space="preserve"> – Dedicated internal road system and a new access road linking to the main arterial (signal‑controlled junction).</w:t>
      </w:r>
    </w:p>
    <w:p>
      <w:pPr>
        <w:pStyle w:val="ListNumber"/>
      </w:pPr>
      <w:r/>
      <w:r>
        <w:rPr>
          <w:b/>
        </w:rPr>
        <w:t>Water Supply</w:t>
      </w:r>
      <w:r>
        <w:t xml:space="preserve"> – On‑site borehole coupled with a </w:t>
      </w:r>
      <w:r>
        <w:rPr>
          <w:b/>
        </w:rPr>
        <w:t>500,000 L</w:t>
      </w:r>
      <w:r>
        <w:t xml:space="preserve"> storage tank; water will be treated on‑site before distribution. </w:t>
      </w:r>
      <w:r>
        <w:rPr>
          <w:b/>
        </w:rPr>
        <w:t>[MISSING: WATER ABSTRACTION VOLUME]</w:t>
      </w:r>
      <w:r>
        <w:t>.</w:t>
      </w:r>
    </w:p>
    <w:p>
      <w:pPr>
        <w:pStyle w:val="ListNumber"/>
      </w:pPr>
      <w:r/>
      <w:r>
        <w:rPr>
          <w:b/>
        </w:rPr>
        <w:t>Sewage Treatment</w:t>
      </w:r>
      <w:r>
        <w:t xml:space="preserve"> – Package sewage treatment plant (PSTP) with tertiary treatment; effluent will be discharged to the Kiratina Seasonal Stream under the conditions of the Water Act 2016.</w:t>
      </w:r>
    </w:p>
    <w:p>
      <w:pPr>
        <w:pStyle w:val="ListNumber"/>
      </w:pPr>
      <w:r/>
      <w:r>
        <w:rPr>
          <w:b/>
        </w:rPr>
        <w:t>Stormwater Management</w:t>
      </w:r>
      <w:r>
        <w:t xml:space="preserve"> – Structured swales and infiltration basins to manage sheet flow; design to achieve </w:t>
      </w:r>
      <w:r>
        <w:rPr>
          <w:b/>
        </w:rPr>
        <w:t>[MISSING: STORMWATER DISCHARGE CAPACITY]</w:t>
      </w:r>
      <w:r>
        <w:t>.</w:t>
      </w:r>
    </w:p>
    <w:p>
      <w:pPr>
        <w:pStyle w:val="ListNumber"/>
      </w:pPr>
      <w:r/>
      <w:r>
        <w:rPr>
          <w:b/>
        </w:rPr>
        <w:t>Landscaping &amp; Buffer Zones</w:t>
      </w:r>
      <w:r>
        <w:t xml:space="preserve"> – 5 m landscaped buffer along the perimeter adjacent to existing residential plots; inclusion of native species to maintain ecological continuity.</w:t>
      </w:r>
    </w:p>
    <w:p>
      <w:pPr>
        <w:pStyle w:val="ListNumber"/>
      </w:pPr>
      <w:r/>
      <w:r>
        <w:rPr>
          <w:b/>
        </w:rPr>
        <w:t>Social Amenities</w:t>
      </w:r>
      <w:r>
        <w:t xml:space="preserve"> – 5 % of units designed to be fully accessible for persons with disabilities (PWD).</w:t>
      </w:r>
    </w:p>
    <w:p>
      <w:r>
        <w:t>## 1.4 Project Rationale and Objectives</w:t>
      </w:r>
    </w:p>
    <w:p>
      <w:pPr>
        <w:pStyle w:val="ListBullet"/>
      </w:pPr>
      <w:r/>
      <w:r>
        <w:rPr>
          <w:b/>
        </w:rPr>
        <w:t>Housing Demand:</w:t>
      </w:r>
      <w:r>
        <w:t xml:space="preserve"> Address the growing need for affordable, quality housing in the rapidly urbanising Ongata Rongai corridor.</w:t>
      </w:r>
    </w:p>
    <w:p>
      <w:pPr>
        <w:pStyle w:val="ListBullet"/>
      </w:pPr>
      <w:r/>
      <w:r>
        <w:rPr>
          <w:b/>
        </w:rPr>
        <w:t>Economic Development:</w:t>
      </w:r>
      <w:r>
        <w:t xml:space="preserve"> Stimulate local economic activity through construction contracts, procurement of local materials, and long‑term property management.</w:t>
      </w:r>
    </w:p>
    <w:p>
      <w:pPr>
        <w:pStyle w:val="ListBullet"/>
      </w:pPr>
      <w:r/>
      <w:r>
        <w:rPr>
          <w:b/>
        </w:rPr>
        <w:t>Infrastructure Improvement:</w:t>
      </w:r>
      <w:r>
        <w:t xml:space="preserve"> Provide on‑site water and wastewater infrastructure that reduces pressure on the existing municipal systems.</w:t>
      </w:r>
    </w:p>
    <w:p>
      <w:pPr>
        <w:pStyle w:val="ListBullet"/>
      </w:pPr>
      <w:r/>
      <w:r>
        <w:rPr>
          <w:b/>
        </w:rPr>
        <w:t>Social Inclusion:</w:t>
      </w:r>
      <w:r>
        <w:t xml:space="preserve"> Ensure a proportion of units are PWD‑accessible and incorporate community‑benefit measures (e.g., traffic marshals for school hours).</w:t>
      </w:r>
    </w:p>
    <w:p>
      <w:r>
        <w:t>## 1.5 Regulatory and Policy Framework</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Level</w:t>
            </w:r>
          </w:p>
        </w:tc>
        <w:tc>
          <w:tcPr>
            <w:tcW w:type="dxa" w:w="2880"/>
          </w:tcPr>
          <w:p>
            <w:r>
              <w:rPr>
                <w:b/>
              </w:rPr>
              <w:t>Instrument</w:t>
            </w:r>
          </w:p>
        </w:tc>
        <w:tc>
          <w:tcPr>
            <w:tcW w:type="dxa" w:w="2880"/>
          </w:tcPr>
          <w:p>
            <w:r>
              <w:rPr>
                <w:b/>
              </w:rPr>
              <w:t>Relevance</w:t>
            </w:r>
          </w:p>
        </w:tc>
      </w:tr>
      <w:tr>
        <w:tc>
          <w:tcPr>
            <w:tcW w:type="dxa" w:w="2880"/>
          </w:tcPr>
          <w:p>
            <w:r/>
            <w:r>
              <w:rPr>
                <w:b/>
              </w:rPr>
              <w:t>National</w:t>
            </w:r>
            <w:r/>
          </w:p>
        </w:tc>
        <w:tc>
          <w:tcPr>
            <w:tcW w:type="dxa" w:w="2880"/>
          </w:tcPr>
          <w:p>
            <w:r/>
            <w:r>
              <w:rPr>
                <w:b/>
              </w:rPr>
              <w:t>Environmental Management and Coordination Act (EMCA) 1999</w:t>
            </w:r>
            <w:r>
              <w:t xml:space="preserve"> (Regulations 2015)</w:t>
            </w:r>
          </w:p>
        </w:tc>
        <w:tc>
          <w:tcPr>
            <w:tcW w:type="dxa" w:w="2880"/>
          </w:tcPr>
          <w:p>
            <w:r>
              <w:t>Governs the requirement for an ESIA for high‑risk projects.</w:t>
            </w:r>
          </w:p>
        </w:tc>
      </w:tr>
      <w:tr>
        <w:tc>
          <w:tcPr>
            <w:tcW w:type="dxa" w:w="2880"/>
          </w:tcPr>
          <w:p>
            <w:r/>
          </w:p>
        </w:tc>
        <w:tc>
          <w:tcPr>
            <w:tcW w:type="dxa" w:w="2880"/>
          </w:tcPr>
          <w:p>
            <w:r/>
            <w:r>
              <w:rPr>
                <w:b/>
              </w:rPr>
              <w:t>Water Act 2016</w:t>
            </w:r>
            <w:r/>
          </w:p>
        </w:tc>
        <w:tc>
          <w:tcPr>
            <w:tcW w:type="dxa" w:w="2880"/>
          </w:tcPr>
          <w:p>
            <w:r>
              <w:t>Provides the licensing and discharge standards for abstraction and effluent discharge from the PSTP.</w:t>
            </w:r>
          </w:p>
        </w:tc>
      </w:tr>
      <w:tr>
        <w:tc>
          <w:tcPr>
            <w:tcW w:type="dxa" w:w="2880"/>
          </w:tcPr>
          <w:p>
            <w:r/>
          </w:p>
        </w:tc>
        <w:tc>
          <w:tcPr>
            <w:tcW w:type="dxa" w:w="2880"/>
          </w:tcPr>
          <w:p>
            <w:r/>
            <w:r>
              <w:rPr>
                <w:b/>
              </w:rPr>
              <w:t>NEMA Air Quality Guidelines</w:t>
            </w:r>
            <w:r>
              <w:t xml:space="preserve"> (PM2.5 ≤ 15 µg/m³, PM10 ≤ 75 µg/m³)</w:t>
            </w:r>
          </w:p>
        </w:tc>
        <w:tc>
          <w:tcPr>
            <w:tcW w:type="dxa" w:w="2880"/>
          </w:tcPr>
          <w:p>
            <w:r>
              <w:t>Baseline monitoring and impact assessment thresholds.</w:t>
            </w:r>
          </w:p>
        </w:tc>
      </w:tr>
      <w:tr>
        <w:tc>
          <w:tcPr>
            <w:tcW w:type="dxa" w:w="2880"/>
          </w:tcPr>
          <w:p>
            <w:r/>
          </w:p>
        </w:tc>
        <w:tc>
          <w:tcPr>
            <w:tcW w:type="dxa" w:w="2880"/>
          </w:tcPr>
          <w:p>
            <w:r/>
            <w:r>
              <w:rPr>
                <w:b/>
              </w:rPr>
              <w:t>NEMA Noise Guidelines</w:t>
            </w:r>
            <w:r>
              <w:t xml:space="preserve"> (Residential night ≤ 45 dBA)</w:t>
            </w:r>
          </w:p>
        </w:tc>
        <w:tc>
          <w:tcPr>
            <w:tcW w:type="dxa" w:w="2880"/>
          </w:tcPr>
          <w:p>
            <w:r>
              <w:t>Benchmark for construction and operational noise.</w:t>
            </w:r>
          </w:p>
        </w:tc>
      </w:tr>
      <w:tr>
        <w:tc>
          <w:tcPr>
            <w:tcW w:type="dxa" w:w="2880"/>
          </w:tcPr>
          <w:p>
            <w:r/>
          </w:p>
        </w:tc>
        <w:tc>
          <w:tcPr>
            <w:tcW w:type="dxa" w:w="2880"/>
          </w:tcPr>
          <w:p>
            <w:r/>
            <w:r>
              <w:rPr>
                <w:b/>
              </w:rPr>
              <w:t>World Bank Environmental and Social Framework (ESF)</w:t>
            </w:r>
            <w:r/>
          </w:p>
        </w:tc>
        <w:tc>
          <w:tcPr>
            <w:tcW w:type="dxa" w:w="2880"/>
          </w:tcPr>
          <w:p>
            <w:r>
              <w:t>International best‑practice reference for mitigation and monitoring.</w:t>
            </w:r>
          </w:p>
        </w:tc>
      </w:tr>
      <w:tr>
        <w:tc>
          <w:tcPr>
            <w:tcW w:type="dxa" w:w="2880"/>
          </w:tcPr>
          <w:p>
            <w:r/>
            <w:r>
              <w:rPr>
                <w:b/>
              </w:rPr>
              <w:t>County</w:t>
            </w:r>
            <w:r/>
          </w:p>
        </w:tc>
        <w:tc>
          <w:tcPr>
            <w:tcW w:type="dxa" w:w="2880"/>
          </w:tcPr>
          <w:p>
            <w:r>
              <w:t>Kajiado County Integrated Development Plan (CIDP) 2022‑2027</w:t>
            </w:r>
          </w:p>
        </w:tc>
        <w:tc>
          <w:tcPr>
            <w:tcW w:type="dxa" w:w="2880"/>
          </w:tcPr>
          <w:p>
            <w:r>
              <w:t>Aligns with county housing and infrastructure priorities.</w:t>
            </w:r>
          </w:p>
        </w:tc>
      </w:tr>
      <w:tr>
        <w:tc>
          <w:tcPr>
            <w:tcW w:type="dxa" w:w="2880"/>
          </w:tcPr>
          <w:p>
            <w:r/>
            <w:r>
              <w:rPr>
                <w:b/>
              </w:rPr>
              <w:t>Local</w:t>
            </w:r>
            <w:r/>
          </w:p>
        </w:tc>
        <w:tc>
          <w:tcPr>
            <w:tcW w:type="dxa" w:w="2880"/>
          </w:tcPr>
          <w:p>
            <w:r>
              <w:t>Ongata Rongai Zoning By‑law (Residential – R‑2)</w:t>
            </w:r>
          </w:p>
        </w:tc>
        <w:tc>
          <w:tcPr>
            <w:tcW w:type="dxa" w:w="2880"/>
          </w:tcPr>
          <w:p>
            <w:r>
              <w:t>Determines permissible building heights and land‑use.</w:t>
            </w:r>
          </w:p>
        </w:tc>
      </w:tr>
    </w:tbl>
    <w:p>
      <w:r>
        <w:t xml:space="preserve">The ESIA is being prepared as a </w:t>
      </w:r>
      <w:r>
        <w:rPr>
          <w:b/>
        </w:rPr>
        <w:t>pre‑approval</w:t>
      </w:r>
      <w:r>
        <w:t xml:space="preserve"> submission; no EIA licence or NEMA approval has yet been granted.</w:t>
      </w:r>
    </w:p>
    <w:p>
      <w:r>
        <w:t>## 1.6 Baseline Environmental Conditions</w:t>
      </w:r>
    </w:p>
    <w:p>
      <w:r>
        <w:t>### 1.6.1 Air Quality</w:t>
      </w:r>
    </w:p>
    <w:p>
      <w:pPr>
        <w:pStyle w:val="ListBullet"/>
      </w:pPr>
      <w:r/>
      <w:r>
        <w:rPr>
          <w:b/>
        </w:rPr>
        <w:t>PM2.5:</w:t>
      </w:r>
      <w:r>
        <w:t xml:space="preserve"> 14 µg/m³ (WHO 24‑hr guideline = 15 µg/m³) – </w:t>
      </w:r>
      <w:r>
        <w:rPr>
          <w:b/>
        </w:rPr>
        <w:t>within</w:t>
      </w:r>
      <w:r>
        <w:t xml:space="preserve"> WHO guideline.</w:t>
      </w:r>
    </w:p>
    <w:p>
      <w:pPr>
        <w:pStyle w:val="ListBullet"/>
      </w:pPr>
      <w:r/>
      <w:r>
        <w:rPr>
          <w:b/>
        </w:rPr>
        <w:t>PM10:</w:t>
      </w:r>
      <w:r>
        <w:t xml:space="preserve"> 29 µg/m³ (NEMA limit = 75 µg/m³) – </w:t>
      </w:r>
      <w:r>
        <w:rPr>
          <w:b/>
        </w:rPr>
        <w:t>within</w:t>
      </w:r>
      <w:r>
        <w:t xml:space="preserve"> national standard.</w:t>
      </w:r>
    </w:p>
    <w:p>
      <w:r>
        <w:t>### 1.6.2 Noise</w:t>
      </w:r>
    </w:p>
    <w:p>
      <w:pPr>
        <w:pStyle w:val="ListBullet"/>
      </w:pPr>
      <w:r/>
      <w:r>
        <w:rPr>
          <w:b/>
        </w:rPr>
        <w:t>Ambient Noise Level:</w:t>
      </w:r>
      <w:r>
        <w:t xml:space="preserve"> 47 dBA (measured daytime).</w:t>
      </w:r>
    </w:p>
    <w:p>
      <w:pPr>
        <w:pStyle w:val="ListBullet"/>
      </w:pPr>
      <w:r/>
      <w:r>
        <w:rPr>
          <w:b/>
        </w:rPr>
        <w:t>NEMA Residential Night Standard:</w:t>
      </w:r>
      <w:r>
        <w:t xml:space="preserve"> 45 dBA.</w:t>
      </w:r>
    </w:p>
    <w:p>
      <w:pPr>
        <w:pStyle w:val="ListBullet"/>
      </w:pPr>
      <w:r>
        <w:t xml:space="preserve">The measured level </w:t>
      </w:r>
      <w:r>
        <w:rPr>
          <w:b/>
        </w:rPr>
        <w:t>exceeds</w:t>
      </w:r>
      <w:r>
        <w:t xml:space="preserve"> the night‑time residential standard, indicating a potential baseline concern for nocturnal noise exposure.</w:t>
      </w:r>
    </w:p>
    <w:p>
      <w:r>
        <w:t>### 1.6.3 Water Resources</w:t>
      </w:r>
    </w:p>
    <w:p>
      <w:pPr>
        <w:pStyle w:val="ListBullet"/>
      </w:pPr>
      <w:r/>
      <w:r>
        <w:rPr>
          <w:b/>
        </w:rPr>
        <w:t>Groundwater Depth:</w:t>
      </w:r>
      <w:r>
        <w:t xml:space="preserve"> 43 m below ground surface.</w:t>
      </w:r>
    </w:p>
    <w:p>
      <w:pPr>
        <w:pStyle w:val="ListBullet"/>
      </w:pPr>
      <w:r/>
      <w:r>
        <w:rPr>
          <w:b/>
        </w:rPr>
        <w:t>Existing Water Supply:</w:t>
      </w:r>
      <w:r>
        <w:t xml:space="preserve"> No municipal supply; reliance on on‑site borehole.</w:t>
      </w:r>
    </w:p>
    <w:p>
      <w:r>
        <w:t>### 1.6.4 Soil and Land Use</w:t>
      </w:r>
    </w:p>
    <w:p>
      <w:pPr>
        <w:pStyle w:val="ListBullet"/>
      </w:pPr>
      <w:r/>
      <w:r>
        <w:rPr>
          <w:b/>
        </w:rPr>
        <w:t>Current Land Use:</w:t>
      </w:r>
      <w:r>
        <w:t xml:space="preserve"> Grassland / light grazing with scattered Acacia trees.</w:t>
      </w:r>
    </w:p>
    <w:p>
      <w:pPr>
        <w:pStyle w:val="ListBullet"/>
      </w:pPr>
      <w:r/>
      <w:r>
        <w:rPr>
          <w:b/>
        </w:rPr>
        <w:t>Soil Type:</w:t>
      </w:r>
      <w:r>
        <w:t xml:space="preserve"> </w:t>
      </w:r>
      <w:r>
        <w:rPr>
          <w:b/>
        </w:rPr>
        <w:t>[MISSING: SOIL CLASSIFICATION]</w:t>
      </w:r>
      <w:r>
        <w:t xml:space="preserve"> (not provided).</w:t>
      </w:r>
    </w:p>
    <w:p>
      <w:r>
        <w:t>### 1.6.5 Hydrology</w:t>
      </w:r>
    </w:p>
    <w:p>
      <w:pPr>
        <w:pStyle w:val="ListBullet"/>
      </w:pPr>
      <w:r/>
      <w:r>
        <w:rPr>
          <w:b/>
        </w:rPr>
        <w:t>Stormwater Drainage:</w:t>
      </w:r>
      <w:r>
        <w:t xml:space="preserve"> Natural sheet flow toward a seasonal swale, discharging into the Kiratina Seasonal Stream (≈340 m west).</w:t>
      </w:r>
    </w:p>
    <w:p>
      <w:r>
        <w:t>### 1.6.6 Socio‑Economic</w:t>
      </w:r>
    </w:p>
    <w:p>
      <w:pPr>
        <w:pStyle w:val="ListBullet"/>
      </w:pPr>
      <w:r/>
      <w:r>
        <w:rPr>
          <w:b/>
        </w:rPr>
        <w:t>Population Density:</w:t>
      </w:r>
      <w:r>
        <w:t xml:space="preserve"> Low; the site is currently uninhabited.</w:t>
      </w:r>
    </w:p>
    <w:p>
      <w:pPr>
        <w:pStyle w:val="ListBullet"/>
      </w:pPr>
      <w:r/>
      <w:r>
        <w:rPr>
          <w:b/>
        </w:rPr>
        <w:t>Nearby Receptors:</w:t>
      </w:r>
      <w:r>
        <w:t xml:space="preserve"> Primary school, mosque, medical centre (just outside 1 km buffer), existing residential plots (90 m).</w:t>
      </w:r>
    </w:p>
    <w:p>
      <w:r>
        <w:t>## 1.7 Stakeholder Engagement Summary</w:t>
      </w:r>
    </w:p>
    <w:p>
      <w:pPr>
        <w:pStyle w:val="ListBullet"/>
      </w:pPr>
      <w:r/>
      <w:r>
        <w:rPr>
          <w:b/>
        </w:rPr>
        <w:t>Public Notice:</w:t>
      </w:r>
      <w:r>
        <w:t xml:space="preserve"> Daily Nation newspaper advertisement (19 August 2026) – 14‑day notice.</w:t>
      </w:r>
    </w:p>
    <w:p>
      <w:pPr>
        <w:pStyle w:val="ListBullet"/>
      </w:pPr>
      <w:r/>
      <w:r>
        <w:rPr>
          <w:b/>
        </w:rPr>
        <w:t>Baraza (Public Hearing):</w:t>
      </w:r>
      <w:r>
        <w:t xml:space="preserve"> 5 September 2026 at Ongata Rongai Social Hall; </w:t>
      </w:r>
      <w:r>
        <w:rPr>
          <w:b/>
        </w:rPr>
        <w:t>267</w:t>
      </w:r>
      <w:r>
        <w:t xml:space="preserve"> participants attended.</w:t>
      </w:r>
    </w:p>
    <w:p>
      <w:pPr>
        <w:pStyle w:val="ListBullet"/>
      </w:pPr>
      <w:r/>
      <w:r>
        <w:rPr>
          <w:b/>
        </w:rPr>
        <w:t>Vulnerable Groups:</w:t>
      </w:r>
      <w:r>
        <w:t xml:space="preserve"> No displacement of existing residents; 5 % of units designated for PWD accessibility.</w:t>
      </w:r>
    </w:p>
    <w:p>
      <w:pPr>
        <w:pStyle w:val="ListBullet"/>
      </w:pPr>
      <w:r/>
      <w:r>
        <w:rPr>
          <w:b/>
        </w:rPr>
        <w:t>Grievance Redress Mechanism (GRM):</w:t>
      </w:r>
      <w:r>
        <w:t xml:space="preserve"> Established GRM Committee to receive, log, and resolve concerns throughout the project life‑cycle.</w:t>
      </w:r>
    </w:p>
    <w:p>
      <w:r>
        <w:t>Key concerns raised and corresponding mitigation measures are summarised in Section 1.8.</w:t>
      </w:r>
    </w:p>
    <w:p>
      <w:r>
        <w:t>## 1.8 Anticipated Impacts and Mitigation Overview</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Impact Category</w:t>
            </w:r>
          </w:p>
        </w:tc>
        <w:tc>
          <w:tcPr>
            <w:tcW w:type="dxa" w:w="2880"/>
          </w:tcPr>
          <w:p>
            <w:r>
              <w:rPr>
                <w:b/>
              </w:rPr>
              <w:t>Anticipated Impact</w:t>
            </w:r>
          </w:p>
        </w:tc>
        <w:tc>
          <w:tcPr>
            <w:tcW w:type="dxa" w:w="2880"/>
          </w:tcPr>
          <w:p>
            <w:r>
              <w:rPr>
                <w:b/>
              </w:rPr>
              <w:t>Proposed Mitigation (to be detailed in the ESMP)</w:t>
            </w:r>
          </w:p>
        </w:tc>
      </w:tr>
      <w:tr>
        <w:tc>
          <w:tcPr>
            <w:tcW w:type="dxa" w:w="2880"/>
          </w:tcPr>
          <w:p>
            <w:r/>
            <w:r>
              <w:rPr>
                <w:b/>
              </w:rPr>
              <w:t>Water Supply</w:t>
            </w:r>
            <w:r/>
          </w:p>
        </w:tc>
        <w:tc>
          <w:tcPr>
            <w:tcW w:type="dxa" w:w="2880"/>
          </w:tcPr>
          <w:p>
            <w:r>
              <w:t>Potential strain on county water resources.</w:t>
            </w:r>
          </w:p>
        </w:tc>
        <w:tc>
          <w:tcPr>
            <w:tcW w:type="dxa" w:w="2880"/>
          </w:tcPr>
          <w:p>
            <w:r>
              <w:t xml:space="preserve">On‑site borehole + 500,000 L storage tank; </w:t>
            </w:r>
            <w:r>
              <w:rPr>
                <w:b/>
              </w:rPr>
              <w:t>no</w:t>
            </w:r>
            <w:r>
              <w:t xml:space="preserve"> abstraction from shared county supply.</w:t>
            </w:r>
          </w:p>
        </w:tc>
      </w:tr>
      <w:tr>
        <w:tc>
          <w:tcPr>
            <w:tcW w:type="dxa" w:w="2880"/>
          </w:tcPr>
          <w:p>
            <w:r/>
            <w:r>
              <w:rPr>
                <w:b/>
              </w:rPr>
              <w:t>Sewage Disposal</w:t>
            </w:r>
            <w:r/>
          </w:p>
        </w:tc>
        <w:tc>
          <w:tcPr>
            <w:tcW w:type="dxa" w:w="2880"/>
          </w:tcPr>
          <w:p>
            <w:r>
              <w:t>Absence of municipal sewerage.</w:t>
            </w:r>
          </w:p>
        </w:tc>
        <w:tc>
          <w:tcPr>
            <w:tcW w:type="dxa" w:w="2880"/>
          </w:tcPr>
          <w:p>
            <w:r>
              <w:t>Installation of a package sewage treatment plant with tertiary treatment; discharge under Water Act 2016 permits.</w:t>
            </w:r>
          </w:p>
        </w:tc>
      </w:tr>
      <w:tr>
        <w:tc>
          <w:tcPr>
            <w:tcW w:type="dxa" w:w="2880"/>
          </w:tcPr>
          <w:p>
            <w:r/>
            <w:r>
              <w:rPr>
                <w:b/>
              </w:rPr>
              <w:t>Traffic</w:t>
            </w:r>
            <w:r/>
          </w:p>
        </w:tc>
        <w:tc>
          <w:tcPr>
            <w:tcW w:type="dxa" w:w="2880"/>
          </w:tcPr>
          <w:p>
            <w:r>
              <w:t>Increased vehicle movements affecting school run times.</w:t>
            </w:r>
          </w:p>
        </w:tc>
        <w:tc>
          <w:tcPr>
            <w:tcW w:type="dxa" w:w="2880"/>
          </w:tcPr>
          <w:p>
            <w:r>
              <w:t>Dedicated estate access road with signal‑controlled junction; traffic marshal at Kiratina Primary School for first 12 months.</w:t>
            </w:r>
          </w:p>
        </w:tc>
      </w:tr>
      <w:tr>
        <w:tc>
          <w:tcPr>
            <w:tcW w:type="dxa" w:w="2880"/>
          </w:tcPr>
          <w:p>
            <w:r/>
            <w:r>
              <w:rPr>
                <w:b/>
              </w:rPr>
              <w:t>Property Values / Neighborhood Character</w:t>
            </w:r>
            <w:r/>
          </w:p>
        </w:tc>
        <w:tc>
          <w:tcPr>
            <w:tcW w:type="dxa" w:w="2880"/>
          </w:tcPr>
          <w:p>
            <w:r>
              <w:t>Perceived negative impact on existing residential plots.</w:t>
            </w:r>
          </w:p>
        </w:tc>
        <w:tc>
          <w:tcPr>
            <w:tcW w:type="dxa" w:w="2880"/>
          </w:tcPr>
          <w:p>
            <w:r>
              <w:t>Height restriction to 4 storeys on the side facing existing plots; landscaped buffer zone.</w:t>
            </w:r>
          </w:p>
        </w:tc>
      </w:tr>
      <w:tr>
        <w:tc>
          <w:tcPr>
            <w:tcW w:type="dxa" w:w="2880"/>
          </w:tcPr>
          <w:p>
            <w:r/>
            <w:r>
              <w:rPr>
                <w:b/>
              </w:rPr>
              <w:t>Construction Noise &amp; Dust</w:t>
            </w:r>
            <w:r/>
          </w:p>
        </w:tc>
        <w:tc>
          <w:tcPr>
            <w:tcW w:type="dxa" w:w="2880"/>
          </w:tcPr>
          <w:p>
            <w:r>
              <w:t>Potential disturbance to nearby homes (90 m).</w:t>
            </w:r>
          </w:p>
        </w:tc>
        <w:tc>
          <w:tcPr>
            <w:tcW w:type="dxa" w:w="2880"/>
          </w:tcPr>
          <w:p>
            <w:r>
              <w:t>Construction limited to 07:00–18:00, weekdays only; no weekend works; dust suppression (water spraying, covered trucks).</w:t>
            </w:r>
          </w:p>
        </w:tc>
      </w:tr>
      <w:tr>
        <w:tc>
          <w:tcPr>
            <w:tcW w:type="dxa" w:w="2880"/>
          </w:tcPr>
          <w:p>
            <w:r/>
            <w:r>
              <w:rPr>
                <w:b/>
              </w:rPr>
              <w:t>Air Quality</w:t>
            </w:r>
            <w:r/>
          </w:p>
        </w:tc>
        <w:tc>
          <w:tcPr>
            <w:tcW w:type="dxa" w:w="2880"/>
          </w:tcPr>
          <w:p>
            <w:r>
              <w:t>Possible increase in particulate matter from construction activities.</w:t>
            </w:r>
          </w:p>
        </w:tc>
        <w:tc>
          <w:tcPr>
            <w:tcW w:type="dxa" w:w="2880"/>
          </w:tcPr>
          <w:p>
            <w:r>
              <w:t xml:space="preserve">Use of low‑emission equipment; regular vehicle maintenance; </w:t>
            </w:r>
            <w:r>
              <w:rPr>
                <w:b/>
              </w:rPr>
              <w:t>[MISSING: EMPLOYMENT OF DUST CONTROL EQUIPMENT SPECIFICATIONS]</w:t>
            </w:r>
            <w:r>
              <w:t>.</w:t>
            </w:r>
          </w:p>
        </w:tc>
      </w:tr>
      <w:tr>
        <w:tc>
          <w:tcPr>
            <w:tcW w:type="dxa" w:w="2880"/>
          </w:tcPr>
          <w:p>
            <w:r/>
            <w:r>
              <w:rPr>
                <w:b/>
              </w:rPr>
              <w:t>Stormwater Runoff</w:t>
            </w:r>
            <w:r/>
          </w:p>
        </w:tc>
        <w:tc>
          <w:tcPr>
            <w:tcW w:type="dxa" w:w="2880"/>
          </w:tcPr>
          <w:p>
            <w:r>
              <w:t>Altered runoff patterns could affect Kiratina Seasonal Stream.</w:t>
            </w:r>
          </w:p>
        </w:tc>
        <w:tc>
          <w:tcPr>
            <w:tcW w:type="dxa" w:w="2880"/>
          </w:tcPr>
          <w:p>
            <w:r>
              <w:t xml:space="preserve">Design of infiltration basins and vegetated swales; </w:t>
            </w:r>
            <w:r>
              <w:rPr>
                <w:b/>
              </w:rPr>
              <w:t>[MISSING: STORMWATER RETENTION VOLUME]</w:t>
            </w:r>
            <w:r>
              <w:t>.</w:t>
            </w:r>
          </w:p>
        </w:tc>
      </w:tr>
    </w:tbl>
    <w:p>
      <w:r>
        <w:t xml:space="preserve">All mitigation measures will be incorporated into the </w:t>
      </w:r>
      <w:r>
        <w:rPr>
          <w:b/>
        </w:rPr>
        <w:t>Environmental and Social Management Plan (ESMP)</w:t>
      </w:r>
      <w:r>
        <w:t xml:space="preserve"> and monitored in accordance with NEMA monitoring guidelines and the World Bank ESF requirements.</w:t>
      </w:r>
    </w:p>
    <w:p>
      <w:r>
        <w:t>## 1.9 Structure of the ESIA Report</w:t>
      </w:r>
    </w:p>
    <w:p>
      <w:pPr>
        <w:pStyle w:val="ListNumber"/>
      </w:pPr>
      <w:r/>
      <w:r>
        <w:rPr>
          <w:b/>
        </w:rPr>
        <w:t>Chapter 1 – Introduction</w:t>
      </w:r>
      <w:r>
        <w:t xml:space="preserve"> (this chapter)</w:t>
      </w:r>
    </w:p>
    <w:p>
      <w:pPr>
        <w:pStyle w:val="ListNumber"/>
      </w:pPr>
      <w:r/>
      <w:r>
        <w:rPr>
          <w:b/>
        </w:rPr>
        <w:t>Chapter 2 – Project Description and Alternatives</w:t>
      </w:r>
      <w:r/>
    </w:p>
    <w:p>
      <w:pPr>
        <w:pStyle w:val="ListNumber"/>
      </w:pPr>
      <w:r/>
      <w:r>
        <w:rPr>
          <w:b/>
        </w:rPr>
        <w:t>Chapter 3 – Legal and Institutional Framework</w:t>
      </w:r>
      <w:r/>
    </w:p>
    <w:p>
      <w:pPr>
        <w:pStyle w:val="ListNumber"/>
      </w:pPr>
      <w:r/>
      <w:r>
        <w:rPr>
          <w:b/>
        </w:rPr>
        <w:t>Chapter 4 – Baseline Environment and Social Conditions</w:t>
      </w:r>
      <w:r/>
    </w:p>
    <w:p>
      <w:pPr>
        <w:pStyle w:val="ListNumber"/>
      </w:pPr>
      <w:r/>
      <w:r>
        <w:rPr>
          <w:b/>
        </w:rPr>
        <w:t>Chapter 5 – Impact Assessment and Mitigation</w:t>
      </w:r>
      <w:r/>
    </w:p>
    <w:p>
      <w:pPr>
        <w:pStyle w:val="ListNumber"/>
      </w:pPr>
      <w:r/>
      <w:r>
        <w:rPr>
          <w:b/>
        </w:rPr>
        <w:t>Chapter 6 – Environmental and Social Management Plan (ESMP)</w:t>
      </w:r>
      <w:r/>
    </w:p>
    <w:p>
      <w:pPr>
        <w:pStyle w:val="ListNumber"/>
      </w:pPr>
      <w:r/>
      <w:r>
        <w:rPr>
          <w:b/>
        </w:rPr>
        <w:t>Chapter 7 – Monitoring, Reporting and Auditing</w:t>
      </w:r>
      <w:r/>
    </w:p>
    <w:p>
      <w:pPr>
        <w:pStyle w:val="ListNumber"/>
      </w:pPr>
      <w:r/>
      <w:r>
        <w:rPr>
          <w:b/>
        </w:rPr>
        <w:t>Chapter 8 – Conclusions and Recommendations</w:t>
      </w:r>
      <w:r/>
    </w:p>
    <w:p>
      <w:r>
        <w:t>The subsequent chapters will provide a detailed analysis of the project alternatives, baseline conditions, impact magnitude, and the comprehensive ESMP designed to ensure that the Kiratina Gardens Residential Estate is developed sustainably and in compliance with all applicable Kenyan regulations and international best practices.</w:t>
      </w:r>
    </w:p>
    <w:p>
      <w:r>
        <w:br w:type="page"/>
      </w:r>
    </w:p>
    <w:p>
      <w:pPr>
        <w:pStyle w:val="Heading1"/>
      </w:pPr>
      <w:r>
        <w:t>Chapter 2: Project Description</w:t>
      </w:r>
    </w:p>
    <w:p>
      <w:r>
        <w:t>## 2.1 Project Overview</w:t>
      </w:r>
    </w:p>
    <w:p>
      <w:pPr>
        <w:pStyle w:val="ListBullet"/>
      </w:pPr>
      <w:r/>
      <w:r>
        <w:rPr>
          <w:b/>
        </w:rPr>
        <w:t>Project Name:</w:t>
      </w:r>
      <w:r>
        <w:t xml:space="preserve"> Kiratina Gardens Residential Estate</w:t>
      </w:r>
    </w:p>
    <w:p>
      <w:pPr>
        <w:pStyle w:val="ListBullet"/>
      </w:pPr>
      <w:r/>
      <w:r>
        <w:rPr>
          <w:b/>
        </w:rPr>
        <w:t>Proponent:</w:t>
      </w:r>
      <w:r>
        <w:t xml:space="preserve"> Meridian Homes (EA) Ltd. (PIN: P048226915T)</w:t>
      </w:r>
    </w:p>
    <w:p>
      <w:pPr>
        <w:pStyle w:val="ListBullet"/>
      </w:pPr>
      <w:r/>
      <w:r>
        <w:rPr>
          <w:b/>
        </w:rPr>
        <w:t>Lead Expert:</w:t>
      </w:r>
      <w:r>
        <w:t xml:space="preserve"> Dr. Peninah Wanjiru (EIA/EA/0876)</w:t>
      </w:r>
    </w:p>
    <w:p>
      <w:pPr>
        <w:pStyle w:val="ListBullet"/>
      </w:pPr>
      <w:r/>
      <w:r>
        <w:rPr>
          <w:b/>
        </w:rPr>
        <w:t>Category:</w:t>
      </w:r>
      <w:r>
        <w:t xml:space="preserve"> Real Estate/Housing Development (High Risk – &gt;50 units)</w:t>
      </w:r>
    </w:p>
    <w:p>
      <w:pPr>
        <w:pStyle w:val="ListBullet"/>
      </w:pPr>
      <w:r/>
      <w:r>
        <w:rPr>
          <w:b/>
        </w:rPr>
        <w:t>Total Cost:</w:t>
      </w:r>
      <w:r>
        <w:t xml:space="preserve"> KES 1,260,000,000</w:t>
      </w:r>
    </w:p>
    <w:p>
      <w:pPr>
        <w:pStyle w:val="ListBullet"/>
      </w:pPr>
      <w:r/>
      <w:r>
        <w:rPr>
          <w:b/>
        </w:rPr>
        <w:t>Planned Start Date:</w:t>
      </w:r>
      <w:r>
        <w:t xml:space="preserve"> 20 February 2027</w:t>
      </w:r>
    </w:p>
    <w:p>
      <w:pPr>
        <w:pStyle w:val="ListBullet"/>
      </w:pPr>
      <w:r/>
      <w:r>
        <w:rPr>
          <w:b/>
        </w:rPr>
        <w:t>Construction Duration:</w:t>
      </w:r>
      <w:r>
        <w:t xml:space="preserve"> 30 months</w:t>
      </w:r>
    </w:p>
    <w:p>
      <w:pPr>
        <w:pStyle w:val="ListBullet"/>
      </w:pPr>
      <w:r/>
      <w:r>
        <w:rPr>
          <w:b/>
        </w:rPr>
        <w:t>Design Life / Operational Lifespan:</w:t>
      </w:r>
      <w:r>
        <w:t xml:space="preserve"> 50 years</w:t>
      </w:r>
    </w:p>
    <w:p>
      <w:r>
        <w:t xml:space="preserve">The development will deliver </w:t>
      </w:r>
      <w:r>
        <w:rPr>
          <w:b/>
        </w:rPr>
        <w:t>412 residential units</w:t>
      </w:r>
      <w:r>
        <w:t xml:space="preserve"> (a mix of apartments and townhouses) designed to accommodate an estimated </w:t>
      </w:r>
      <w:r>
        <w:rPr>
          <w:b/>
        </w:rPr>
        <w:t>1,648 residents</w:t>
      </w:r>
      <w:r>
        <w:t xml:space="preserve"> (average 4 persons per unit). The estate will be a green‑field infill within an existing residential matrix, with a focus on low‑rise, high‑density housing that respects the surrounding neighbourhood character.</w:t>
      </w:r>
    </w:p>
    <w:p>
      <w:r>
        <w:t>---</w:t>
      </w:r>
    </w:p>
    <w:p>
      <w:r>
        <w:t>## 2.2 Project Location and Site Characteristics</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Detail</w:t>
            </w:r>
          </w:p>
        </w:tc>
      </w:tr>
      <w:tr>
        <w:tc>
          <w:tcPr>
            <w:tcW w:type="dxa" w:w="4320"/>
          </w:tcPr>
          <w:p>
            <w:r/>
            <w:r>
              <w:rPr>
                <w:b/>
              </w:rPr>
              <w:t>County / Sub‑County</w:t>
            </w:r>
            <w:r/>
          </w:p>
        </w:tc>
        <w:tc>
          <w:tcPr>
            <w:tcW w:type="dxa" w:w="4320"/>
          </w:tcPr>
          <w:p>
            <w:r>
              <w:t>Kajiado County – Kajiado North</w:t>
            </w:r>
          </w:p>
        </w:tc>
      </w:tr>
      <w:tr>
        <w:tc>
          <w:tcPr>
            <w:tcW w:type="dxa" w:w="4320"/>
          </w:tcPr>
          <w:p>
            <w:r/>
            <w:r>
              <w:rPr>
                <w:b/>
              </w:rPr>
              <w:t>Ward</w:t>
            </w:r>
            <w:r/>
          </w:p>
        </w:tc>
        <w:tc>
          <w:tcPr>
            <w:tcW w:type="dxa" w:w="4320"/>
          </w:tcPr>
          <w:p>
            <w:r>
              <w:t>Ongata Rongai</w:t>
            </w:r>
          </w:p>
        </w:tc>
      </w:tr>
      <w:tr>
        <w:tc>
          <w:tcPr>
            <w:tcW w:type="dxa" w:w="4320"/>
          </w:tcPr>
          <w:p>
            <w:r/>
            <w:r>
              <w:rPr>
                <w:b/>
              </w:rPr>
              <w:t>Geographic Coordinates</w:t>
            </w:r>
            <w:r/>
          </w:p>
        </w:tc>
        <w:tc>
          <w:tcPr>
            <w:tcW w:type="dxa" w:w="4320"/>
          </w:tcPr>
          <w:p>
            <w:r>
              <w:t>Latitude ‑1.2038°, Longitude 36.8917°</w:t>
            </w:r>
          </w:p>
        </w:tc>
      </w:tr>
      <w:tr>
        <w:tc>
          <w:tcPr>
            <w:tcW w:type="dxa" w:w="4320"/>
          </w:tcPr>
          <w:p>
            <w:r/>
            <w:r>
              <w:rPr>
                <w:b/>
              </w:rPr>
              <w:t>Land Tenure</w:t>
            </w:r>
            <w:r/>
          </w:p>
        </w:tc>
        <w:tc>
          <w:tcPr>
            <w:tcW w:type="dxa" w:w="4320"/>
          </w:tcPr>
          <w:p>
            <w:r>
              <w:t>Private Freehold – LR No. 21567/4</w:t>
            </w:r>
          </w:p>
        </w:tc>
      </w:tr>
      <w:tr>
        <w:tc>
          <w:tcPr>
            <w:tcW w:type="dxa" w:w="4320"/>
          </w:tcPr>
          <w:p>
            <w:r/>
            <w:r>
              <w:rPr>
                <w:b/>
              </w:rPr>
              <w:t>Site Area</w:t>
            </w:r>
            <w:r/>
          </w:p>
        </w:tc>
        <w:tc>
          <w:tcPr>
            <w:tcW w:type="dxa" w:w="4320"/>
          </w:tcPr>
          <w:p>
            <w:r>
              <w:t>9.14 ha (≈ 91,400 m²)</w:t>
            </w:r>
          </w:p>
        </w:tc>
      </w:tr>
      <w:tr>
        <w:tc>
          <w:tcPr>
            <w:tcW w:type="dxa" w:w="4320"/>
          </w:tcPr>
          <w:p>
            <w:r/>
            <w:r>
              <w:rPr>
                <w:b/>
              </w:rPr>
              <w:t>Existing Land Use</w:t>
            </w:r>
            <w:r/>
          </w:p>
        </w:tc>
        <w:tc>
          <w:tcPr>
            <w:tcW w:type="dxa" w:w="4320"/>
          </w:tcPr>
          <w:p>
            <w:r>
              <w:t>Grassland / light grazing with scattered Acacia trees</w:t>
            </w:r>
          </w:p>
        </w:tc>
      </w:tr>
      <w:tr>
        <w:tc>
          <w:tcPr>
            <w:tcW w:type="dxa" w:w="4320"/>
          </w:tcPr>
          <w:p>
            <w:r/>
            <w:r>
              <w:rPr>
                <w:b/>
              </w:rPr>
              <w:t>Topography</w:t>
            </w:r>
            <w:r/>
          </w:p>
        </w:tc>
        <w:tc>
          <w:tcPr>
            <w:tcW w:type="dxa" w:w="4320"/>
          </w:tcPr>
          <w:p>
            <w:r>
              <w:t>Gentle undulating terrain, natural sheet flow toward seasonal swale</w:t>
            </w:r>
          </w:p>
        </w:tc>
      </w:tr>
      <w:tr>
        <w:tc>
          <w:tcPr>
            <w:tcW w:type="dxa" w:w="4320"/>
          </w:tcPr>
          <w:p>
            <w:r/>
            <w:r>
              <w:rPr>
                <w:b/>
              </w:rPr>
              <w:t>Groundwater Depth</w:t>
            </w:r>
            <w:r/>
          </w:p>
        </w:tc>
        <w:tc>
          <w:tcPr>
            <w:tcW w:type="dxa" w:w="4320"/>
          </w:tcPr>
          <w:p>
            <w:r>
              <w:t>43 m (measured 18 April 2026)</w:t>
            </w:r>
          </w:p>
        </w:tc>
      </w:tr>
      <w:tr>
        <w:tc>
          <w:tcPr>
            <w:tcW w:type="dxa" w:w="4320"/>
          </w:tcPr>
          <w:p>
            <w:r/>
            <w:r>
              <w:rPr>
                <w:b/>
              </w:rPr>
              <w:t>Proximity to Key Receptors</w:t>
            </w:r>
            <w:r/>
          </w:p>
        </w:tc>
        <w:tc>
          <w:tcPr>
            <w:tcW w:type="dxa" w:w="4320"/>
          </w:tcPr>
          <w:p>
            <w:r>
              <w:t>• Kiratina Primary School – 280 m N  &lt;br&gt;• Rongai Mosque – 650 m SE  &lt;br&gt;• Kiratina Seasonal Stream – 340 m W  &lt;br&gt;• Existing Rongai residential plots – 90 m all sides  &lt;br&gt;• Rongai Medical Centre – 1,100 m E (outside 1 km buffer)  &lt;br&gt;• Nairobi National Park – ~4.5 km</w:t>
            </w:r>
          </w:p>
        </w:tc>
      </w:tr>
      <w:tr>
        <w:tc>
          <w:tcPr>
            <w:tcW w:type="dxa" w:w="4320"/>
          </w:tcPr>
          <w:p>
            <w:r/>
            <w:r>
              <w:rPr>
                <w:b/>
              </w:rPr>
              <w:t>Existing Utilities</w:t>
            </w:r>
            <w:r/>
          </w:p>
        </w:tc>
        <w:tc>
          <w:tcPr>
            <w:tcW w:type="dxa" w:w="4320"/>
          </w:tcPr>
          <w:p>
            <w:r>
              <w:t>No sewer connection; no municipal water supply on‑site. Natural drainage to seasonal stream.</w:t>
            </w:r>
          </w:p>
        </w:tc>
      </w:tr>
    </w:tbl>
    <w:p>
      <w:r/>
      <w:r>
        <w:rPr>
          <w:b/>
        </w:rPr>
        <w:t>Baseline Environmental Conditions (measured 18 April 2026)</w:t>
      </w:r>
      <w:r/>
    </w:p>
    <w:p>
      <w:pPr>
        <w:pStyle w:val="ListBullet"/>
      </w:pPr>
      <w:r/>
      <w:r>
        <w:rPr>
          <w:b/>
        </w:rPr>
        <w:t>Air Quality:</w:t>
      </w:r>
      <w:r>
        <w:t xml:space="preserve"> PM₂.₅ = 14 µg m⁻³ (below WHO 24‑hr guideline of 15 µg m⁻³); PM₁₀ = 29 µg m⁻³ (below Kenyan NEMA limit of 75 µg m⁻³).</w:t>
      </w:r>
    </w:p>
    <w:p>
      <w:pPr>
        <w:pStyle w:val="ListBullet"/>
      </w:pPr>
      <w:r/>
      <w:r>
        <w:rPr>
          <w:b/>
        </w:rPr>
        <w:t>Noise:</w:t>
      </w:r>
      <w:r>
        <w:t xml:space="preserve"> 47 dBA (ambient daytime level). The NEMA residential night‑time limit is 45 dBA; the baseline is slightly above the night‑time threshold but within typical daytime limits.</w:t>
      </w:r>
    </w:p>
    <w:p>
      <w:pPr>
        <w:pStyle w:val="ListBullet"/>
      </w:pPr>
      <w:r/>
      <w:r>
        <w:rPr>
          <w:b/>
        </w:rPr>
        <w:t>Stormwater:</w:t>
      </w:r>
      <w:r>
        <w:t xml:space="preserve"> Natural sheet flow toward a seasonal swale, discharging into Kiratina Seasonal Stream 340 m west of the site.</w:t>
      </w:r>
    </w:p>
    <w:p>
      <w:r>
        <w:t>---</w:t>
      </w:r>
    </w:p>
    <w:p>
      <w:r>
        <w:t>## 2.3 Project Components and Design</w:t>
      </w:r>
    </w:p>
    <w:tbl>
      <w:tblPr>
        <w:tblStyle w:val="TableGrid"/>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Description</w:t>
            </w:r>
          </w:p>
        </w:tc>
      </w:tr>
      <w:tr>
        <w:tc>
          <w:tcPr>
            <w:tcW w:type="dxa" w:w="4320"/>
          </w:tcPr>
          <w:p>
            <w:r/>
            <w:r>
              <w:rPr>
                <w:b/>
              </w:rPr>
              <w:t>Housing Units</w:t>
            </w:r>
            <w:r/>
          </w:p>
        </w:tc>
        <w:tc>
          <w:tcPr>
            <w:tcW w:type="dxa" w:w="4320"/>
          </w:tcPr>
          <w:p>
            <w:r>
              <w:t xml:space="preserve">412 units comprising: &lt;br&gt;• </w:t>
            </w:r>
            <w:r>
              <w:rPr>
                <w:b/>
              </w:rPr>
              <w:t>Apartments:</w:t>
            </w:r>
            <w:r>
              <w:t xml:space="preserve"> </w:t>
            </w:r>
            <w:r>
              <w:rPr>
                <w:b/>
              </w:rPr>
              <w:t>[MISSING: APARTMENT COUNT]</w:t>
            </w:r>
            <w:r>
              <w:t xml:space="preserve"> (typical 2‑bedroom layout) &lt;br&gt;• </w:t>
            </w:r>
            <w:r>
              <w:rPr>
                <w:b/>
              </w:rPr>
              <w:t>Townhouses:</w:t>
            </w:r>
            <w:r>
              <w:t xml:space="preserve"> </w:t>
            </w:r>
            <w:r>
              <w:rPr>
                <w:b/>
              </w:rPr>
              <w:t>[MISSING: TOWNHOUSE COUNT]</w:t>
            </w:r>
            <w:r>
              <w:t xml:space="preserve"> (3‑storey, 4‑bedroom layout)</w:t>
            </w:r>
          </w:p>
        </w:tc>
      </w:tr>
      <w:tr>
        <w:tc>
          <w:tcPr>
            <w:tcW w:type="dxa" w:w="4320"/>
          </w:tcPr>
          <w:p>
            <w:r/>
            <w:r>
              <w:rPr>
                <w:b/>
              </w:rPr>
              <w:t>Building Height</w:t>
            </w:r>
            <w:r/>
          </w:p>
        </w:tc>
        <w:tc>
          <w:tcPr>
            <w:tcW w:type="dxa" w:w="4320"/>
          </w:tcPr>
          <w:p>
            <w:r>
              <w:t>Maximum 4 storeys on the side facing existing residential plots (height restriction to preserve neighbourhood character).</w:t>
            </w:r>
          </w:p>
        </w:tc>
      </w:tr>
      <w:tr>
        <w:tc>
          <w:tcPr>
            <w:tcW w:type="dxa" w:w="4320"/>
          </w:tcPr>
          <w:p>
            <w:r/>
            <w:r>
              <w:rPr>
                <w:b/>
              </w:rPr>
              <w:t>Road Network</w:t>
            </w:r>
            <w:r/>
          </w:p>
        </w:tc>
        <w:tc>
          <w:tcPr>
            <w:tcW w:type="dxa" w:w="4320"/>
          </w:tcPr>
          <w:p>
            <w:r>
              <w:t>Internal estate road network (≈ 2 km total length) with a dedicated access road linking to the main arterial (Kongoni‑Karatina Road). Signal‑controlled junction at the estate entrance.</w:t>
            </w:r>
          </w:p>
        </w:tc>
      </w:tr>
      <w:tr>
        <w:tc>
          <w:tcPr>
            <w:tcW w:type="dxa" w:w="4320"/>
          </w:tcPr>
          <w:p>
            <w:r/>
            <w:r>
              <w:rPr>
                <w:b/>
              </w:rPr>
              <w:t>Water Supply</w:t>
            </w:r>
            <w:r/>
          </w:p>
        </w:tc>
        <w:tc>
          <w:tcPr>
            <w:tcW w:type="dxa" w:w="4320"/>
          </w:tcPr>
          <w:p>
            <w:r>
              <w:t>On‑site borehole (0 m – Meridian Estate Borehole) with a 500,000 L storage tank. No abstraction from the county water supply.</w:t>
            </w:r>
          </w:p>
        </w:tc>
      </w:tr>
      <w:tr>
        <w:tc>
          <w:tcPr>
            <w:tcW w:type="dxa" w:w="4320"/>
          </w:tcPr>
          <w:p>
            <w:r/>
            <w:r>
              <w:rPr>
                <w:b/>
              </w:rPr>
              <w:t>Sewage Treatment</w:t>
            </w:r>
            <w:r/>
          </w:p>
        </w:tc>
        <w:tc>
          <w:tcPr>
            <w:tcW w:type="dxa" w:w="4320"/>
          </w:tcPr>
          <w:p>
            <w:r>
              <w:t>Package sewage treatment plant (PSTP) located centrally, providing primary, secondary, and tertiary treatment. Treated effluent will be discharged to the Kiratina Seasonal Stream after meeting Water Act 2016 effluent standards.</w:t>
            </w:r>
          </w:p>
        </w:tc>
      </w:tr>
      <w:tr>
        <w:tc>
          <w:tcPr>
            <w:tcW w:type="dxa" w:w="4320"/>
          </w:tcPr>
          <w:p>
            <w:r/>
            <w:r>
              <w:rPr>
                <w:b/>
              </w:rPr>
              <w:t>Stormwater Management</w:t>
            </w:r>
            <w:r/>
          </w:p>
        </w:tc>
        <w:tc>
          <w:tcPr>
            <w:tcW w:type="dxa" w:w="4320"/>
          </w:tcPr>
          <w:p>
            <w:r>
              <w:t>Graded swales, infiltration trenches, and vegetated buffer zones to attenuate runoff and protect the seasonal stream.</w:t>
            </w:r>
          </w:p>
        </w:tc>
      </w:tr>
      <w:tr>
        <w:tc>
          <w:tcPr>
            <w:tcW w:type="dxa" w:w="4320"/>
          </w:tcPr>
          <w:p>
            <w:r/>
            <w:r>
              <w:rPr>
                <w:b/>
              </w:rPr>
              <w:t>Energy Supply</w:t>
            </w:r>
            <w:r/>
          </w:p>
        </w:tc>
        <w:tc>
          <w:tcPr>
            <w:tcW w:type="dxa" w:w="4320"/>
          </w:tcPr>
          <w:p>
            <w:r/>
            <w:r>
              <w:rPr>
                <w:b/>
              </w:rPr>
              <w:t>[MISSING: POWER SOURCE]</w:t>
            </w:r>
            <w:r>
              <w:t xml:space="preserve"> – connection to the national grid with provision for backup diesel generator.</w:t>
            </w:r>
          </w:p>
        </w:tc>
      </w:tr>
      <w:tr>
        <w:tc>
          <w:tcPr>
            <w:tcW w:type="dxa" w:w="4320"/>
          </w:tcPr>
          <w:p>
            <w:r/>
            <w:r>
              <w:rPr>
                <w:b/>
              </w:rPr>
              <w:t>Landscaping &amp; Open Space</w:t>
            </w:r>
            <w:r/>
          </w:p>
        </w:tc>
        <w:tc>
          <w:tcPr>
            <w:tcW w:type="dxa" w:w="4320"/>
          </w:tcPr>
          <w:p>
            <w:r>
              <w:t>15 % of site area allocated to landscaped buffers, communal parks, and pedestrian pathways.</w:t>
            </w:r>
          </w:p>
        </w:tc>
      </w:tr>
      <w:tr>
        <w:tc>
          <w:tcPr>
            <w:tcW w:type="dxa" w:w="4320"/>
          </w:tcPr>
          <w:p>
            <w:r/>
            <w:r>
              <w:rPr>
                <w:b/>
              </w:rPr>
              <w:t>Accessibility</w:t>
            </w:r>
            <w:r/>
          </w:p>
        </w:tc>
        <w:tc>
          <w:tcPr>
            <w:tcW w:type="dxa" w:w="4320"/>
          </w:tcPr>
          <w:p>
            <w:r>
              <w:t>5 % of total units designed to be fully accessible for persons with disabilities (PWD).</w:t>
            </w:r>
          </w:p>
        </w:tc>
      </w:tr>
      <w:tr>
        <w:tc>
          <w:tcPr>
            <w:tcW w:type="dxa" w:w="4320"/>
          </w:tcPr>
          <w:p>
            <w:r/>
            <w:r>
              <w:rPr>
                <w:b/>
              </w:rPr>
              <w:t>Construction Site Facilities</w:t>
            </w:r>
            <w:r/>
          </w:p>
        </w:tc>
        <w:tc>
          <w:tcPr>
            <w:tcW w:type="dxa" w:w="4320"/>
          </w:tcPr>
          <w:p>
            <w:r>
              <w:t xml:space="preserve">Temporary site office, material storage, worker welfare block, and </w:t>
            </w:r>
            <w:r>
              <w:rPr>
                <w:b/>
              </w:rPr>
              <w:t>[MISSING: EMPLOYEE COUNT]</w:t>
            </w:r>
            <w:r>
              <w:t xml:space="preserve"> construction workers (placeholder).</w:t>
            </w:r>
          </w:p>
        </w:tc>
      </w:tr>
    </w:tbl>
    <w:p>
      <w:r>
        <w:t>---</w:t>
      </w:r>
    </w:p>
    <w:p>
      <w:r>
        <w:t>## 2.4 Construction Phase Description</w:t>
      </w:r>
    </w:p>
    <w:p>
      <w:r>
        <w:t>The construction programme (30 months) will be executed in the following logical sequence:</w:t>
      </w:r>
    </w:p>
    <w:p>
      <w:pPr>
        <w:pStyle w:val="ListNumber"/>
      </w:pPr>
      <w:r/>
      <w:r>
        <w:rPr>
          <w:b/>
        </w:rPr>
        <w:t>Site Preparation (Months 1‑3)</w:t>
      </w:r>
      <w:r>
        <w:t xml:space="preserve"> – Clearing of invasive vegetation, establishment of erosion and sediment control (silt fences, sediment basins).</w:t>
      </w:r>
    </w:p>
    <w:p>
      <w:pPr>
        <w:pStyle w:val="ListNumber"/>
      </w:pPr>
      <w:r/>
      <w:r>
        <w:rPr>
          <w:b/>
        </w:rPr>
        <w:t>Earthworks (Months 2‑8)</w:t>
      </w:r>
      <w:r>
        <w:t xml:space="preserve"> – Grading, excavation for foundations, and formation of internal road sub‑base.</w:t>
      </w:r>
    </w:p>
    <w:p>
      <w:pPr>
        <w:pStyle w:val="ListNumber"/>
      </w:pPr>
      <w:r/>
      <w:r>
        <w:rPr>
          <w:b/>
        </w:rPr>
        <w:t>Utility Installation (Months 4‑12)</w:t>
      </w:r>
      <w:r>
        <w:t xml:space="preserve"> – Borehole drilling, storage tank installation, PSTP civil works, and underground utilities (water, electricity, stormwater).</w:t>
      </w:r>
    </w:p>
    <w:p>
      <w:pPr>
        <w:pStyle w:val="ListNumber"/>
      </w:pPr>
      <w:r/>
      <w:r>
        <w:rPr>
          <w:b/>
        </w:rPr>
        <w:t>Superstructure (Months 6‑24)</w:t>
      </w:r>
      <w:r>
        <w:t xml:space="preserve"> – Construction of foundations, columns, walls, and roof structures for apartments and townhouses.</w:t>
      </w:r>
    </w:p>
    <w:p>
      <w:pPr>
        <w:pStyle w:val="ListNumber"/>
      </w:pPr>
      <w:r/>
      <w:r>
        <w:rPr>
          <w:b/>
        </w:rPr>
        <w:t>Finishing Works (Months 18‑30)</w:t>
      </w:r>
      <w:r>
        <w:t xml:space="preserve"> – Internal fit‑out, external cladding, landscaping, and installation of street furniture.</w:t>
      </w:r>
    </w:p>
    <w:p>
      <w:r/>
      <w:r>
        <w:rPr>
          <w:b/>
        </w:rPr>
        <w:t>Key Construction Activities &amp; Potential Impacts</w:t>
      </w:r>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Activity</w:t>
            </w:r>
          </w:p>
        </w:tc>
        <w:tc>
          <w:tcPr>
            <w:tcW w:type="dxa" w:w="2880"/>
          </w:tcPr>
          <w:p>
            <w:r>
              <w:rPr>
                <w:b/>
              </w:rPr>
              <w:t>Potential Environmental Impact</w:t>
            </w:r>
          </w:p>
        </w:tc>
        <w:tc>
          <w:tcPr>
            <w:tcW w:type="dxa" w:w="2880"/>
          </w:tcPr>
          <w:p>
            <w:r>
              <w:rPr>
                <w:b/>
              </w:rPr>
              <w:t>Mitigation (as per ESMP)</w:t>
            </w:r>
          </w:p>
        </w:tc>
      </w:tr>
      <w:tr>
        <w:tc>
          <w:tcPr>
            <w:tcW w:type="dxa" w:w="2880"/>
          </w:tcPr>
          <w:p>
            <w:r>
              <w:t>Land clearing &amp; earthworks</w:t>
            </w:r>
          </w:p>
        </w:tc>
        <w:tc>
          <w:tcPr>
            <w:tcW w:type="dxa" w:w="2880"/>
          </w:tcPr>
          <w:p>
            <w:r>
              <w:t>Soil erosion, dust generation, habitat disturbance</w:t>
            </w:r>
          </w:p>
        </w:tc>
        <w:tc>
          <w:tcPr>
            <w:tcW w:type="dxa" w:w="2880"/>
          </w:tcPr>
          <w:p>
            <w:r>
              <w:t>Dust suppression (water spraying), erosion control measures, re‑vegetation of disturbed areas.</w:t>
            </w:r>
          </w:p>
        </w:tc>
      </w:tr>
      <w:tr>
        <w:tc>
          <w:tcPr>
            <w:tcW w:type="dxa" w:w="2880"/>
          </w:tcPr>
          <w:p>
            <w:r>
              <w:t>Borehole drilling</w:t>
            </w:r>
          </w:p>
        </w:tc>
        <w:tc>
          <w:tcPr>
            <w:tcW w:type="dxa" w:w="2880"/>
          </w:tcPr>
          <w:p>
            <w:r>
              <w:t>Groundwater abstraction, noise, vibration</w:t>
            </w:r>
          </w:p>
        </w:tc>
        <w:tc>
          <w:tcPr>
            <w:tcW w:type="dxa" w:w="2880"/>
          </w:tcPr>
          <w:p>
            <w:r>
              <w:t>Use of low‑impact drilling rigs, continuous monitoring of abstraction rates against sustainable yield, noise control (equipment enclosures).</w:t>
            </w:r>
          </w:p>
        </w:tc>
      </w:tr>
      <w:tr>
        <w:tc>
          <w:tcPr>
            <w:tcW w:type="dxa" w:w="2880"/>
          </w:tcPr>
          <w:p>
            <w:r>
              <w:t>Concrete works</w:t>
            </w:r>
          </w:p>
        </w:tc>
        <w:tc>
          <w:tcPr>
            <w:tcW w:type="dxa" w:w="2880"/>
          </w:tcPr>
          <w:p>
            <w:r>
              <w:t>Airborne dust, noise, CO₂ emissions</w:t>
            </w:r>
          </w:p>
        </w:tc>
        <w:tc>
          <w:tcPr>
            <w:tcW w:type="dxa" w:w="2880"/>
          </w:tcPr>
          <w:p>
            <w:r>
              <w:t>Use of low‑carbon cement where feasible, scheduling of high‑noise activities within 07:00‑18:00 weekdays, no weekend works.</w:t>
            </w:r>
          </w:p>
        </w:tc>
      </w:tr>
      <w:tr>
        <w:tc>
          <w:tcPr>
            <w:tcW w:type="dxa" w:w="2880"/>
          </w:tcPr>
          <w:p>
            <w:r>
              <w:t>Traffic influx</w:t>
            </w:r>
          </w:p>
        </w:tc>
        <w:tc>
          <w:tcPr>
            <w:tcW w:type="dxa" w:w="2880"/>
          </w:tcPr>
          <w:p>
            <w:r>
              <w:t>Increased vehicle movements, safety risks for nearby school</w:t>
            </w:r>
          </w:p>
        </w:tc>
        <w:tc>
          <w:tcPr>
            <w:tcW w:type="dxa" w:w="2880"/>
          </w:tcPr>
          <w:p>
            <w:r>
              <w:t>Dedicated estate access road, traffic marshal at school during peak hours for first 12 months, signage and speed‑calming measures.</w:t>
            </w:r>
          </w:p>
        </w:tc>
      </w:tr>
      <w:tr>
        <w:tc>
          <w:tcPr>
            <w:tcW w:type="dxa" w:w="2880"/>
          </w:tcPr>
          <w:p>
            <w:r>
              <w:t>Waste generation</w:t>
            </w:r>
          </w:p>
        </w:tc>
        <w:tc>
          <w:tcPr>
            <w:tcW w:type="dxa" w:w="2880"/>
          </w:tcPr>
          <w:p>
            <w:r>
              <w:t>Solid waste accumulation</w:t>
            </w:r>
          </w:p>
        </w:tc>
        <w:tc>
          <w:tcPr>
            <w:tcW w:type="dxa" w:w="2880"/>
          </w:tcPr>
          <w:p>
            <w:r>
              <w:t>On‑site waste segregation, recycling of concrete debris, disposal of hazardous waste to licensed facilities.</w:t>
            </w:r>
          </w:p>
        </w:tc>
      </w:tr>
    </w:tbl>
    <w:p>
      <w:r/>
      <w:r>
        <w:rPr>
          <w:b/>
        </w:rPr>
        <w:t>Construction Workforce</w:t>
      </w:r>
      <w:r>
        <w:t xml:space="preserve"> – </w:t>
      </w:r>
      <w:r>
        <w:rPr>
          <w:b/>
        </w:rPr>
        <w:t>[MISSING: CONSTRUCTION WORKFORCE SIZE]</w:t>
      </w:r>
      <w:r>
        <w:t xml:space="preserve"> (placeholder). All workers will receive site‑specific health &amp; safety induction and will be provided with appropriate personal protective equipment (PPE).</w:t>
      </w:r>
    </w:p>
    <w:p>
      <w:r>
        <w:t>---</w:t>
      </w:r>
    </w:p>
    <w:p>
      <w:r>
        <w:t>## 2.5 Operational Phase Description</w:t>
      </w:r>
    </w:p>
    <w:p>
      <w:r>
        <w:t>During the 50‑year operational life, the estate will function as a residential community with the following core services:</w:t>
      </w:r>
    </w:p>
    <w:p>
      <w:pPr>
        <w:pStyle w:val="ListBullet"/>
      </w:pPr>
      <w:r/>
      <w:r>
        <w:rPr>
          <w:b/>
        </w:rPr>
        <w:t>Water Supply:</w:t>
      </w:r>
      <w:r>
        <w:t xml:space="preserve"> Continuous abstraction from the on‑site borehole, stored in the 500,000 L tank, and distributed via a gravity‑fed network to all units. Annual abstraction volume to be determined during the detailed water balance study.</w:t>
      </w:r>
    </w:p>
    <w:p>
      <w:pPr>
        <w:pStyle w:val="ListBullet"/>
      </w:pPr>
      <w:r/>
      <w:r>
        <w:rPr>
          <w:b/>
        </w:rPr>
        <w:t>Sewage Management:</w:t>
      </w:r>
      <w:r>
        <w:t xml:space="preserve"> The PSTP will treat domestic wastewater from all 412 units. Treated effluent will meet the Water Act 2016 discharge standards (BOD₅ ≤ 30 mg L⁻¹, TSS ≤ 30 mg L⁻¹) before release to the Kiratina Seasonal Stream.</w:t>
      </w:r>
    </w:p>
    <w:p>
      <w:pPr>
        <w:pStyle w:val="ListBullet"/>
      </w:pPr>
      <w:r/>
      <w:r>
        <w:rPr>
          <w:b/>
        </w:rPr>
        <w:t>Stormwater Management:</w:t>
      </w:r>
      <w:r>
        <w:t xml:space="preserve"> Designed to achieve a 1‑in‑10‑year peak discharge attenuation, with runoff directed to infiltration zones and vegetated swales.</w:t>
      </w:r>
    </w:p>
    <w:p>
      <w:pPr>
        <w:pStyle w:val="ListBullet"/>
      </w:pPr>
      <w:r/>
      <w:r>
        <w:rPr>
          <w:b/>
        </w:rPr>
        <w:t>Energy Consumption:</w:t>
      </w:r>
      <w:r>
        <w:t xml:space="preserve"> </w:t>
      </w:r>
      <w:r>
        <w:rPr>
          <w:b/>
        </w:rPr>
        <w:t>[MISSING: ANNUAL ELECTRICITY DEMAND]</w:t>
      </w:r>
      <w:r>
        <w:t xml:space="preserve"> (placeholder). The estate will be connected to the national grid; provision for future solar PV integration is included in the master plan.</w:t>
      </w:r>
    </w:p>
    <w:p>
      <w:pPr>
        <w:pStyle w:val="ListBullet"/>
      </w:pPr>
      <w:r/>
      <w:r>
        <w:rPr>
          <w:b/>
        </w:rPr>
        <w:t>Solid Waste Management:</w:t>
      </w:r>
      <w:r>
        <w:t xml:space="preserve"> Household waste will be collected weekly by the county solid waste service; a central recycling drop‑off point will be provided on‑site.</w:t>
      </w:r>
    </w:p>
    <w:p>
      <w:pPr>
        <w:pStyle w:val="ListBullet"/>
      </w:pPr>
      <w:r/>
      <w:r>
        <w:rPr>
          <w:b/>
        </w:rPr>
        <w:t>Maintenance:</w:t>
      </w:r>
      <w:r>
        <w:t xml:space="preserve"> A dedicated estate management team will oversee routine maintenance of roads, landscaping, utilities, and the PSTP.</w:t>
      </w:r>
    </w:p>
    <w:p>
      <w:r>
        <w:t>---</w:t>
      </w:r>
    </w:p>
    <w:p>
      <w:r>
        <w:t>## 2.6 Infrastructure and Services</w:t>
      </w:r>
    </w:p>
    <w:tbl>
      <w:tblPr>
        <w:tblStyle w:val="TableGrid"/>
        <w:tblW w:type="auto" w:w="0"/>
        <w:tblLook w:firstColumn="1" w:firstRow="1" w:lastColumn="0" w:lastRow="0" w:noHBand="0" w:noVBand="1" w:val="04A0"/>
      </w:tblPr>
      <w:tblGrid>
        <w:gridCol w:w="4320"/>
        <w:gridCol w:w="4320"/>
      </w:tblGrid>
      <w:tr>
        <w:tc>
          <w:tcPr>
            <w:tcW w:type="dxa" w:w="4320"/>
          </w:tcPr>
          <w:p>
            <w:r>
              <w:rPr>
                <w:b/>
              </w:rPr>
              <w:t>Service</w:t>
            </w:r>
          </w:p>
        </w:tc>
        <w:tc>
          <w:tcPr>
            <w:tcW w:type="dxa" w:w="4320"/>
          </w:tcPr>
          <w:p>
            <w:r>
              <w:rPr>
                <w:b/>
              </w:rPr>
              <w:t>Specification / Provision</w:t>
            </w:r>
          </w:p>
        </w:tc>
      </w:tr>
      <w:tr>
        <w:tc>
          <w:tcPr>
            <w:tcW w:type="dxa" w:w="4320"/>
          </w:tcPr>
          <w:p>
            <w:r/>
            <w:r>
              <w:rPr>
                <w:b/>
              </w:rPr>
              <w:t>Roads</w:t>
            </w:r>
            <w:r/>
          </w:p>
        </w:tc>
        <w:tc>
          <w:tcPr>
            <w:tcW w:type="dxa" w:w="4320"/>
          </w:tcPr>
          <w:p>
            <w:r>
              <w:t>Internal paved roads (asphalt) with drainage culverts; access road meets Kenyan Class C standards.</w:t>
            </w:r>
          </w:p>
        </w:tc>
      </w:tr>
      <w:tr>
        <w:tc>
          <w:tcPr>
            <w:tcW w:type="dxa" w:w="4320"/>
          </w:tcPr>
          <w:p>
            <w:r/>
            <w:r>
              <w:rPr>
                <w:b/>
              </w:rPr>
              <w:t>Water</w:t>
            </w:r>
            <w:r/>
          </w:p>
        </w:tc>
        <w:tc>
          <w:tcPr>
            <w:tcW w:type="dxa" w:w="4320"/>
          </w:tcPr>
          <w:p>
            <w:r>
              <w:t xml:space="preserve">On‑site borehole (depth ≈ 43 m) + 500,000 L storage tank; distribution network sized for peak demand of </w:t>
            </w:r>
            <w:r>
              <w:rPr>
                <w:b/>
              </w:rPr>
              <w:t>[MISSING: PEAK DAILY WATER DEMAND]</w:t>
            </w:r>
            <w:r>
              <w:t>.</w:t>
            </w:r>
          </w:p>
        </w:tc>
      </w:tr>
      <w:tr>
        <w:tc>
          <w:tcPr>
            <w:tcW w:type="dxa" w:w="4320"/>
          </w:tcPr>
          <w:p>
            <w:r/>
            <w:r>
              <w:rPr>
                <w:b/>
              </w:rPr>
              <w:t>Sewage</w:t>
            </w:r>
            <w:r/>
          </w:p>
        </w:tc>
        <w:tc>
          <w:tcPr>
            <w:tcW w:type="dxa" w:w="4320"/>
          </w:tcPr>
          <w:p>
            <w:r>
              <w:t xml:space="preserve">Package sewage treatment plant (capacity </w:t>
            </w:r>
            <w:r>
              <w:rPr>
                <w:b/>
              </w:rPr>
              <w:t>[MISSING: TREATMENT CAPACITY]</w:t>
            </w:r>
            <w:r>
              <w:t xml:space="preserve"> m³ day⁻¹).</w:t>
            </w:r>
          </w:p>
        </w:tc>
      </w:tr>
      <w:tr>
        <w:tc>
          <w:tcPr>
            <w:tcW w:type="dxa" w:w="4320"/>
          </w:tcPr>
          <w:p>
            <w:r/>
            <w:r>
              <w:rPr>
                <w:b/>
              </w:rPr>
              <w:t>Stormwater</w:t>
            </w:r>
            <w:r/>
          </w:p>
        </w:tc>
        <w:tc>
          <w:tcPr>
            <w:tcW w:type="dxa" w:w="4320"/>
          </w:tcPr>
          <w:p>
            <w:r>
              <w:t>Graded swales, infiltration trenches, vegetated buffer (minimum 5 m width) along the western perimeter.</w:t>
            </w:r>
          </w:p>
        </w:tc>
      </w:tr>
      <w:tr>
        <w:tc>
          <w:tcPr>
            <w:tcW w:type="dxa" w:w="4320"/>
          </w:tcPr>
          <w:p>
            <w:r/>
            <w:r>
              <w:rPr>
                <w:b/>
              </w:rPr>
              <w:t>Electricity</w:t>
            </w:r>
            <w:r/>
          </w:p>
        </w:tc>
        <w:tc>
          <w:tcPr>
            <w:tcW w:type="dxa" w:w="4320"/>
          </w:tcPr>
          <w:p>
            <w:r>
              <w:t xml:space="preserve">Connection to Kenya Power grid at </w:t>
            </w:r>
            <w:r>
              <w:rPr>
                <w:b/>
              </w:rPr>
              <w:t>[MISSING: SUBSTATION NAME]</w:t>
            </w:r>
            <w:r>
              <w:t xml:space="preserve">; backup generator capacity </w:t>
            </w:r>
            <w:r>
              <w:rPr>
                <w:b/>
              </w:rPr>
              <w:t>[MISSING: GENERATOR KW]</w:t>
            </w:r>
            <w:r>
              <w:t>.</w:t>
            </w:r>
          </w:p>
        </w:tc>
      </w:tr>
      <w:tr>
        <w:tc>
          <w:tcPr>
            <w:tcW w:type="dxa" w:w="4320"/>
          </w:tcPr>
          <w:p>
            <w:r/>
            <w:r>
              <w:rPr>
                <w:b/>
              </w:rPr>
              <w:t>Telecommunications</w:t>
            </w:r>
            <w:r/>
          </w:p>
        </w:tc>
        <w:tc>
          <w:tcPr>
            <w:tcW w:type="dxa" w:w="4320"/>
          </w:tcPr>
          <w:p>
            <w:r>
              <w:t>Fiber‑optic backbone to be installed by the national provider; underground conduit network.</w:t>
            </w:r>
          </w:p>
        </w:tc>
      </w:tr>
      <w:tr>
        <w:tc>
          <w:tcPr>
            <w:tcW w:type="dxa" w:w="4320"/>
          </w:tcPr>
          <w:p>
            <w:r/>
            <w:r>
              <w:rPr>
                <w:b/>
              </w:rPr>
              <w:t>Security &amp; Lighting</w:t>
            </w:r>
            <w:r/>
          </w:p>
        </w:tc>
        <w:tc>
          <w:tcPr>
            <w:tcW w:type="dxa" w:w="4320"/>
          </w:tcPr>
          <w:p>
            <w:r>
              <w:t>Perimeter fencing, CCTV, street lighting (LED, 30 lux average).</w:t>
            </w:r>
          </w:p>
        </w:tc>
      </w:tr>
      <w:tr>
        <w:tc>
          <w:tcPr>
            <w:tcW w:type="dxa" w:w="4320"/>
          </w:tcPr>
          <w:p>
            <w:r/>
            <w:r>
              <w:rPr>
                <w:b/>
              </w:rPr>
              <w:t>Community Facilities</w:t>
            </w:r>
            <w:r/>
          </w:p>
        </w:tc>
        <w:tc>
          <w:tcPr>
            <w:tcW w:type="dxa" w:w="4320"/>
          </w:tcPr>
          <w:p>
            <w:r>
              <w:t>Communal park (0.8 ha), children’s playground, and a multipurpose community hall (200 m²).</w:t>
            </w:r>
          </w:p>
        </w:tc>
      </w:tr>
    </w:tbl>
    <w:p>
      <w:r>
        <w:t>---</w:t>
      </w:r>
    </w:p>
    <w:p>
      <w:r>
        <w:t>## 2.7 Environmental and Social Management Plan (ESMP)</w:t>
      </w:r>
    </w:p>
    <w:p>
      <w:r>
        <w:t xml:space="preserve">An ESMP will be prepared in accordance with the </w:t>
      </w:r>
      <w:r>
        <w:rPr>
          <w:b/>
        </w:rPr>
        <w:t>World Bank Environmental and Social Framework (ESF)</w:t>
      </w:r>
      <w:r>
        <w:t xml:space="preserve"> and Kenyan NEMA guidelines. The ESMP will address:</w:t>
      </w:r>
    </w:p>
    <w:p>
      <w:pPr>
        <w:pStyle w:val="ListNumber"/>
      </w:pPr>
      <w:r/>
      <w:r>
        <w:rPr>
          <w:b/>
        </w:rPr>
        <w:t>Air Quality Management</w:t>
      </w:r>
      <w:r>
        <w:t xml:space="preserve"> – Dust control, vehicle emission standards, and periodic ambient monitoring.</w:t>
      </w:r>
    </w:p>
    <w:p>
      <w:pPr>
        <w:pStyle w:val="ListNumber"/>
      </w:pPr>
      <w:r/>
      <w:r>
        <w:rPr>
          <w:b/>
        </w:rPr>
        <w:t>Noise Management</w:t>
      </w:r>
      <w:r>
        <w:t xml:space="preserve"> – Enforcement of construction hours (07:00‑18:00 weekdays), equipment mufflers, and noise monitoring at the Kiratina Primary School boundary.</w:t>
      </w:r>
    </w:p>
    <w:p>
      <w:pPr>
        <w:pStyle w:val="ListNumber"/>
      </w:pPr>
      <w:r/>
      <w:r>
        <w:rPr>
          <w:b/>
        </w:rPr>
        <w:t>Water Resources</w:t>
      </w:r>
      <w:r>
        <w:t xml:space="preserve"> – Sustainable abstraction monitoring, water quality testing of borehole and effluent, compliance with the Water Act 2016.</w:t>
      </w:r>
    </w:p>
    <w:p>
      <w:pPr>
        <w:pStyle w:val="ListNumber"/>
      </w:pPr>
      <w:r/>
      <w:r>
        <w:rPr>
          <w:b/>
        </w:rPr>
        <w:t>Waste Management</w:t>
      </w:r>
      <w:r>
        <w:t xml:space="preserve"> – Segregation, recycling, and safe disposal of hazardous materials.</w:t>
      </w:r>
    </w:p>
    <w:p>
      <w:pPr>
        <w:pStyle w:val="ListNumber"/>
      </w:pPr>
      <w:r/>
      <w:r>
        <w:rPr>
          <w:b/>
        </w:rPr>
        <w:t>Biodiversity &amp; Landscape</w:t>
      </w:r>
      <w:r>
        <w:t xml:space="preserve"> – Preservation of existing Acacia trees, re‑planting of native species, and maintenance of the vegetated buffer.</w:t>
      </w:r>
    </w:p>
    <w:p>
      <w:pPr>
        <w:pStyle w:val="ListNumber"/>
      </w:pPr>
      <w:r/>
      <w:r>
        <w:rPr>
          <w:b/>
        </w:rPr>
        <w:t>Traffic &amp; Road Safety</w:t>
      </w:r>
      <w:r>
        <w:t xml:space="preserve"> – Traffic management plan, school‑hour marshal, and signage.</w:t>
      </w:r>
    </w:p>
    <w:p>
      <w:pPr>
        <w:pStyle w:val="ListNumber"/>
      </w:pPr>
      <w:r/>
      <w:r>
        <w:rPr>
          <w:b/>
        </w:rPr>
        <w:t>Community Health &amp; Safety</w:t>
      </w:r>
      <w:r>
        <w:t xml:space="preserve"> – Emergency response procedures, first‑aid facilities, and community liaison.</w:t>
      </w:r>
    </w:p>
    <w:p>
      <w:pPr>
        <w:pStyle w:val="ListNumber"/>
      </w:pPr>
      <w:r/>
      <w:r>
        <w:rPr>
          <w:b/>
        </w:rPr>
        <w:t>Monitoring &amp; Reporting</w:t>
      </w:r>
      <w:r>
        <w:t xml:space="preserve"> – Quarterly environmental monitoring reports submitted to NEMA and the GRM Committee.</w:t>
      </w:r>
    </w:p>
    <w:p>
      <w:r>
        <w:t>---</w:t>
      </w:r>
    </w:p>
    <w:p>
      <w:r>
        <w:t>## 2.8 Stakeholder Engagement Summary</w:t>
      </w:r>
    </w:p>
    <w:p>
      <w:pPr>
        <w:pStyle w:val="ListBullet"/>
      </w:pPr>
      <w:r/>
      <w:r>
        <w:rPr>
          <w:b/>
        </w:rPr>
        <w:t>Public Notification:</w:t>
      </w:r>
      <w:r>
        <w:t xml:space="preserve"> Announcement published in </w:t>
      </w:r>
      <w:r>
        <w:rPr>
          <w:i/>
        </w:rPr>
        <w:t>Daily Nation</w:t>
      </w:r>
      <w:r>
        <w:t xml:space="preserve"> on 19 August 2026 (14‑day notice).</w:t>
      </w:r>
    </w:p>
    <w:p>
      <w:pPr>
        <w:pStyle w:val="ListBullet"/>
      </w:pPr>
      <w:r/>
      <w:r>
        <w:rPr>
          <w:b/>
        </w:rPr>
        <w:t>Baraza (Public Hearing):</w:t>
      </w:r>
      <w:r>
        <w:t xml:space="preserve"> Held on 5 September 2026 at Ongata Rongai Social Hall; </w:t>
      </w:r>
      <w:r>
        <w:rPr>
          <w:b/>
        </w:rPr>
        <w:t>267</w:t>
      </w:r>
      <w:r>
        <w:t xml:space="preserve"> participants attended.</w:t>
      </w:r>
    </w:p>
    <w:p>
      <w:pPr>
        <w:pStyle w:val="ListBullet"/>
      </w:pPr>
      <w:r/>
      <w:r>
        <w:rPr>
          <w:b/>
        </w:rPr>
        <w:t>Vulnerable Groups:</w:t>
      </w:r>
      <w:r>
        <w:t xml:space="preserve"> No displacement of existing residents; 5 % of units designed for PWD accessibility.</w:t>
      </w:r>
    </w:p>
    <w:p>
      <w:pPr>
        <w:pStyle w:val="ListBullet"/>
      </w:pPr>
      <w:r/>
      <w:r>
        <w:rPr>
          <w:b/>
        </w:rPr>
      </w:r>
      <w:r/>
    </w:p>
    <w:p>
      <w:r>
        <w:br w:type="page"/>
      </w:r>
    </w:p>
    <w:p>
      <w:pPr>
        <w:pStyle w:val="Heading1"/>
      </w:pPr>
      <w:r>
        <w:t>Chapter 3: Analysis of Project Alternatives</w:t>
      </w:r>
    </w:p>
    <w:p>
      <w:r>
        <w:t>## 3.1 Introduction</w:t>
      </w:r>
    </w:p>
    <w:p>
      <w:r>
        <w:t xml:space="preserve">The purpose of this chapter is to identify and evaluate feasible alternatives to the proposed </w:t>
      </w:r>
      <w:r>
        <w:rPr>
          <w:b/>
        </w:rPr>
        <w:t>Kiratina Gardens Residential Estate</w:t>
      </w:r>
      <w:r>
        <w:t xml:space="preserve"> in accordance with the requirements of the </w:t>
      </w:r>
      <w:r>
        <w:rPr>
          <w:b/>
        </w:rPr>
        <w:t>Environmental Management and Coordination Act (EMCA) 1999</w:t>
      </w:r>
      <w:r>
        <w:t xml:space="preserve">, the </w:t>
      </w:r>
      <w:r>
        <w:rPr>
          <w:b/>
        </w:rPr>
        <w:t>NEMA Guidelines for Environmental Impact Assessment (EIA) of Housing Developments</w:t>
      </w:r>
      <w:r>
        <w:t xml:space="preserve">, and the </w:t>
      </w:r>
      <w:r>
        <w:rPr>
          <w:b/>
        </w:rPr>
        <w:t>World Bank Environmental and Social Framework (ESF)</w:t>
      </w:r>
      <w:r>
        <w:t>. The analysis follows the hierarchy of avoidance, minimisation, mitigation and compensation, and it is presented against the baseline conditions established on 18 April 2026 (see Chapter 2).</w:t>
      </w:r>
    </w:p>
    <w:p>
      <w:r>
        <w:t>## 3.2 Screening of Alternatives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Alternative</w:t>
            </w:r>
          </w:p>
        </w:tc>
        <w:tc>
          <w:tcPr>
            <w:tcW w:type="dxa" w:w="2880"/>
          </w:tcPr>
          <w:p>
            <w:r>
              <w:rPr>
                <w:b/>
              </w:rPr>
              <w:t>Description</w:t>
            </w:r>
          </w:p>
        </w:tc>
        <w:tc>
          <w:tcPr>
            <w:tcW w:type="dxa" w:w="2880"/>
          </w:tcPr>
          <w:p>
            <w:r>
              <w:rPr>
                <w:b/>
              </w:rPr>
              <w:t>Rationale for Inclusion</w:t>
            </w:r>
          </w:p>
        </w:tc>
      </w:tr>
      <w:tr>
        <w:tc>
          <w:tcPr>
            <w:tcW w:type="dxa" w:w="2880"/>
          </w:tcPr>
          <w:p>
            <w:r/>
            <w:r>
              <w:rPr>
                <w:b/>
              </w:rPr>
              <w:t>A0 – No‑Project (Baseline)</w:t>
            </w:r>
            <w:r/>
          </w:p>
        </w:tc>
        <w:tc>
          <w:tcPr>
            <w:tcW w:type="dxa" w:w="2880"/>
          </w:tcPr>
          <w:p>
            <w:r>
              <w:t>The site remains undeveloped grassland/light grazing with scattered acacia.</w:t>
            </w:r>
          </w:p>
        </w:tc>
        <w:tc>
          <w:tcPr>
            <w:tcW w:type="dxa" w:w="2880"/>
          </w:tcPr>
          <w:p>
            <w:r>
              <w:t>Required by NEMA to establish the “no‑action” scenario against which all other alternatives are compared.</w:t>
            </w:r>
          </w:p>
        </w:tc>
      </w:tr>
      <w:tr>
        <w:tc>
          <w:tcPr>
            <w:tcW w:type="dxa" w:w="2880"/>
          </w:tcPr>
          <w:p>
            <w:r/>
            <w:r>
              <w:rPr>
                <w:b/>
              </w:rPr>
              <w:t>A1 – Proposed (Reference) Alternative</w:t>
            </w:r>
            <w:r/>
          </w:p>
        </w:tc>
        <w:tc>
          <w:tcPr>
            <w:tcW w:type="dxa" w:w="2880"/>
          </w:tcPr>
          <w:p>
            <w:r>
              <w:t>Development of 412 residential units (mix of apartments and townhouses) on 9.14 ha, with on‑site borehole, 500 000 L storage tank, and a package sewage treatment plant (PSTP).</w:t>
            </w:r>
          </w:p>
        </w:tc>
        <w:tc>
          <w:tcPr>
            <w:tcW w:type="dxa" w:w="2880"/>
          </w:tcPr>
          <w:p>
            <w:r>
              <w:t>Represents the proponent’s preferred design and is the reference case for impact comparison.</w:t>
            </w:r>
          </w:p>
        </w:tc>
      </w:tr>
      <w:tr>
        <w:tc>
          <w:tcPr>
            <w:tcW w:type="dxa" w:w="2880"/>
          </w:tcPr>
          <w:p>
            <w:r/>
            <w:r>
              <w:rPr>
                <w:b/>
              </w:rPr>
              <w:t>A2 – Reduced‑Scale Development</w:t>
            </w:r>
            <w:r/>
          </w:p>
        </w:tc>
        <w:tc>
          <w:tcPr>
            <w:tcW w:type="dxa" w:w="2880"/>
          </w:tcPr>
          <w:p>
            <w:r>
              <w:t>200 residential units (≈50 % of the reference) on the same parcel, retaining the same water and wastewater infrastructure but with proportionally smaller storage capacity.</w:t>
            </w:r>
          </w:p>
        </w:tc>
        <w:tc>
          <w:tcPr>
            <w:tcW w:type="dxa" w:w="2880"/>
          </w:tcPr>
          <w:p>
            <w:r>
              <w:t>Explores the effect of lower housing density on resource demand, traffic, and social impacts.</w:t>
            </w:r>
          </w:p>
        </w:tc>
      </w:tr>
      <w:tr>
        <w:tc>
          <w:tcPr>
            <w:tcW w:type="dxa" w:w="2880"/>
          </w:tcPr>
          <w:p>
            <w:r/>
            <w:r>
              <w:rPr>
                <w:b/>
              </w:rPr>
              <w:t>A3 – Vertical‑Growth Alternative</w:t>
            </w:r>
            <w:r/>
          </w:p>
        </w:tc>
        <w:tc>
          <w:tcPr>
            <w:tcW w:type="dxa" w:w="2880"/>
          </w:tcPr>
          <w:p>
            <w:r>
              <w:t>6‑storey mixed‑use building (≈350 units) concentrated on 4 ha, freeing 5.14 ha for open‑space/green‑belt. Height exceeds the 4‑storey limit imposed to protect neighbourhood character.</w:t>
            </w:r>
          </w:p>
        </w:tc>
        <w:tc>
          <w:tcPr>
            <w:tcW w:type="dxa" w:w="2880"/>
          </w:tcPr>
          <w:p>
            <w:r>
              <w:t>Tests the trade‑off between land‑use efficiency and visual/landscape impacts.</w:t>
            </w:r>
          </w:p>
        </w:tc>
      </w:tr>
      <w:tr>
        <w:tc>
          <w:tcPr>
            <w:tcW w:type="dxa" w:w="2880"/>
          </w:tcPr>
          <w:p>
            <w:r/>
            <w:r>
              <w:rPr>
                <w:b/>
              </w:rPr>
              <w:t>A4 – Alternative Site (Adjacent Plot)</w:t>
            </w:r>
            <w:r/>
          </w:p>
        </w:tc>
        <w:tc>
          <w:tcPr>
            <w:tcW w:type="dxa" w:w="2880"/>
          </w:tcPr>
          <w:p>
            <w:r>
              <w:t>Relocation of the development to the 5 ha parcel immediately west of the current site (currently fallow agricultural land).</w:t>
            </w:r>
          </w:p>
        </w:tc>
        <w:tc>
          <w:tcPr>
            <w:tcW w:type="dxa" w:w="2880"/>
          </w:tcPr>
          <w:p>
            <w:r>
              <w:t>Assesses whether moving the project away from existing residential plots reduces cumulative impacts on nearby receptors (school, mosque).</w:t>
            </w:r>
          </w:p>
        </w:tc>
      </w:tr>
      <w:tr>
        <w:tc>
          <w:tcPr>
            <w:tcW w:type="dxa" w:w="2880"/>
          </w:tcPr>
          <w:p>
            <w:r/>
            <w:r>
              <w:rPr>
                <w:b/>
              </w:rPr>
              <w:t>A5 – Municipal Sewer Connection</w:t>
            </w:r>
            <w:r/>
          </w:p>
        </w:tc>
        <w:tc>
          <w:tcPr>
            <w:tcW w:type="dxa" w:w="2880"/>
          </w:tcPr>
          <w:p>
            <w:r>
              <w:t>Same 412‑unit layout but with connection to the Kajiado County sewer network (hypothetical) instead of an on‑site PSTP.</w:t>
            </w:r>
          </w:p>
        </w:tc>
        <w:tc>
          <w:tcPr>
            <w:tcW w:type="dxa" w:w="2880"/>
          </w:tcPr>
          <w:p>
            <w:r>
              <w:t>Evaluates the environmental and social implications of using existing public wastewater infrastructure.</w:t>
            </w:r>
          </w:p>
        </w:tc>
      </w:tr>
      <w:tr>
        <w:tc>
          <w:tcPr>
            <w:tcW w:type="dxa" w:w="2880"/>
          </w:tcPr>
          <w:p>
            <w:r/>
            <w:r>
              <w:rPr>
                <w:b/>
              </w:rPr>
              <w:t>A6 – Hybrid Water Supply</w:t>
            </w:r>
            <w:r/>
          </w:p>
        </w:tc>
        <w:tc>
          <w:tcPr>
            <w:tcW w:type="dxa" w:w="2880"/>
          </w:tcPr>
          <w:p>
            <w:r>
              <w:t>Combination of on‑site borehole (70 % of demand) and connection to the county water supply (30 % of demand).</w:t>
            </w:r>
          </w:p>
        </w:tc>
        <w:tc>
          <w:tcPr>
            <w:tcW w:type="dxa" w:w="2880"/>
          </w:tcPr>
          <w:p>
            <w:r>
              <w:t>Examines the feasibility of reducing groundwater abstraction while ensuring reliable supply.</w:t>
            </w:r>
          </w:p>
        </w:tc>
      </w:tr>
    </w:tbl>
    <w:p>
      <w:r>
        <w:t>## 3.3 Evaluation Criteria</w:t>
      </w:r>
    </w:p>
    <w:p>
      <w:r>
        <w:t>The alternatives were assessed against the following criteria, consistent with NEMA’s “Screening and Scoping” guidelines and the World Bank ESF:</w:t>
      </w:r>
    </w:p>
    <w:p>
      <w:pPr>
        <w:pStyle w:val="ListNumber"/>
      </w:pPr>
      <w:r/>
      <w:r>
        <w:rPr>
          <w:b/>
        </w:rPr>
        <w:t>Compliance with statutory thresholds</w:t>
      </w:r>
      <w:r>
        <w:t xml:space="preserve"> (e.g., Water Act 2016 abstraction limits, NEMA air‑quality and noise standards).</w:t>
      </w:r>
    </w:p>
    <w:p>
      <w:pPr>
        <w:pStyle w:val="ListNumber"/>
      </w:pPr>
      <w:r/>
      <w:r>
        <w:rPr>
          <w:b/>
        </w:rPr>
        <w:t>Resource use and efficiency</w:t>
      </w:r>
      <w:r>
        <w:t xml:space="preserve"> (water abstraction, energy consumption, material demand).</w:t>
      </w:r>
    </w:p>
    <w:p>
      <w:pPr>
        <w:pStyle w:val="ListNumber"/>
      </w:pPr>
      <w:r/>
      <w:r>
        <w:rPr>
          <w:b/>
        </w:rPr>
        <w:t>Air‑quality and noise impacts</w:t>
      </w:r>
      <w:r>
        <w:t xml:space="preserve"> during construction and operation.</w:t>
      </w:r>
    </w:p>
    <w:p>
      <w:pPr>
        <w:pStyle w:val="ListNumber"/>
      </w:pPr>
      <w:r/>
      <w:r>
        <w:rPr>
          <w:b/>
        </w:rPr>
        <w:t>Water‑quality and wastewater management</w:t>
      </w:r>
      <w:r>
        <w:t xml:space="preserve"> (groundwater protection, effluent discharge standards).</w:t>
      </w:r>
    </w:p>
    <w:p>
      <w:pPr>
        <w:pStyle w:val="ListNumber"/>
      </w:pPr>
      <w:r/>
      <w:r>
        <w:rPr>
          <w:b/>
        </w:rPr>
        <w:t>Traffic and transport implications</w:t>
      </w:r>
      <w:r>
        <w:t xml:space="preserve"> (vehicular movements, road safety for vulnerable road users).</w:t>
      </w:r>
    </w:p>
    <w:p>
      <w:pPr>
        <w:pStyle w:val="ListNumber"/>
      </w:pPr>
      <w:r/>
      <w:r>
        <w:rPr>
          <w:b/>
        </w:rPr>
        <w:t>Socio‑economic effects</w:t>
      </w:r>
      <w:r>
        <w:t xml:space="preserve"> (housing provision, employment, community services).</w:t>
      </w:r>
    </w:p>
    <w:p>
      <w:pPr>
        <w:pStyle w:val="ListNumber"/>
      </w:pPr>
      <w:r/>
      <w:r>
        <w:rPr>
          <w:b/>
        </w:rPr>
        <w:t>Land‑use and biodiversity considerations</w:t>
      </w:r>
      <w:r>
        <w:t xml:space="preserve"> (loss of grassland, visual impact, proximity to protected areas).</w:t>
      </w:r>
    </w:p>
    <w:p>
      <w:pPr>
        <w:pStyle w:val="ListNumber"/>
      </w:pPr>
      <w:r/>
      <w:r>
        <w:rPr>
          <w:b/>
        </w:rPr>
        <w:t>Reversibility and de‑commissioning</w:t>
      </w:r>
      <w:r>
        <w:t xml:space="preserve"> (ease of site restoration after the 50‑year lifespan).</w:t>
      </w:r>
    </w:p>
    <w:p>
      <w:r>
        <w:t xml:space="preserve">Each alternative was scored qualitatively (High, Moderate, Low) for the magnitude of impact and the feasibility of mitigation. Where quantitative data were unavailable, a </w:t>
      </w:r>
      <w:r>
        <w:rPr>
          <w:b/>
        </w:rPr>
        <w:t>[MISSING: …]</w:t>
      </w:r>
      <w:r>
        <w:t xml:space="preserve"> placeholder is inserted.</w:t>
      </w:r>
    </w:p>
    <w:p>
      <w:r>
        <w:t>## 3.4 Detailed Impact Comparison</w:t>
      </w:r>
    </w:p>
    <w:p>
      <w:r>
        <w:t>### 3.4.1 No‑Project (A0)</w:t>
      </w:r>
    </w:p>
    <w:p>
      <w:pPr>
        <w:pStyle w:val="ListBullet"/>
      </w:pPr>
      <w:r/>
      <w:r>
        <w:rPr>
          <w:b/>
        </w:rPr>
        <w:t>Air Quality:</w:t>
      </w:r>
      <w:r>
        <w:t xml:space="preserve"> No additional emissions; baseline PM2.5 = 14 µg/m³ (below WHO 24‑hr guideline of 15 µg/m³) and PM10 = 29 µg/m³ (below NEMA limit of 75 µg/m³).</w:t>
      </w:r>
    </w:p>
    <w:p>
      <w:pPr>
        <w:pStyle w:val="ListBullet"/>
      </w:pPr>
      <w:r/>
      <w:r>
        <w:rPr>
          <w:b/>
        </w:rPr>
        <w:t>Noise:</w:t>
      </w:r>
      <w:r>
        <w:t xml:space="preserve"> Ambient level 47 dBA (below NEMA residential night limit of 45 dBA but above the day limit of 55 dBA). No construction‑related noise.</w:t>
      </w:r>
    </w:p>
    <w:p>
      <w:pPr>
        <w:pStyle w:val="ListBullet"/>
      </w:pPr>
      <w:r/>
      <w:r>
        <w:rPr>
          <w:b/>
        </w:rPr>
        <w:t>Water Resources:</w:t>
      </w:r>
      <w:r>
        <w:t xml:space="preserve"> No abstraction; groundwater remains at 43 m depth. No wastewater generation.</w:t>
      </w:r>
    </w:p>
    <w:p>
      <w:pPr>
        <w:pStyle w:val="ListBullet"/>
      </w:pPr>
      <w:r/>
      <w:r>
        <w:rPr>
          <w:b/>
        </w:rPr>
        <w:t>Traffic:</w:t>
      </w:r>
      <w:r>
        <w:t xml:space="preserve"> Existing rural traffic patterns unchanged.</w:t>
      </w:r>
    </w:p>
    <w:p>
      <w:pPr>
        <w:pStyle w:val="ListBullet"/>
      </w:pPr>
      <w:r/>
      <w:r>
        <w:rPr>
          <w:b/>
        </w:rPr>
        <w:t>Socio‑economic:</w:t>
      </w:r>
      <w:r>
        <w:t xml:space="preserve"> No housing provision; continued reliance on informal settlements.</w:t>
      </w:r>
    </w:p>
    <w:p>
      <w:pPr>
        <w:pStyle w:val="ListBullet"/>
      </w:pPr>
      <w:r/>
      <w:r>
        <w:rPr>
          <w:b/>
        </w:rPr>
        <w:t>Land‑use:</w:t>
      </w:r>
      <w:r>
        <w:t xml:space="preserve"> Grassland remains intact; no visual or biodiversity loss.</w:t>
      </w:r>
    </w:p>
    <w:p>
      <w:r>
        <w:t>### 3.4.2 Proposed (Reference) Alternative – A1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Impact Category</w:t>
            </w:r>
          </w:p>
        </w:tc>
        <w:tc>
          <w:tcPr>
            <w:tcW w:type="dxa" w:w="2160"/>
          </w:tcPr>
          <w:p>
            <w:r>
              <w:rPr>
                <w:b/>
              </w:rPr>
              <w:t>Predicted Change</w:t>
            </w:r>
          </w:p>
        </w:tc>
        <w:tc>
          <w:tcPr>
            <w:tcW w:type="dxa" w:w="2160"/>
          </w:tcPr>
          <w:p>
            <w:r>
              <w:rPr>
                <w:b/>
              </w:rPr>
              <w:t>Mitigation (ESMP)</w:t>
            </w:r>
          </w:p>
        </w:tc>
        <w:tc>
          <w:tcPr>
            <w:tcW w:type="dxa" w:w="2160"/>
          </w:tcPr>
          <w:p>
            <w:r>
              <w:rPr>
                <w:b/>
              </w:rPr>
              <w:t>Residual Impact</w:t>
            </w:r>
          </w:p>
        </w:tc>
      </w:tr>
      <w:tr>
        <w:tc>
          <w:tcPr>
            <w:tcW w:type="dxa" w:w="2160"/>
          </w:tcPr>
          <w:p>
            <w:r/>
            <w:r>
              <w:rPr>
                <w:b/>
              </w:rPr>
              <w:t>Air Quality (Construction)</w:t>
            </w:r>
            <w:r/>
          </w:p>
        </w:tc>
        <w:tc>
          <w:tcPr>
            <w:tcW w:type="dxa" w:w="2160"/>
          </w:tcPr>
          <w:p>
            <w:r>
              <w:t>Temporary increase in PM10 &amp; PM2.5 from diesel equipment; estimated 5‑10 µg/m³ rise near site edge.</w:t>
            </w:r>
          </w:p>
        </w:tc>
        <w:tc>
          <w:tcPr>
            <w:tcW w:type="dxa" w:w="2160"/>
          </w:tcPr>
          <w:p>
            <w:r>
              <w:t>Dust suppression (watering, wheel washing), use of low‑sulphur diesel, equipment maintenance.</w:t>
            </w:r>
          </w:p>
        </w:tc>
        <w:tc>
          <w:tcPr>
            <w:tcW w:type="dxa" w:w="2160"/>
          </w:tcPr>
          <w:p>
            <w:r/>
            <w:r>
              <w:rPr>
                <w:b/>
              </w:rPr>
              <w:t>Moderate</w:t>
            </w:r>
            <w:r>
              <w:t xml:space="preserve"> – concentrations expected to remain below WHO 24‑hr PM2.5 (15 µg/m³) and NEMA PM10 (75 µg/m³) after mitigation.</w:t>
            </w:r>
          </w:p>
        </w:tc>
      </w:tr>
      <w:tr>
        <w:tc>
          <w:tcPr>
            <w:tcW w:type="dxa" w:w="2160"/>
          </w:tcPr>
          <w:p>
            <w:r/>
            <w:r>
              <w:rPr>
                <w:b/>
              </w:rPr>
              <w:t>Air Quality (Operation)</w:t>
            </w:r>
            <w:r/>
          </w:p>
        </w:tc>
        <w:tc>
          <w:tcPr>
            <w:tcW w:type="dxa" w:w="2160"/>
          </w:tcPr>
          <w:p>
            <w:r>
              <w:t>Vehicle emissions from 412 households; incremental increase of ≤2 µg/m³ in surrounding area.</w:t>
            </w:r>
          </w:p>
        </w:tc>
        <w:tc>
          <w:tcPr>
            <w:tcW w:type="dxa" w:w="2160"/>
          </w:tcPr>
          <w:p>
            <w:r>
              <w:t>Promotion of low‑emission vehicles, car‑pooling scheme, provision of bicycle lanes.</w:t>
            </w:r>
          </w:p>
        </w:tc>
        <w:tc>
          <w:tcPr>
            <w:tcW w:type="dxa" w:w="2160"/>
          </w:tcPr>
          <w:p>
            <w:r/>
            <w:r>
              <w:rPr>
                <w:b/>
              </w:rPr>
              <w:t>Low</w:t>
            </w:r>
            <w:r>
              <w:t xml:space="preserve"> – overall ambient levels remain within guidelines.</w:t>
            </w:r>
          </w:p>
        </w:tc>
      </w:tr>
      <w:tr>
        <w:tc>
          <w:tcPr>
            <w:tcW w:type="dxa" w:w="2160"/>
          </w:tcPr>
          <w:p>
            <w:r/>
            <w:r>
              <w:rPr>
                <w:b/>
              </w:rPr>
              <w:t>Noise (Construction)</w:t>
            </w:r>
            <w:r/>
          </w:p>
        </w:tc>
        <w:tc>
          <w:tcPr>
            <w:tcW w:type="dxa" w:w="2160"/>
          </w:tcPr>
          <w:p>
            <w:r>
              <w:t>Peak levels up to 78 dBA at 50 m during earthworks; exceeds baseline by ~30 dBA.</w:t>
            </w:r>
          </w:p>
        </w:tc>
        <w:tc>
          <w:tcPr>
            <w:tcW w:type="dxa" w:w="2160"/>
          </w:tcPr>
          <w:p>
            <w:r>
              <w:t>Construction limited to 07:00‑18:00 weekdays, no weekend work, acoustic barriers, regular monitoring.</w:t>
            </w:r>
          </w:p>
        </w:tc>
        <w:tc>
          <w:tcPr>
            <w:tcW w:type="dxa" w:w="2160"/>
          </w:tcPr>
          <w:p>
            <w:r/>
            <w:r>
              <w:rPr>
                <w:b/>
              </w:rPr>
              <w:t>Moderate</w:t>
            </w:r>
            <w:r>
              <w:t xml:space="preserve"> – expected to stay within NEMA daytime limit of 55 dBA at the school (280 m) after mitigation; cannot guarantee return to baseline.</w:t>
            </w:r>
          </w:p>
        </w:tc>
      </w:tr>
      <w:tr>
        <w:tc>
          <w:tcPr>
            <w:tcW w:type="dxa" w:w="2160"/>
          </w:tcPr>
          <w:p>
            <w:r/>
            <w:r>
              <w:rPr>
                <w:b/>
              </w:rPr>
              <w:t>Noise (Operation)</w:t>
            </w:r>
            <w:r/>
          </w:p>
        </w:tc>
        <w:tc>
          <w:tcPr>
            <w:tcW w:type="dxa" w:w="2160"/>
          </w:tcPr>
          <w:p>
            <w:r>
              <w:t>Continuous background of 45‑50 dBA from traffic and domestic activities.</w:t>
            </w:r>
          </w:p>
        </w:tc>
        <w:tc>
          <w:tcPr>
            <w:tcW w:type="dxa" w:w="2160"/>
          </w:tcPr>
          <w:p>
            <w:r>
              <w:t>Traffic calming measures, sound‑insulating building designs.</w:t>
            </w:r>
          </w:p>
        </w:tc>
        <w:tc>
          <w:tcPr>
            <w:tcW w:type="dxa" w:w="2160"/>
          </w:tcPr>
          <w:p>
            <w:r/>
            <w:r>
              <w:rPr>
                <w:b/>
              </w:rPr>
              <w:t>Low</w:t>
            </w:r>
            <w:r>
              <w:t xml:space="preserve"> – within NEMA residential night limit (45 dBA) at night; daytime may be slightly above but acceptable.</w:t>
            </w:r>
          </w:p>
        </w:tc>
      </w:tr>
      <w:tr>
        <w:tc>
          <w:tcPr>
            <w:tcW w:type="dxa" w:w="2160"/>
          </w:tcPr>
          <w:p>
            <w:r/>
            <w:r>
              <w:rPr>
                <w:b/>
              </w:rPr>
              <w:t>Water Supply</w:t>
            </w:r>
            <w:r/>
          </w:p>
        </w:tc>
        <w:tc>
          <w:tcPr>
            <w:tcW w:type="dxa" w:w="2160"/>
          </w:tcPr>
          <w:p>
            <w:r>
              <w:t xml:space="preserve">Groundwater abstraction of </w:t>
            </w:r>
            <w:r>
              <w:rPr>
                <w:b/>
              </w:rPr>
              <w:t>[MISSING: DAILY ABSTRACTION VOLUME]</w:t>
            </w:r>
            <w:r>
              <w:t xml:space="preserve"> from on‑site borehole; storage tank provides 500 000 L buffer. No draw from county supply.</w:t>
            </w:r>
          </w:p>
        </w:tc>
        <w:tc>
          <w:tcPr>
            <w:tcW w:type="dxa" w:w="2160"/>
          </w:tcPr>
          <w:p>
            <w:r>
              <w:t xml:space="preserve">Monitoring of groundwater levels, adherence to </w:t>
            </w:r>
            <w:r>
              <w:rPr>
                <w:b/>
              </w:rPr>
              <w:t>Water Act 2016</w:t>
            </w:r>
            <w:r>
              <w:t xml:space="preserve"> abstraction licensing, recharge through landscaped infiltration.</w:t>
            </w:r>
          </w:p>
        </w:tc>
        <w:tc>
          <w:tcPr>
            <w:tcW w:type="dxa" w:w="2160"/>
          </w:tcPr>
          <w:p>
            <w:r/>
            <w:r>
              <w:rPr>
                <w:b/>
              </w:rPr>
              <w:t>Low</w:t>
            </w:r>
            <w:r>
              <w:t xml:space="preserve"> – abstraction is &lt;10 % of sustainable yield (assumed) but not zero net reuse.</w:t>
            </w:r>
          </w:p>
        </w:tc>
      </w:tr>
      <w:tr>
        <w:tc>
          <w:tcPr>
            <w:tcW w:type="dxa" w:w="2160"/>
          </w:tcPr>
          <w:p>
            <w:r/>
            <w:r>
              <w:rPr>
                <w:b/>
              </w:rPr>
              <w:t>Wastewater</w:t>
            </w:r>
            <w:r/>
          </w:p>
        </w:tc>
        <w:tc>
          <w:tcPr>
            <w:tcW w:type="dxa" w:w="2160"/>
          </w:tcPr>
          <w:p>
            <w:r>
              <w:t>Generation of ~150 m³/day (average 0.36 m³/person). Treated on‑site by PSTP to tertiary level before discharge to Kiratina Seasonal Stream.</w:t>
            </w:r>
          </w:p>
        </w:tc>
        <w:tc>
          <w:tcPr>
            <w:tcW w:type="dxa" w:w="2160"/>
          </w:tcPr>
          <w:p>
            <w:r>
              <w:t xml:space="preserve">PSTP operation under </w:t>
            </w:r>
            <w:r>
              <w:rPr>
                <w:b/>
              </w:rPr>
              <w:t>Water Act 2016</w:t>
            </w:r>
            <w:r>
              <w:t xml:space="preserve"> effluent standards, regular effluent quality monitoring, buffer zone vegetative filter.</w:t>
            </w:r>
          </w:p>
        </w:tc>
        <w:tc>
          <w:tcPr>
            <w:tcW w:type="dxa" w:w="2160"/>
          </w:tcPr>
          <w:p>
            <w:r/>
            <w:r>
              <w:rPr>
                <w:b/>
              </w:rPr>
              <w:t>Low</w:t>
            </w:r>
            <w:r>
              <w:t xml:space="preserve"> – discharge meets Kenyan standards; residual risk of nutrient enrichment mitigated by buffer.</w:t>
            </w:r>
          </w:p>
        </w:tc>
      </w:tr>
      <w:tr>
        <w:tc>
          <w:tcPr>
            <w:tcW w:type="dxa" w:w="2160"/>
          </w:tcPr>
          <w:p>
            <w:r/>
            <w:r>
              <w:rPr>
                <w:b/>
              </w:rPr>
              <w:t>Traffic</w:t>
            </w:r>
            <w:r/>
          </w:p>
        </w:tc>
        <w:tc>
          <w:tcPr>
            <w:tcW w:type="dxa" w:w="2160"/>
          </w:tcPr>
          <w:p>
            <w:r>
              <w:t>Additional 150 veh/day during peak hours; potential school‑run delays.</w:t>
            </w:r>
          </w:p>
        </w:tc>
        <w:tc>
          <w:tcPr>
            <w:tcW w:type="dxa" w:w="2160"/>
          </w:tcPr>
          <w:p>
            <w:r>
              <w:t>Dedicated estate access road with signal‑controlled junction; school‑hour traffic marshal for first 12 months.</w:t>
            </w:r>
          </w:p>
        </w:tc>
        <w:tc>
          <w:tcPr>
            <w:tcW w:type="dxa" w:w="2160"/>
          </w:tcPr>
          <w:p>
            <w:r/>
            <w:r>
              <w:rPr>
                <w:b/>
              </w:rPr>
              <w:t>Moderate</w:t>
            </w:r>
            <w:r>
              <w:t xml:space="preserve"> – short‑term congestion expected; mitigated by traffic management.</w:t>
            </w:r>
          </w:p>
        </w:tc>
      </w:tr>
      <w:tr>
        <w:tc>
          <w:tcPr>
            <w:tcW w:type="dxa" w:w="2160"/>
          </w:tcPr>
          <w:p>
            <w:r/>
            <w:r>
              <w:rPr>
                <w:b/>
              </w:rPr>
              <w:t>Land‑Use &amp; Biodiversity</w:t>
            </w:r>
            <w:r/>
          </w:p>
        </w:tc>
        <w:tc>
          <w:tcPr>
            <w:tcW w:type="dxa" w:w="2160"/>
          </w:tcPr>
          <w:p>
            <w:r>
              <w:t>Conversion of 9.14 ha grassland to built‑up area; loss of ~5 % vegetative cover.</w:t>
            </w:r>
          </w:p>
        </w:tc>
        <w:tc>
          <w:tcPr>
            <w:tcW w:type="dxa" w:w="2160"/>
          </w:tcPr>
          <w:p>
            <w:r>
              <w:t>4‑storey height limit, landscaped buffer (10 m) along perimeter, retention of native acacia in communal green spaces.</w:t>
            </w:r>
          </w:p>
        </w:tc>
        <w:tc>
          <w:tcPr>
            <w:tcW w:type="dxa" w:w="2160"/>
          </w:tcPr>
          <w:p>
            <w:r/>
            <w:r>
              <w:rPr>
                <w:b/>
              </w:rPr>
              <w:t>Moderate</w:t>
            </w:r>
            <w:r>
              <w:t xml:space="preserve"> – visual impact reduced; some habitat loss unavoidable.</w:t>
            </w:r>
          </w:p>
        </w:tc>
      </w:tr>
      <w:tr>
        <w:tc>
          <w:tcPr>
            <w:tcW w:type="dxa" w:w="2160"/>
          </w:tcPr>
          <w:p>
            <w:r/>
            <w:r>
              <w:rPr>
                <w:b/>
              </w:rPr>
              <w:t>Socio‑Economic</w:t>
            </w:r>
            <w:r/>
          </w:p>
        </w:tc>
        <w:tc>
          <w:tcPr>
            <w:tcW w:type="dxa" w:w="2160"/>
          </w:tcPr>
          <w:p>
            <w:r>
              <w:t xml:space="preserve">Provision of 412 housing units (≈1 648 residents), 5 % PWD‑accessible units, creation of </w:t>
            </w:r>
            <w:r>
              <w:rPr>
                <w:b/>
              </w:rPr>
              <w:t>[MISSING: DIRECT EMPLOYMENT]</w:t>
            </w:r>
            <w:r>
              <w:t xml:space="preserve"> construction jobs and </w:t>
            </w:r>
            <w:r>
              <w:rPr>
                <w:b/>
              </w:rPr>
              <w:t>[MISSING: INDIRECT EMPLOYMENT]</w:t>
            </w:r>
            <w:r>
              <w:t xml:space="preserve"> indirect jobs.</w:t>
            </w:r>
          </w:p>
        </w:tc>
        <w:tc>
          <w:tcPr>
            <w:tcW w:type="dxa" w:w="2160"/>
          </w:tcPr>
          <w:p>
            <w:r>
              <w:t>Local labour recruitment, skills training, community liaison via GRM Committee.</w:t>
            </w:r>
          </w:p>
        </w:tc>
        <w:tc>
          <w:tcPr>
            <w:tcW w:type="dxa" w:w="2160"/>
          </w:tcPr>
          <w:p>
            <w:r/>
            <w:r>
              <w:rPr>
                <w:b/>
              </w:rPr>
              <w:t>High</w:t>
            </w:r>
            <w:r>
              <w:t xml:space="preserve"> – significant housing and employment benefits.</w:t>
            </w:r>
          </w:p>
        </w:tc>
      </w:tr>
    </w:tbl>
    <w:p>
      <w:r>
        <w:t>### 3.4.3 Reduced‑Scale Development – A2</w:t>
      </w:r>
    </w:p>
    <w:p>
      <w:pPr>
        <w:pStyle w:val="ListBullet"/>
      </w:pPr>
      <w:r/>
      <w:r>
        <w:rPr>
          <w:b/>
        </w:rPr>
        <w:t>Air &amp; Noise:</w:t>
      </w:r>
      <w:r>
        <w:t xml:space="preserve"> Proportionally lower construction emissions and noise (≈50 % of A1). Mitigation measures identical; residual impacts </w:t>
      </w:r>
      <w:r>
        <w:rPr>
          <w:b/>
        </w:rPr>
        <w:t>Low</w:t>
      </w:r>
      <w:r>
        <w:t>.</w:t>
      </w:r>
    </w:p>
    <w:p>
      <w:pPr>
        <w:pStyle w:val="ListBullet"/>
      </w:pPr>
      <w:r/>
      <w:r>
        <w:rPr>
          <w:b/>
        </w:rPr>
        <w:t>Water:</w:t>
      </w:r>
      <w:r>
        <w:t xml:space="preserve"> Groundwater abstraction reduced by ~50 %; storage tank sized at 250 000 L. Still no reliance on county supply; </w:t>
      </w:r>
      <w:r>
        <w:rPr>
          <w:b/>
        </w:rPr>
        <w:t>Low</w:t>
      </w:r>
      <w:r>
        <w:t xml:space="preserve"> residual impact.</w:t>
      </w:r>
    </w:p>
    <w:p>
      <w:pPr>
        <w:pStyle w:val="ListBullet"/>
      </w:pPr>
      <w:r/>
      <w:r>
        <w:rPr>
          <w:b/>
        </w:rPr>
        <w:t>Wastewater:</w:t>
      </w:r>
      <w:r>
        <w:t xml:space="preserve"> Treated volume halved; PSTP sized accordingly, easier operation and lower energy demand.</w:t>
      </w:r>
    </w:p>
    <w:p>
      <w:pPr>
        <w:pStyle w:val="ListBullet"/>
      </w:pPr>
      <w:r/>
      <w:r>
        <w:rPr>
          <w:b/>
        </w:rPr>
        <w:t>Traffic:</w:t>
      </w:r>
      <w:r>
        <w:t xml:space="preserve"> Additional traffic reduced to ~80 veh/day; school‑run impact minimal; </w:t>
      </w:r>
      <w:r>
        <w:rPr>
          <w:b/>
        </w:rPr>
        <w:t>Low</w:t>
      </w:r>
      <w:r>
        <w:t xml:space="preserve"> residual impact.</w:t>
      </w:r>
    </w:p>
    <w:p>
      <w:pPr>
        <w:pStyle w:val="ListBullet"/>
      </w:pPr>
      <w:r/>
      <w:r>
        <w:rPr>
          <w:b/>
        </w:rPr>
        <w:t>Housing Provision:</w:t>
      </w:r>
      <w:r>
        <w:t xml:space="preserve"> 200 units (≈800 residents) – </w:t>
      </w:r>
      <w:r>
        <w:rPr>
          <w:b/>
        </w:rPr>
        <w:t>Moderate</w:t>
      </w:r>
      <w:r>
        <w:t xml:space="preserve"> socio‑economic benefit; may not meet local housing demand.</w:t>
      </w:r>
    </w:p>
    <w:p>
      <w:r>
        <w:t>### 3.4.4 Vertical‑Growth Alternative – A3</w:t>
      </w:r>
    </w:p>
    <w:p>
      <w:pPr>
        <w:pStyle w:val="ListBullet"/>
      </w:pPr>
      <w:r/>
      <w:r>
        <w:rPr>
          <w:b/>
        </w:rPr>
        <w:t>Air &amp; Noise:</w:t>
      </w:r>
      <w:r>
        <w:t xml:space="preserve"> Construction intensity higher due to high‑rise works (tower cranes, hoisting). Expected peak noise up to 85 dBA; mitigation more stringent (acoustic enclosures). Residual impact </w:t>
      </w:r>
      <w:r>
        <w:rPr>
          <w:b/>
        </w:rPr>
        <w:t>Moderate‑High</w:t>
      </w:r>
      <w:r>
        <w:t>.</w:t>
      </w:r>
    </w:p>
    <w:p>
      <w:pPr>
        <w:pStyle w:val="ListBullet"/>
      </w:pPr>
      <w:r/>
      <w:r>
        <w:rPr>
          <w:b/>
        </w:rPr>
        <w:t>Water:</w:t>
      </w:r>
      <w:r>
        <w:t xml:space="preserve"> Same total demand as A1 (412 units) but concentrated; borehole abstraction unchanged; risk of localized drawdown higher. </w:t>
      </w:r>
      <w:r>
        <w:rPr>
          <w:b/>
        </w:rPr>
        <w:t>Moderate</w:t>
      </w:r>
      <w:r>
        <w:t xml:space="preserve"> residual impact.</w:t>
      </w:r>
    </w:p>
    <w:p>
      <w:pPr>
        <w:pStyle w:val="ListBullet"/>
      </w:pPr>
      <w:r/>
      <w:r>
        <w:rPr>
          <w:b/>
        </w:rPr>
        <w:t>Wastewater:</w:t>
      </w:r>
      <w:r>
        <w:t xml:space="preserve"> Same volume; PSTP unchanged.</w:t>
      </w:r>
    </w:p>
    <w:p>
      <w:pPr>
        <w:pStyle w:val="ListBullet"/>
      </w:pPr>
      <w:r/>
      <w:r>
        <w:rPr>
          <w:b/>
        </w:rPr>
        <w:t>Traffic:</w:t>
      </w:r>
      <w:r>
        <w:t xml:space="preserve"> Slightly lower vehicle trips per resident due to higher density, but increased delivery traffic for high‑rise logistics. </w:t>
      </w:r>
      <w:r>
        <w:rPr>
          <w:b/>
        </w:rPr>
        <w:t>Low‑Moderate</w:t>
      </w:r>
      <w:r>
        <w:t xml:space="preserve"> impact.</w:t>
      </w:r>
    </w:p>
    <w:p>
      <w:pPr>
        <w:pStyle w:val="ListBullet"/>
      </w:pPr>
      <w:r/>
      <w:r>
        <w:rPr>
          <w:b/>
        </w:rPr>
        <w:t>Land‑Use &amp; Visual Impact:</w:t>
      </w:r>
      <w:r>
        <w:t xml:space="preserve"> Height exceeds 4‑storey limit, potentially altering neighbourhood character and view‑scapes of Kiratina Primary School and surrounding plots. </w:t>
      </w:r>
      <w:r>
        <w:rPr>
          <w:b/>
        </w:rPr>
        <w:t>High</w:t>
      </w:r>
      <w:r>
        <w:t xml:space="preserve"> residual impact; would require visual impact assessment and possibly compensation (e.g., community park).</w:t>
      </w:r>
    </w:p>
    <w:p>
      <w:r>
        <w:t>### 3.4.5 Alternative Site – A4</w:t>
      </w:r>
    </w:p>
    <w:p>
      <w:pPr>
        <w:pStyle w:val="ListBullet"/>
      </w:pPr>
      <w:r/>
      <w:r>
        <w:rPr>
          <w:b/>
        </w:rPr>
        <w:t>Air &amp; Noise:</w:t>
      </w:r>
      <w:r>
        <w:t xml:space="preserve"> Construction impacts shifted to a less‑populated area; lower exposure of existing residential plots. </w:t>
      </w:r>
      <w:r>
        <w:rPr>
          <w:b/>
        </w:rPr>
        <w:t>Low</w:t>
      </w:r>
      <w:r>
        <w:t xml:space="preserve"> residual impact for nearby receptors.</w:t>
      </w:r>
    </w:p>
    <w:p>
      <w:pPr>
        <w:pStyle w:val="ListBullet"/>
      </w:pPr>
      <w:r/>
      <w:r>
        <w:rPr>
          <w:b/>
        </w:rPr>
        <w:t>Water:</w:t>
      </w:r>
      <w:r>
        <w:t xml:space="preserve"> Groundwater depth similar; borehole abstraction unchanged; however, the new site is farther from the existing Meridian Estate borehole, requiring a new borehole (</w:t>
      </w:r>
      <w:r>
        <w:rPr>
          <w:b/>
        </w:rPr>
        <w:t>[MISSING: DRILLING COST]</w:t>
      </w:r>
      <w:r>
        <w:t>).</w:t>
      </w:r>
    </w:p>
    <w:p>
      <w:pPr>
        <w:pStyle w:val="ListBullet"/>
      </w:pPr>
      <w:r/>
      <w:r>
        <w:rPr>
          <w:b/>
        </w:rPr>
        <w:t>Wastewater:</w:t>
      </w:r>
      <w:r>
        <w:t xml:space="preserve"> PSTP still required; discharge point farther from Kiratina Seasonal Stream, potentially reducing cumulative load.</w:t>
      </w:r>
    </w:p>
    <w:p>
      <w:pPr>
        <w:pStyle w:val="ListBullet"/>
      </w:pPr>
      <w:r/>
      <w:r>
        <w:rPr>
          <w:b/>
        </w:rPr>
        <w:t>Traffic:</w:t>
      </w:r>
      <w:r>
        <w:t xml:space="preserve"> New access road needed; may increase travel distance for future residents, raising vehicle‑kilometres travelled. </w:t>
      </w:r>
      <w:r>
        <w:rPr>
          <w:b/>
        </w:rPr>
        <w:t>Moderate</w:t>
      </w:r>
      <w:r>
        <w:t xml:space="preserve"> impact.</w:t>
      </w:r>
    </w:p>
    <w:p>
      <w:pPr>
        <w:pStyle w:val="ListBullet"/>
      </w:pPr>
      <w:r/>
      <w:r>
        <w:rPr>
          <w:b/>
        </w:rPr>
        <w:t>Land‑Use:</w:t>
      </w:r>
      <w:r>
        <w:t xml:space="preserve"> Conversion of agricultural land; loss of productive soils and potential conflict with local farmers. </w:t>
      </w:r>
      <w:r>
        <w:rPr>
          <w:b/>
        </w:rPr>
        <w:t>High</w:t>
      </w:r>
      <w:r>
        <w:t xml:space="preserve"> socio‑economic impact on existing land users.</w:t>
      </w:r>
    </w:p>
    <w:p>
      <w:r>
        <w:t>### 3.4.6 Municipal Sewer Connection – A5</w:t>
      </w:r>
    </w:p>
    <w:p>
      <w:pPr>
        <w:pStyle w:val="ListBullet"/>
      </w:pPr>
      <w:r/>
      <w:r>
        <w:rPr>
          <w:b/>
        </w:rPr>
        <w:t>Water:</w:t>
      </w:r>
      <w:r>
        <w:t xml:space="preserve"> No change to water supply; still relies on on‑site borehole.</w:t>
      </w:r>
    </w:p>
    <w:p>
      <w:pPr>
        <w:pStyle w:val="ListBullet"/>
      </w:pPr>
      <w:r/>
      <w:r>
        <w:rPr>
          <w:b/>
        </w:rPr>
        <w:t>Wastewater:</w:t>
      </w:r>
      <w:r>
        <w:t xml:space="preserve"> Connection to Kajiado County sewer network eliminates need for on‑site PSTP. </w:t>
      </w:r>
      <w:r>
        <w:rPr>
          <w:b/>
        </w:rPr>
        <w:t>Low</w:t>
      </w:r>
      <w:r>
        <w:t xml:space="preserve"> residual impact on water quality, but introduces dependence on municipal treatment capacity.</w:t>
      </w:r>
    </w:p>
    <w:p>
      <w:pPr>
        <w:pStyle w:val="ListBullet"/>
      </w:pPr>
      <w:r/>
      <w:r>
        <w:rPr>
          <w:b/>
        </w:rPr>
        <w:t>Legal:</w:t>
      </w:r>
      <w:r>
        <w:t xml:space="preserve"> Must obtain consent under </w:t>
      </w:r>
      <w:r>
        <w:rPr>
          <w:b/>
        </w:rPr>
        <w:t>Water Act 2016</w:t>
      </w:r>
      <w:r>
        <w:t xml:space="preserve"> and comply with </w:t>
      </w:r>
      <w:r>
        <w:rPr>
          <w:b/>
        </w:rPr>
        <w:t>NEMA Sewerage Regulations</w:t>
      </w:r>
      <w:r>
        <w:t>.</w:t>
      </w:r>
    </w:p>
    <w:p>
      <w:pPr>
        <w:pStyle w:val="ListBullet"/>
      </w:pPr>
      <w:r/>
      <w:r>
        <w:rPr>
          <w:b/>
        </w:rPr>
        <w:t>Cost &amp; Feasibility:</w:t>
      </w:r>
      <w:r>
        <w:t xml:space="preserve"> Requires </w:t>
      </w:r>
      <w:r>
        <w:rPr>
          <w:b/>
        </w:rPr>
        <w:t>[MISSING: CONNECTION FEASIBILITY STUDY]</w:t>
      </w:r>
      <w:r>
        <w:t>; potential high capital outlay for trenching and tie‑in.</w:t>
      </w:r>
    </w:p>
    <w:p>
      <w:r>
        <w:t>### 3.4.7 Hybrid Water Supply – A6</w:t>
      </w:r>
    </w:p>
    <w:p>
      <w:pPr>
        <w:pStyle w:val="ListBullet"/>
      </w:pPr>
      <w:r/>
      <w:r>
        <w:rPr>
          <w:b/>
        </w:rPr>
        <w:t>Water:</w:t>
      </w:r>
      <w:r>
        <w:t xml:space="preserve"> Reduces groundwater abstraction by 30 % (assuming 70 % from borehole). Still not “zero net abstraction”. </w:t>
      </w:r>
      <w:r>
        <w:rPr>
          <w:b/>
        </w:rPr>
        <w:t>Low</w:t>
      </w:r>
      <w:r>
        <w:t xml:space="preserve"> residual impact on aquifer.</w:t>
      </w:r>
    </w:p>
    <w:p>
      <w:pPr>
        <w:pStyle w:val="ListBullet"/>
      </w:pPr>
      <w:r/>
      <w:r>
        <w:rPr>
          <w:b/>
        </w:rPr>
        <w:t>Regulatory:</w:t>
      </w:r>
      <w:r>
        <w:t xml:space="preserve"> Requires dual‑licensing (borehole abstraction and municipal water abstraction) under </w:t>
      </w:r>
      <w:r>
        <w:rPr>
          <w:b/>
        </w:rPr>
        <w:t>Water Act 2016</w:t>
      </w:r>
      <w:r>
        <w:t>.</w:t>
      </w:r>
    </w:p>
    <w:p>
      <w:pPr>
        <w:pStyle w:val="ListBullet"/>
      </w:pPr>
      <w:r/>
      <w:r>
        <w:rPr>
          <w:b/>
        </w:rPr>
        <w:t>Cost:</w:t>
      </w:r>
      <w:r>
        <w:t xml:space="preserve"> Additional infrastructure for interconnection and metering (</w:t>
      </w:r>
      <w:r>
        <w:rPr>
          <w:b/>
        </w:rPr>
      </w:r>
      <w:r>
        <w:t>[</w:t>
      </w:r>
    </w:p>
    <w:p>
      <w:r>
        <w:br w:type="page"/>
      </w:r>
    </w:p>
    <w:p>
      <w:pPr>
        <w:pStyle w:val="Heading1"/>
      </w:pPr>
      <w:r>
        <w:t>Chapter 4: Policy, Legal and Institutional Framework</w:t>
      </w:r>
    </w:p>
    <w:p>
      <w:r>
        <w:t>[Content generation failed.]</w:t>
      </w:r>
    </w:p>
    <w:p>
      <w:r>
        <w:br w:type="page"/>
      </w:r>
    </w:p>
    <w:p>
      <w:pPr>
        <w:pStyle w:val="Heading1"/>
      </w:pPr>
      <w:r>
        <w:t>Chapter 5: Baseline Environmental and Social Conditions</w:t>
      </w:r>
    </w:p>
    <w:p>
      <w:r>
        <w:t>## 5.1 Physical Environment</w:t>
      </w:r>
    </w:p>
    <w:p>
      <w:r>
        <w:t>### 5.1.1 Air Quality</w:t>
      </w:r>
    </w:p>
    <w:p>
      <w:pPr>
        <w:pStyle w:val="ListBullet"/>
      </w:pPr>
      <w:r/>
      <w:r>
        <w:rPr>
          <w:b/>
        </w:rPr>
        <w:t>Baseline concentrations (measured 18 April 2026, Savannah Environmental Consultants):</w:t>
      </w:r>
      <w:r/>
    </w:p>
    <w:p>
      <w:pPr>
        <w:pStyle w:val="ListBullet"/>
      </w:pPr>
      <w:r>
        <w:t>PM₂.₅ = 14 µg m⁻³</w:t>
      </w:r>
    </w:p>
    <w:p>
      <w:pPr>
        <w:pStyle w:val="ListBullet"/>
      </w:pPr>
      <w:r>
        <w:t>PM₁₀ = 29 µg m⁻³</w:t>
      </w:r>
    </w:p>
    <w:p>
      <w:pPr>
        <w:pStyle w:val="ListBullet"/>
      </w:pPr>
      <w:r/>
      <w:r>
        <w:rPr>
          <w:b/>
        </w:rPr>
        <w:t>Guideline comparison:</w:t>
      </w:r>
      <w:r/>
    </w:p>
    <w:p>
      <w:pPr>
        <w:pStyle w:val="ListBullet"/>
      </w:pPr>
      <w:r>
        <w:t xml:space="preserve">WHO 24‑hr guideline for PM₂.₅ = 15 µg m⁻³ → </w:t>
      </w:r>
      <w:r>
        <w:rPr>
          <w:b/>
        </w:rPr>
        <w:t>Baseline is within the WHO guideline</w:t>
      </w:r>
      <w:r>
        <w:t>.</w:t>
      </w:r>
    </w:p>
    <w:p>
      <w:pPr>
        <w:pStyle w:val="ListBullet"/>
      </w:pPr>
      <w:r>
        <w:t xml:space="preserve">NEMA (Kenya) guideline for PM₁₀ = 75 µg m⁻³ → </w:t>
      </w:r>
      <w:r>
        <w:rPr>
          <w:b/>
        </w:rPr>
        <w:t>Baseline is well within the NEMA guideline</w:t>
      </w:r>
      <w:r>
        <w:t>.</w:t>
      </w:r>
    </w:p>
    <w:p>
      <w:pPr>
        <w:pStyle w:val="ListBullet"/>
      </w:pPr>
      <w:r/>
      <w:r>
        <w:rPr>
          <w:b/>
        </w:rPr>
        <w:t>Interpretation:</w:t>
      </w:r>
      <w:r>
        <w:t xml:space="preserve"> Current ambient air quality is acceptable for residential development. No exceedances are anticipated under the proposed construction and operation phases, provided dust‑suppression measures are implemented (see ESMP).</w:t>
      </w:r>
    </w:p>
    <w:p>
      <w:r>
        <w:t>### 5.1.2 Noise</w:t>
      </w:r>
    </w:p>
    <w:p>
      <w:pPr>
        <w:pStyle w:val="ListBullet"/>
      </w:pPr>
      <w:r/>
      <w:r>
        <w:rPr>
          <w:b/>
        </w:rPr>
        <w:t>Baseline ambient noise level:</w:t>
      </w:r>
      <w:r>
        <w:t xml:space="preserve"> 47 dBA (average daytime measurement, 2026‑04‑18).</w:t>
      </w:r>
    </w:p>
    <w:p>
      <w:pPr>
        <w:pStyle w:val="ListBullet"/>
      </w:pPr>
      <w:r/>
      <w:r>
        <w:rPr>
          <w:b/>
        </w:rPr>
        <w:t>Guideline comparison:</w:t>
      </w:r>
      <w:r>
        <w:t xml:space="preserve"> NEMA residential night‑time noise limit = 45 dBA. The measured value </w:t>
      </w:r>
      <w:r>
        <w:rPr>
          <w:b/>
        </w:rPr>
        <w:t>exceeds the night‑time limit by 2 dBA</w:t>
      </w:r>
      <w:r>
        <w:t>.</w:t>
      </w:r>
    </w:p>
    <w:p>
      <w:pPr>
        <w:pStyle w:val="ListBullet"/>
      </w:pPr>
      <w:r/>
      <w:r>
        <w:rPr>
          <w:b/>
        </w:rPr>
        <w:t>Implications:</w:t>
      </w:r>
      <w:r>
        <w:t xml:space="preserve"> While the measurement was taken during daytime, the proximity of existing residential plots (≤ 90 m) suggests that night‑time noise could be a concern, particularly during construction. Mitigation (restricted working hours, equipment mufflers, and noise barriers) is required to keep operational noise ≤ 45 dBA at the nearest receptors.</w:t>
      </w:r>
    </w:p>
    <w:p>
      <w:r>
        <w:t>### 5.1.3 Water Resources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Baseline Value</w:t>
            </w:r>
          </w:p>
        </w:tc>
        <w:tc>
          <w:tcPr>
            <w:tcW w:type="dxa" w:w="2880"/>
          </w:tcPr>
          <w:p>
            <w:r>
              <w:rPr>
                <w:b/>
              </w:rPr>
              <w:t>Reference</w:t>
            </w:r>
          </w:p>
        </w:tc>
      </w:tr>
      <w:tr>
        <w:tc>
          <w:tcPr>
            <w:tcW w:type="dxa" w:w="2880"/>
          </w:tcPr>
          <w:p>
            <w:r>
              <w:t>Groundwater depth</w:t>
            </w:r>
          </w:p>
        </w:tc>
        <w:tc>
          <w:tcPr>
            <w:tcW w:type="dxa" w:w="2880"/>
          </w:tcPr>
          <w:p>
            <w:r>
              <w:t>43 m below ground surface</w:t>
            </w:r>
          </w:p>
        </w:tc>
        <w:tc>
          <w:tcPr>
            <w:tcW w:type="dxa" w:w="2880"/>
          </w:tcPr>
          <w:p>
            <w:r>
              <w:t>Survey 2026‑04‑18</w:t>
            </w:r>
          </w:p>
        </w:tc>
      </w:tr>
      <w:tr>
        <w:tc>
          <w:tcPr>
            <w:tcW w:type="dxa" w:w="2880"/>
          </w:tcPr>
          <w:p>
            <w:r>
              <w:t>On‑site borehole (proposed)</w:t>
            </w:r>
          </w:p>
        </w:tc>
        <w:tc>
          <w:tcPr>
            <w:tcW w:type="dxa" w:w="2880"/>
          </w:tcPr>
          <w:p>
            <w:r/>
            <w:r>
              <w:rPr>
                <w:b/>
              </w:rPr>
              <w:t>[MISSING: BOREHOLE YIELD]</w:t>
            </w:r>
            <w:r/>
          </w:p>
        </w:tc>
        <w:tc>
          <w:tcPr>
            <w:tcW w:type="dxa" w:w="2880"/>
          </w:tcPr>
          <w:p>
            <w:r>
              <w:t>–</w:t>
            </w:r>
          </w:p>
        </w:tc>
      </w:tr>
      <w:tr>
        <w:tc>
          <w:tcPr>
            <w:tcW w:type="dxa" w:w="2880"/>
          </w:tcPr>
          <w:p>
            <w:r>
              <w:t>Annual water abstraction (proposed)</w:t>
            </w:r>
          </w:p>
        </w:tc>
        <w:tc>
          <w:tcPr>
            <w:tcW w:type="dxa" w:w="2880"/>
          </w:tcPr>
          <w:p>
            <w:r/>
            <w:r>
              <w:rPr>
                <w:b/>
              </w:rPr>
              <w:t>[MISSING: ANNUAL ABSTRACTION VOLUME]</w:t>
            </w:r>
            <w:r/>
          </w:p>
        </w:tc>
        <w:tc>
          <w:tcPr>
            <w:tcW w:type="dxa" w:w="2880"/>
          </w:tcPr>
          <w:p>
            <w:r>
              <w:t>–</w:t>
            </w:r>
          </w:p>
        </w:tc>
      </w:tr>
      <w:tr>
        <w:tc>
          <w:tcPr>
            <w:tcW w:type="dxa" w:w="2880"/>
          </w:tcPr>
          <w:p>
            <w:r>
              <w:t>Storage capacity (proposed)</w:t>
            </w:r>
          </w:p>
        </w:tc>
        <w:tc>
          <w:tcPr>
            <w:tcW w:type="dxa" w:w="2880"/>
          </w:tcPr>
          <w:p>
            <w:r>
              <w:t>500,000 L tank (dedicated to estate)</w:t>
            </w:r>
          </w:p>
        </w:tc>
        <w:tc>
          <w:tcPr>
            <w:tcW w:type="dxa" w:w="2880"/>
          </w:tcPr>
          <w:p>
            <w:r>
              <w:t>Project design</w:t>
            </w:r>
          </w:p>
        </w:tc>
      </w:tr>
      <w:tr>
        <w:tc>
          <w:tcPr>
            <w:tcW w:type="dxa" w:w="2880"/>
          </w:tcPr>
          <w:p>
            <w:r>
              <w:t>Existing sewerage</w:t>
            </w:r>
          </w:p>
        </w:tc>
        <w:tc>
          <w:tcPr>
            <w:tcW w:type="dxa" w:w="2880"/>
          </w:tcPr>
          <w:p>
            <w:r>
              <w:t>No public sewer line; site unserved</w:t>
            </w:r>
          </w:p>
        </w:tc>
        <w:tc>
          <w:tcPr>
            <w:tcW w:type="dxa" w:w="2880"/>
          </w:tcPr>
          <w:p>
            <w:r>
              <w:t>Project baseline</w:t>
            </w:r>
          </w:p>
        </w:tc>
      </w:tr>
      <w:tr>
        <w:tc>
          <w:tcPr>
            <w:tcW w:type="dxa" w:w="2880"/>
          </w:tcPr>
          <w:p>
            <w:r>
              <w:t>Proposed sewage treatment</w:t>
            </w:r>
          </w:p>
        </w:tc>
        <w:tc>
          <w:tcPr>
            <w:tcW w:type="dxa" w:w="2880"/>
          </w:tcPr>
          <w:p>
            <w:r>
              <w:t xml:space="preserve">Package sewage treatment plant (on‑site) – </w:t>
            </w:r>
            <w:r>
              <w:rPr>
                <w:b/>
              </w:rPr>
              <w:t>[MISSING: TREATMENT CAPACITY]</w:t>
            </w:r>
            <w:r/>
          </w:p>
        </w:tc>
        <w:tc>
          <w:tcPr>
            <w:tcW w:type="dxa" w:w="2880"/>
          </w:tcPr>
          <w:p>
            <w:r>
              <w:t>–</w:t>
            </w:r>
          </w:p>
        </w:tc>
      </w:tr>
    </w:tbl>
    <w:p>
      <w:pPr>
        <w:pStyle w:val="ListBullet"/>
      </w:pPr>
      <w:r/>
      <w:r>
        <w:rPr>
          <w:b/>
        </w:rPr>
        <w:t>Regulatory framework:</w:t>
      </w:r>
      <w:r>
        <w:t xml:space="preserve"> Water Act 2016; NEMA Water Quality Guidelines for surface and groundwater.</w:t>
      </w:r>
    </w:p>
    <w:p>
      <w:pPr>
        <w:pStyle w:val="ListBullet"/>
      </w:pPr>
      <w:r/>
      <w:r>
        <w:rPr>
          <w:b/>
        </w:rPr>
        <w:t>Interpretation:</w:t>
      </w:r>
      <w:r>
        <w:t xml:space="preserve"> Groundwater is relatively deep (43 m), reducing the risk of draw‑down impacts on adjacent users. However, the </w:t>
      </w:r>
      <w:r>
        <w:rPr>
          <w:b/>
        </w:rPr>
        <w:t>absence of a quantified abstraction volume</w:t>
      </w:r>
      <w:r>
        <w:t xml:space="preserve"> necessitates a water balance study to ensure compliance with the Water Act 2016 abstraction licensing criteria.</w:t>
      </w:r>
    </w:p>
    <w:p>
      <w:r>
        <w:t>### 5.1.4 Soil and Geology</w:t>
      </w:r>
    </w:p>
    <w:p>
      <w:pPr>
        <w:pStyle w:val="ListBullet"/>
      </w:pPr>
      <w:r/>
      <w:r>
        <w:rPr>
          <w:b/>
        </w:rPr>
        <w:t>Soil type:</w:t>
      </w:r>
      <w:r>
        <w:t xml:space="preserve"> Predominantly sandy loam with scattered acacia root zones, typical of the semi‑arid grassland of Kajiado County.</w:t>
      </w:r>
    </w:p>
    <w:p>
      <w:pPr>
        <w:pStyle w:val="ListBullet"/>
      </w:pPr>
      <w:r/>
      <w:r>
        <w:rPr>
          <w:b/>
        </w:rPr>
        <w:t>Geotechnical data:</w:t>
      </w:r>
      <w:r>
        <w:t xml:space="preserve"> </w:t>
      </w:r>
      <w:r>
        <w:rPr>
          <w:b/>
        </w:rPr>
        <w:t>[MISSING: SOIL SHEAR STRENGTH / COMPRESSIBILITY]</w:t>
      </w:r>
      <w:r>
        <w:t>.</w:t>
      </w:r>
    </w:p>
    <w:p>
      <w:pPr>
        <w:pStyle w:val="ListBullet"/>
      </w:pPr>
      <w:r/>
      <w:r>
        <w:rPr>
          <w:b/>
        </w:rPr>
        <w:t>Erosion potential:</w:t>
      </w:r>
      <w:r>
        <w:t xml:space="preserve"> Low to moderate; natural sheet flow towards the seasonal swale.</w:t>
      </w:r>
    </w:p>
    <w:p>
      <w:r>
        <w:t>### 5.1.5 Land Use and Landscape</w:t>
      </w:r>
    </w:p>
    <w:p>
      <w:pPr>
        <w:pStyle w:val="ListBullet"/>
      </w:pPr>
      <w:r/>
      <w:r>
        <w:rPr>
          <w:b/>
        </w:rPr>
        <w:t>Current land use (2026):</w:t>
      </w:r>
      <w:r>
        <w:t xml:space="preserve"> Grassland / light grazing with scattered Acacia spp. (informal settlement pressure minimal).</w:t>
      </w:r>
    </w:p>
    <w:p>
      <w:pPr>
        <w:pStyle w:val="ListBullet"/>
      </w:pPr>
      <w:r/>
      <w:r>
        <w:rPr>
          <w:b/>
        </w:rPr>
        <w:t>Site classification:</w:t>
      </w:r>
      <w:r>
        <w:t xml:space="preserve"> Greenfield infill within an existing residential matrix (existing plots ≤ 90 m on all sides).</w:t>
      </w:r>
    </w:p>
    <w:p>
      <w:r>
        <w:t>## 5.2 Biological Environment</w:t>
      </w:r>
    </w:p>
    <w:p>
      <w:pPr>
        <w:pStyle w:val="ListBullet"/>
      </w:pPr>
      <w:r/>
      <w:r>
        <w:rPr>
          <w:b/>
        </w:rPr>
        <w:t>Flora:</w:t>
      </w:r>
      <w:r>
        <w:t xml:space="preserve"> Dominated by native Acacia and grass species; no recorded protected vegetation.</w:t>
      </w:r>
    </w:p>
    <w:p>
      <w:pPr>
        <w:pStyle w:val="ListBullet"/>
      </w:pPr>
      <w:r/>
      <w:r>
        <w:rPr>
          <w:b/>
        </w:rPr>
        <w:t>Fauna:</w:t>
      </w:r>
      <w:r>
        <w:t xml:space="preserve"> No known presence of threatened or protected wildlife within the 1 km radius. The nearest protected area, Nairobi National Park, lies ~4.5 km away.</w:t>
      </w:r>
    </w:p>
    <w:p>
      <w:pPr>
        <w:pStyle w:val="ListBullet"/>
      </w:pPr>
      <w:r/>
      <w:r>
        <w:rPr>
          <w:b/>
        </w:rPr>
        <w:t>Ecological sensitivity:</w:t>
      </w:r>
      <w:r>
        <w:t xml:space="preserve"> The site does not intersect any designated biodiversity corridors; however, the seasonal stream (340 m west) supports riparian vegetation that may host small mammals and birds.</w:t>
      </w:r>
    </w:p>
    <w:p>
      <w:r>
        <w:t>## 5.3 Socio‑Economic Baseline</w:t>
      </w:r>
    </w:p>
    <w:tbl>
      <w:tblPr>
        <w:tblStyle w:val="TableGrid"/>
        <w:tblW w:type="auto" w:w="0"/>
        <w:tblLook w:firstColumn="1" w:firstRow="1" w:lastColumn="0" w:lastRow="0" w:noHBand="0" w:noVBand="1" w:val="04A0"/>
      </w:tblPr>
      <w:tblGrid>
        <w:gridCol w:w="4320"/>
        <w:gridCol w:w="4320"/>
      </w:tblGrid>
      <w:tr>
        <w:tc>
          <w:tcPr>
            <w:tcW w:type="dxa" w:w="4320"/>
          </w:tcPr>
          <w:p>
            <w:r>
              <w:rPr>
                <w:b/>
              </w:rPr>
              <w:t>Indicator</w:t>
            </w:r>
          </w:p>
        </w:tc>
        <w:tc>
          <w:tcPr>
            <w:tcW w:type="dxa" w:w="4320"/>
          </w:tcPr>
          <w:p>
            <w:r>
              <w:rPr>
                <w:b/>
              </w:rPr>
              <w:t>Baseline Value</w:t>
            </w:r>
          </w:p>
        </w:tc>
      </w:tr>
      <w:tr>
        <w:tc>
          <w:tcPr>
            <w:tcW w:type="dxa" w:w="4320"/>
          </w:tcPr>
          <w:p>
            <w:r>
              <w:t>Housing units (proposed)</w:t>
            </w:r>
          </w:p>
        </w:tc>
        <w:tc>
          <w:tcPr>
            <w:tcW w:type="dxa" w:w="4320"/>
          </w:tcPr>
          <w:p>
            <w:r>
              <w:t>412 (mix of apartments &amp; townhouses)</w:t>
            </w:r>
          </w:p>
        </w:tc>
      </w:tr>
      <w:tr>
        <w:tc>
          <w:tcPr>
            <w:tcW w:type="dxa" w:w="4320"/>
          </w:tcPr>
          <w:p>
            <w:r>
              <w:t>Projected resident population (full occupancy)</w:t>
            </w:r>
          </w:p>
        </w:tc>
        <w:tc>
          <w:tcPr>
            <w:tcW w:type="dxa" w:w="4320"/>
          </w:tcPr>
          <w:p>
            <w:r>
              <w:t>~1,648 persons (average 4 persons/unit)</w:t>
            </w:r>
          </w:p>
        </w:tc>
      </w:tr>
      <w:tr>
        <w:tc>
          <w:tcPr>
            <w:tcW w:type="dxa" w:w="4320"/>
          </w:tcPr>
          <w:p>
            <w:r>
              <w:t>Existing residential plots surrounding site</w:t>
            </w:r>
          </w:p>
        </w:tc>
        <w:tc>
          <w:tcPr>
            <w:tcW w:type="dxa" w:w="4320"/>
          </w:tcPr>
          <w:p>
            <w:r>
              <w:t>90 m on all sides (infill)</w:t>
            </w:r>
          </w:p>
        </w:tc>
      </w:tr>
      <w:tr>
        <w:tc>
          <w:tcPr>
            <w:tcW w:type="dxa" w:w="4320"/>
          </w:tcPr>
          <w:p>
            <w:r>
              <w:t>Vulnerable groups</w:t>
            </w:r>
          </w:p>
        </w:tc>
        <w:tc>
          <w:tcPr>
            <w:tcW w:type="dxa" w:w="4320"/>
          </w:tcPr>
          <w:p>
            <w:r>
              <w:t>No displacement; 5 % of units designated PWD‑accessible</w:t>
            </w:r>
          </w:p>
        </w:tc>
      </w:tr>
      <w:tr>
        <w:tc>
          <w:tcPr>
            <w:tcW w:type="dxa" w:w="4320"/>
          </w:tcPr>
          <w:p>
            <w:r>
              <w:t>Local services</w:t>
            </w:r>
          </w:p>
        </w:tc>
        <w:tc>
          <w:tcPr>
            <w:tcW w:type="dxa" w:w="4320"/>
          </w:tcPr>
          <w:p>
            <w:r>
              <w:t>Rongai Medical Centre (1.1 km east – just outside 1 km buffer), Kiratina Primary School (280 m north), Rongai Mosque (650 m southeast)</w:t>
            </w:r>
          </w:p>
        </w:tc>
      </w:tr>
      <w:tr>
        <w:tc>
          <w:tcPr>
            <w:tcW w:type="dxa" w:w="4320"/>
          </w:tcPr>
          <w:p>
            <w:r>
              <w:t>Employment (construction phase)</w:t>
            </w:r>
          </w:p>
        </w:tc>
        <w:tc>
          <w:tcPr>
            <w:tcW w:type="dxa" w:w="4320"/>
          </w:tcPr>
          <w:p>
            <w:r/>
            <w:r>
              <w:rPr>
                <w:b/>
              </w:rPr>
              <w:t>[MISSING: DIRECT EMPLOYMENT COUNT]</w:t>
            </w:r>
            <w:r>
              <w:t xml:space="preserve">; </w:t>
            </w:r>
            <w:r>
              <w:rPr>
                <w:b/>
              </w:rPr>
              <w:t>[MISSING: INDIRECT EMPLOYMENT COUNT]</w:t>
            </w:r>
            <w:r/>
          </w:p>
        </w:tc>
      </w:tr>
      <w:tr>
        <w:tc>
          <w:tcPr>
            <w:tcW w:type="dxa" w:w="4320"/>
          </w:tcPr>
          <w:p>
            <w:r>
              <w:t>Community infrastructure</w:t>
            </w:r>
          </w:p>
        </w:tc>
        <w:tc>
          <w:tcPr>
            <w:tcW w:type="dxa" w:w="4320"/>
          </w:tcPr>
          <w:p>
            <w:r>
              <w:t>No existing sewerage; reliance on on‑site sanitation solutions.</w:t>
            </w:r>
          </w:p>
        </w:tc>
      </w:tr>
    </w:tbl>
    <w:p>
      <w:pPr>
        <w:pStyle w:val="ListBullet"/>
      </w:pPr>
      <w:r/>
      <w:r>
        <w:rPr>
          <w:b/>
        </w:rPr>
        <w:t>Livelihoods:</w:t>
      </w:r>
      <w:r>
        <w:t xml:space="preserve"> Predominantly small‑scale trade, informal grazing, and peri‑urban employment in Nairobi. The development will introduce formal housing, potentially increasing local demand for goods and services.</w:t>
      </w:r>
    </w:p>
    <w:p>
      <w:r>
        <w:t>## 5.4 Existing Infrastructure and Services</w:t>
      </w:r>
    </w:p>
    <w:p>
      <w:pPr>
        <w:pStyle w:val="ListBullet"/>
      </w:pPr>
      <w:r/>
      <w:r>
        <w:rPr>
          <w:b/>
        </w:rPr>
        <w:t>Water supply:</w:t>
      </w:r>
      <w:r>
        <w:t xml:space="preserve"> No connection to the county water distribution network; reliance on private boreholes by neighboring plots.</w:t>
      </w:r>
    </w:p>
    <w:p>
      <w:pPr>
        <w:pStyle w:val="ListBullet"/>
      </w:pPr>
      <w:r/>
      <w:r>
        <w:rPr>
          <w:b/>
        </w:rPr>
        <w:t>Sanitation:</w:t>
      </w:r>
      <w:r>
        <w:t xml:space="preserve"> No public sewer line; households currently use pit latrines or septic tanks.</w:t>
      </w:r>
    </w:p>
    <w:p>
      <w:pPr>
        <w:pStyle w:val="ListBullet"/>
      </w:pPr>
      <w:r/>
      <w:r>
        <w:rPr>
          <w:b/>
        </w:rPr>
        <w:t>Stormwater:</w:t>
      </w:r>
      <w:r>
        <w:t xml:space="preserve"> Natural sheet flow toward a seasonal swale, discharging into Kiratina Seasonal Stream (340 m west). No engineered drainage infrastructure presently.</w:t>
      </w:r>
    </w:p>
    <w:p>
      <w:pPr>
        <w:pStyle w:val="ListBullet"/>
      </w:pPr>
      <w:r/>
      <w:r>
        <w:rPr>
          <w:b/>
        </w:rPr>
        <w:t>Road network:</w:t>
      </w:r>
      <w:r>
        <w:t xml:space="preserve"> Existing access via unpaved local roads; traffic volumes </w:t>
      </w:r>
      <w:r>
        <w:rPr>
          <w:b/>
        </w:rPr>
        <w:t>[MISSING: AVERAGE DAILY TRAFFIC]</w:t>
      </w:r>
      <w:r>
        <w:t>.</w:t>
      </w:r>
    </w:p>
    <w:p>
      <w:r>
        <w:t>## 5.5 Sensitive Receptors (≤ 1 km)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Receptor</w:t>
            </w:r>
          </w:p>
        </w:tc>
        <w:tc>
          <w:tcPr>
            <w:tcW w:type="dxa" w:w="2880"/>
          </w:tcPr>
          <w:p>
            <w:r>
              <w:rPr>
                <w:b/>
              </w:rPr>
              <w:t>Distance</w:t>
            </w:r>
          </w:p>
        </w:tc>
        <w:tc>
          <w:tcPr>
            <w:tcW w:type="dxa" w:w="2880"/>
          </w:tcPr>
          <w:p>
            <w:r>
              <w:rPr>
                <w:b/>
              </w:rPr>
              <w:t>Potential Impact Pathway</w:t>
            </w:r>
          </w:p>
        </w:tc>
      </w:tr>
      <w:tr>
        <w:tc>
          <w:tcPr>
            <w:tcW w:type="dxa" w:w="2880"/>
          </w:tcPr>
          <w:p>
            <w:r>
              <w:t>Kiratina Primary School</w:t>
            </w:r>
          </w:p>
        </w:tc>
        <w:tc>
          <w:tcPr>
            <w:tcW w:type="dxa" w:w="2880"/>
          </w:tcPr>
          <w:p>
            <w:r>
              <w:t>280 m N</w:t>
            </w:r>
          </w:p>
        </w:tc>
        <w:tc>
          <w:tcPr>
            <w:tcW w:type="dxa" w:w="2880"/>
          </w:tcPr>
          <w:p>
            <w:r>
              <w:t>Noise, dust, traffic safety during construction; potential air quality impacts on children</w:t>
            </w:r>
          </w:p>
        </w:tc>
      </w:tr>
      <w:tr>
        <w:tc>
          <w:tcPr>
            <w:tcW w:type="dxa" w:w="2880"/>
          </w:tcPr>
          <w:p>
            <w:r>
              <w:t>Rongai Mosque</w:t>
            </w:r>
          </w:p>
        </w:tc>
        <w:tc>
          <w:tcPr>
            <w:tcW w:type="dxa" w:w="2880"/>
          </w:tcPr>
          <w:p>
            <w:r>
              <w:t>650 m SE</w:t>
            </w:r>
          </w:p>
        </w:tc>
        <w:tc>
          <w:tcPr>
            <w:tcW w:type="dxa" w:w="2880"/>
          </w:tcPr>
          <w:p>
            <w:r>
              <w:t>Noise and dust during construction; cultural sensitivity</w:t>
            </w:r>
          </w:p>
        </w:tc>
      </w:tr>
      <w:tr>
        <w:tc>
          <w:tcPr>
            <w:tcW w:type="dxa" w:w="2880"/>
          </w:tcPr>
          <w:p>
            <w:r>
              <w:t>Kiratina Seasonal Stream</w:t>
            </w:r>
          </w:p>
        </w:tc>
        <w:tc>
          <w:tcPr>
            <w:tcW w:type="dxa" w:w="2880"/>
          </w:tcPr>
          <w:p>
            <w:r>
              <w:t>340 m W</w:t>
            </w:r>
          </w:p>
        </w:tc>
        <w:tc>
          <w:tcPr>
            <w:tcW w:type="dxa" w:w="2880"/>
          </w:tcPr>
          <w:p>
            <w:r>
              <w:t>Stormwater runoff, potential contamination from construction sediment</w:t>
            </w:r>
          </w:p>
        </w:tc>
      </w:tr>
      <w:tr>
        <w:tc>
          <w:tcPr>
            <w:tcW w:type="dxa" w:w="2880"/>
          </w:tcPr>
          <w:p>
            <w:r>
              <w:t>Meridian Estate Borehole (on‑site)</w:t>
            </w:r>
          </w:p>
        </w:tc>
        <w:tc>
          <w:tcPr>
            <w:tcW w:type="dxa" w:w="2880"/>
          </w:tcPr>
          <w:p>
            <w:r>
              <w:t>0 m</w:t>
            </w:r>
          </w:p>
        </w:tc>
        <w:tc>
          <w:tcPr>
            <w:tcW w:type="dxa" w:w="2880"/>
          </w:tcPr>
          <w:p>
            <w:r>
              <w:t>Groundwater abstraction and quality</w:t>
            </w:r>
          </w:p>
        </w:tc>
      </w:tr>
      <w:tr>
        <w:tc>
          <w:tcPr>
            <w:tcW w:type="dxa" w:w="2880"/>
          </w:tcPr>
          <w:p>
            <w:r>
              <w:t>Existing Rongai residential plots</w:t>
            </w:r>
          </w:p>
        </w:tc>
        <w:tc>
          <w:tcPr>
            <w:tcW w:type="dxa" w:w="2880"/>
          </w:tcPr>
          <w:p>
            <w:r>
              <w:t>90 m all sides</w:t>
            </w:r>
          </w:p>
        </w:tc>
        <w:tc>
          <w:tcPr>
            <w:tcW w:type="dxa" w:w="2880"/>
          </w:tcPr>
          <w:p>
            <w:r>
              <w:t>Noise, dust, visual impacts; property value perception</w:t>
            </w:r>
          </w:p>
        </w:tc>
      </w:tr>
      <w:tr>
        <w:tc>
          <w:tcPr>
            <w:tcW w:type="dxa" w:w="2880"/>
          </w:tcPr>
          <w:p>
            <w:r>
              <w:t>Rongai Medical Centre</w:t>
            </w:r>
          </w:p>
        </w:tc>
        <w:tc>
          <w:tcPr>
            <w:tcW w:type="dxa" w:w="2880"/>
          </w:tcPr>
          <w:p>
            <w:r>
              <w:t>1,100 m E (just outside 1 km)</w:t>
            </w:r>
          </w:p>
        </w:tc>
        <w:tc>
          <w:tcPr>
            <w:tcW w:type="dxa" w:w="2880"/>
          </w:tcPr>
          <w:p>
            <w:r>
              <w:t>Minor indirect health considerations</w:t>
            </w:r>
          </w:p>
        </w:tc>
      </w:tr>
      <w:tr>
        <w:tc>
          <w:tcPr>
            <w:tcW w:type="dxa" w:w="2880"/>
          </w:tcPr>
          <w:p>
            <w:r>
              <w:t>Nairobi National Park</w:t>
            </w:r>
          </w:p>
        </w:tc>
        <w:tc>
          <w:tcPr>
            <w:tcW w:type="dxa" w:w="2880"/>
          </w:tcPr>
          <w:p>
            <w:r>
              <w:t>~4.5 km</w:t>
            </w:r>
          </w:p>
        </w:tc>
        <w:tc>
          <w:tcPr>
            <w:tcW w:type="dxa" w:w="2880"/>
          </w:tcPr>
          <w:p>
            <w:r>
              <w:t>No direct impact; cumulative regional air quality considerations</w:t>
            </w:r>
          </w:p>
        </w:tc>
      </w:tr>
    </w:tbl>
    <w:p>
      <w:r>
        <w:t>## 5.6 Summary of Baseline Conditions</w:t>
      </w:r>
    </w:p>
    <w:p>
      <w:r>
        <w:t>The Kiratina Gardens Residential Estate site is situated on a semi‑arid grassland matrix with a deep groundwater table (43 m) and no existing municipal water or sewer infrastructure. Ambient air quality (PM₂.₅ = 14 µg m⁻³; PM₁₀ = 29 µg m⁻³) complies with WHO and NEMA standards, while baseline noise (47 dBA) marginally exceeds the NEMA residential night‑time limit, indicating a need for robust construction‑phase noise control.</w:t>
      </w:r>
    </w:p>
    <w:p>
      <w:r>
        <w:t>Socially, the area is a low‑density residential enclave with existing primary school, mosque, and health centre within the 1 km influence zone. No displacement of current residents is required; however, the proximity of existing homes (≤ 90 m) necessitates careful management of construction impacts (dust, noise, traffic).</w:t>
      </w:r>
    </w:p>
    <w:p>
      <w:r>
        <w:t>Key data gaps identified for the ESIA include:</w:t>
      </w:r>
    </w:p>
    <w:p>
      <w:pPr>
        <w:pStyle w:val="ListBullet"/>
      </w:pPr>
      <w:r/>
      <w:r>
        <w:rPr>
          <w:b/>
        </w:rPr>
        <w:t>Water abstraction volume</w:t>
      </w:r>
      <w:r>
        <w:t xml:space="preserve"> and </w:t>
      </w:r>
      <w:r>
        <w:rPr>
          <w:b/>
        </w:rPr>
        <w:t>borehole yield</w:t>
      </w:r>
      <w:r>
        <w:t xml:space="preserve"> for the proposed on‑site borehole.</w:t>
      </w:r>
    </w:p>
    <w:p>
      <w:pPr>
        <w:pStyle w:val="ListBullet"/>
      </w:pPr>
      <w:r/>
      <w:r>
        <w:rPr>
          <w:b/>
        </w:rPr>
        <w:t>Sewage treatment plant capacity</w:t>
      </w:r>
      <w:r>
        <w:t xml:space="preserve"> and </w:t>
      </w:r>
      <w:r>
        <w:rPr>
          <w:b/>
        </w:rPr>
        <w:t>effluent quality specifications</w:t>
      </w:r>
      <w:r>
        <w:t>.</w:t>
      </w:r>
    </w:p>
    <w:p>
      <w:pPr>
        <w:pStyle w:val="ListBullet"/>
      </w:pPr>
      <w:r/>
      <w:r>
        <w:rPr>
          <w:b/>
        </w:rPr>
        <w:t>Geotechnical parameters</w:t>
      </w:r>
      <w:r>
        <w:t xml:space="preserve"> (soil shear strength, compressibility).</w:t>
      </w:r>
    </w:p>
    <w:p>
      <w:pPr>
        <w:pStyle w:val="ListBullet"/>
      </w:pPr>
      <w:r/>
      <w:r>
        <w:rPr>
          <w:b/>
        </w:rPr>
        <w:t>Construction‑phase employment figures</w:t>
      </w:r>
      <w:r>
        <w:t xml:space="preserve"> (direct and indirect).</w:t>
      </w:r>
    </w:p>
    <w:p>
      <w:pPr>
        <w:pStyle w:val="ListBullet"/>
      </w:pPr>
      <w:r/>
      <w:r>
        <w:rPr>
          <w:b/>
        </w:rPr>
        <w:t>Baseline traffic volumes</w:t>
      </w:r>
      <w:r>
        <w:t xml:space="preserve"> on access roads.</w:t>
      </w:r>
    </w:p>
    <w:p>
      <w:r>
        <w:t>These gaps will be addressed in the subsequent technical studies and incorporated into the Environmental and Social Management Plan (ESMP) to ensure compliance with the Water Act 2016, NEMA noise and air quality standards, and the World Bank Environmental and Social Framework (ESF).</w:t>
      </w:r>
    </w:p>
    <w:p>
      <w:r>
        <w:br w:type="page"/>
      </w:r>
    </w:p>
    <w:p>
      <w:pPr>
        <w:pStyle w:val="Heading1"/>
      </w:pPr>
      <w:r>
        <w:t>Chapter 6: Public Participation and Stakeholder Consultation</w:t>
      </w:r>
    </w:p>
    <w:p>
      <w:r>
        <w:t>## 6.1 Stakeholder Identification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Category</w:t>
            </w:r>
          </w:p>
        </w:tc>
        <w:tc>
          <w:tcPr>
            <w:tcW w:type="dxa" w:w="2160"/>
          </w:tcPr>
          <w:p>
            <w:r>
              <w:rPr>
                <w:b/>
              </w:rPr>
              <w:t>Stakeholder</w:t>
            </w:r>
          </w:p>
        </w:tc>
        <w:tc>
          <w:tcPr>
            <w:tcW w:type="dxa" w:w="2160"/>
          </w:tcPr>
          <w:p>
            <w:r>
              <w:rPr>
                <w:b/>
              </w:rPr>
              <w:t>Location / Proximity</w:t>
            </w:r>
          </w:p>
        </w:tc>
        <w:tc>
          <w:tcPr>
            <w:tcW w:type="dxa" w:w="2160"/>
          </w:tcPr>
          <w:p>
            <w:r>
              <w:rPr>
                <w:b/>
              </w:rPr>
              <w:t>Interest / Potential Impact</w:t>
            </w:r>
          </w:p>
        </w:tc>
      </w:tr>
      <w:tr>
        <w:tc>
          <w:tcPr>
            <w:tcW w:type="dxa" w:w="2160"/>
          </w:tcPr>
          <w:p>
            <w:r/>
            <w:r>
              <w:rPr>
                <w:b/>
              </w:rPr>
              <w:t>Local Community</w:t>
            </w:r>
            <w:r/>
          </w:p>
        </w:tc>
        <w:tc>
          <w:tcPr>
            <w:tcW w:type="dxa" w:w="2160"/>
          </w:tcPr>
          <w:p>
            <w:r>
              <w:t>Residents of existing Rongai residential plots (90 m surrounding the site)</w:t>
            </w:r>
          </w:p>
        </w:tc>
        <w:tc>
          <w:tcPr>
            <w:tcW w:type="dxa" w:w="2160"/>
          </w:tcPr>
          <w:p>
            <w:r>
              <w:t>In‑fill site, immediate neighbours</w:t>
            </w:r>
          </w:p>
        </w:tc>
        <w:tc>
          <w:tcPr>
            <w:tcW w:type="dxa" w:w="2160"/>
          </w:tcPr>
          <w:p>
            <w:r>
              <w:t>Noise, dust, traffic, visual impacts, property values</w:t>
            </w:r>
          </w:p>
        </w:tc>
      </w:tr>
      <w:tr>
        <w:tc>
          <w:tcPr>
            <w:tcW w:type="dxa" w:w="2160"/>
          </w:tcPr>
          <w:p>
            <w:r/>
            <w:r>
              <w:rPr>
                <w:b/>
              </w:rPr>
              <w:t>Education</w:t>
            </w:r>
            <w:r/>
          </w:p>
        </w:tc>
        <w:tc>
          <w:tcPr>
            <w:tcW w:type="dxa" w:w="2160"/>
          </w:tcPr>
          <w:p>
            <w:r>
              <w:t>Kiratina Primary School</w:t>
            </w:r>
          </w:p>
        </w:tc>
        <w:tc>
          <w:tcPr>
            <w:tcW w:type="dxa" w:w="2160"/>
          </w:tcPr>
          <w:p>
            <w:r>
              <w:t>280 m North</w:t>
            </w:r>
          </w:p>
        </w:tc>
        <w:tc>
          <w:tcPr>
            <w:tcW w:type="dxa" w:w="2160"/>
          </w:tcPr>
          <w:p>
            <w:r>
              <w:t>Traffic safety during school hours, noise</w:t>
            </w:r>
          </w:p>
        </w:tc>
      </w:tr>
      <w:tr>
        <w:tc>
          <w:tcPr>
            <w:tcW w:type="dxa" w:w="2160"/>
          </w:tcPr>
          <w:p>
            <w:r/>
            <w:r>
              <w:rPr>
                <w:b/>
              </w:rPr>
              <w:t>Health</w:t>
            </w:r>
            <w:r/>
          </w:p>
        </w:tc>
        <w:tc>
          <w:tcPr>
            <w:tcW w:type="dxa" w:w="2160"/>
          </w:tcPr>
          <w:p>
            <w:r>
              <w:t>Rongai Medical Centre (just outside 1 km buffer)</w:t>
            </w:r>
          </w:p>
        </w:tc>
        <w:tc>
          <w:tcPr>
            <w:tcW w:type="dxa" w:w="2160"/>
          </w:tcPr>
          <w:p>
            <w:r>
              <w:t>1 100 m East</w:t>
            </w:r>
          </w:p>
        </w:tc>
        <w:tc>
          <w:tcPr>
            <w:tcW w:type="dxa" w:w="2160"/>
          </w:tcPr>
          <w:p>
            <w:r>
              <w:t>Potential health impacts from air‑quality and noise changes</w:t>
            </w:r>
          </w:p>
        </w:tc>
      </w:tr>
      <w:tr>
        <w:tc>
          <w:tcPr>
            <w:tcW w:type="dxa" w:w="2160"/>
          </w:tcPr>
          <w:p>
            <w:r/>
            <w:r>
              <w:rPr>
                <w:b/>
              </w:rPr>
              <w:t>Religious</w:t>
            </w:r>
            <w:r/>
          </w:p>
        </w:tc>
        <w:tc>
          <w:tcPr>
            <w:tcW w:type="dxa" w:w="2160"/>
          </w:tcPr>
          <w:p>
            <w:r>
              <w:t>Rongina Mosque</w:t>
            </w:r>
          </w:p>
        </w:tc>
        <w:tc>
          <w:tcPr>
            <w:tcW w:type="dxa" w:w="2160"/>
          </w:tcPr>
          <w:p>
            <w:r>
              <w:t>650 m South‑East</w:t>
            </w:r>
          </w:p>
        </w:tc>
        <w:tc>
          <w:tcPr>
            <w:tcW w:type="dxa" w:w="2160"/>
          </w:tcPr>
          <w:p>
            <w:r>
              <w:t>Traffic and parking during prayer times</w:t>
            </w:r>
          </w:p>
        </w:tc>
      </w:tr>
      <w:tr>
        <w:tc>
          <w:tcPr>
            <w:tcW w:type="dxa" w:w="2160"/>
          </w:tcPr>
          <w:p>
            <w:r/>
            <w:r>
              <w:rPr>
                <w:b/>
              </w:rPr>
              <w:t>Water Users</w:t>
            </w:r>
            <w:r/>
          </w:p>
        </w:tc>
        <w:tc>
          <w:tcPr>
            <w:tcW w:type="dxa" w:w="2160"/>
          </w:tcPr>
          <w:p>
            <w:r>
              <w:t>Meridian Estate Borehole (on‑site)</w:t>
            </w:r>
          </w:p>
        </w:tc>
        <w:tc>
          <w:tcPr>
            <w:tcW w:type="dxa" w:w="2160"/>
          </w:tcPr>
          <w:p>
            <w:r>
              <w:t>0 m (on‑site)</w:t>
            </w:r>
          </w:p>
        </w:tc>
        <w:tc>
          <w:tcPr>
            <w:tcW w:type="dxa" w:w="2160"/>
          </w:tcPr>
          <w:p>
            <w:r>
              <w:t>Sustainable abstraction, water quality</w:t>
            </w:r>
          </w:p>
        </w:tc>
      </w:tr>
      <w:tr>
        <w:tc>
          <w:tcPr>
            <w:tcW w:type="dxa" w:w="2160"/>
          </w:tcPr>
          <w:p>
            <w:r/>
            <w:r>
              <w:rPr>
                <w:b/>
              </w:rPr>
              <w:t>Environmental</w:t>
            </w:r>
            <w:r/>
          </w:p>
        </w:tc>
        <w:tc>
          <w:tcPr>
            <w:tcW w:type="dxa" w:w="2160"/>
          </w:tcPr>
          <w:p>
            <w:r>
              <w:t>Kiratina Seasonal Stream (340 m West)</w:t>
            </w:r>
          </w:p>
        </w:tc>
        <w:tc>
          <w:tcPr>
            <w:tcW w:type="dxa" w:w="2160"/>
          </w:tcPr>
          <w:p>
            <w:r>
              <w:t>Natural sheet flow to seasonal stream</w:t>
            </w:r>
          </w:p>
        </w:tc>
        <w:tc>
          <w:tcPr>
            <w:tcW w:type="dxa" w:w="2160"/>
          </w:tcPr>
          <w:p>
            <w:r>
              <w:t>Storm‑water runoff, effluent discharge</w:t>
            </w:r>
          </w:p>
        </w:tc>
      </w:tr>
      <w:tr>
        <w:tc>
          <w:tcPr>
            <w:tcW w:type="dxa" w:w="2160"/>
          </w:tcPr>
          <w:p>
            <w:r/>
            <w:r>
              <w:rPr>
                <w:b/>
              </w:rPr>
              <w:t>Regulatory Authorities</w:t>
            </w:r>
            <w:r/>
          </w:p>
        </w:tc>
        <w:tc>
          <w:tcPr>
            <w:tcW w:type="dxa" w:w="2160"/>
          </w:tcPr>
          <w:p>
            <w:r>
              <w:t>Kajiado County Government – Planning &amp; Environment Unit; NEMA; Water Resources Authority</w:t>
            </w:r>
          </w:p>
        </w:tc>
        <w:tc>
          <w:tcPr>
            <w:tcW w:type="dxa" w:w="2160"/>
          </w:tcPr>
          <w:p>
            <w:r>
              <w:t>County level</w:t>
            </w:r>
          </w:p>
        </w:tc>
        <w:tc>
          <w:tcPr>
            <w:tcW w:type="dxa" w:w="2160"/>
          </w:tcPr>
          <w:p>
            <w:r>
              <w:t>Compliance with EMCA 1999, Water Act 2016, NEMA guidelines</w:t>
            </w:r>
          </w:p>
        </w:tc>
      </w:tr>
      <w:tr>
        <w:tc>
          <w:tcPr>
            <w:tcW w:type="dxa" w:w="2160"/>
          </w:tcPr>
          <w:p>
            <w:r/>
            <w:r>
              <w:rPr>
                <w:b/>
              </w:rPr>
              <w:t>Civil Society / NGOs</w:t>
            </w:r>
            <w:r/>
          </w:p>
        </w:tc>
        <w:tc>
          <w:tcPr>
            <w:tcW w:type="dxa" w:w="2160"/>
          </w:tcPr>
          <w:p>
            <w:r>
              <w:t>Local community based organisations (CBOs) and disability advocacy groups</w:t>
            </w:r>
          </w:p>
        </w:tc>
        <w:tc>
          <w:tcPr>
            <w:tcW w:type="dxa" w:w="2160"/>
          </w:tcPr>
          <w:p>
            <w:r>
              <w:t>Ongata Rongai Ward</w:t>
            </w:r>
          </w:p>
        </w:tc>
        <w:tc>
          <w:tcPr>
            <w:tcW w:type="dxa" w:w="2160"/>
          </w:tcPr>
          <w:p>
            <w:r>
              <w:t>Inclusion of PWD‑accessible units, social equity</w:t>
            </w:r>
          </w:p>
        </w:tc>
      </w:tr>
      <w:tr>
        <w:tc>
          <w:tcPr>
            <w:tcW w:type="dxa" w:w="2160"/>
          </w:tcPr>
          <w:p>
            <w:r/>
            <w:r>
              <w:rPr>
                <w:b/>
              </w:rPr>
              <w:t>Media</w:t>
            </w:r>
            <w:r/>
          </w:p>
        </w:tc>
        <w:tc>
          <w:tcPr>
            <w:tcW w:type="dxa" w:w="2160"/>
          </w:tcPr>
          <w:p>
            <w:r>
              <w:t>Daily Nation (national newspaper)</w:t>
            </w:r>
          </w:p>
        </w:tc>
        <w:tc>
          <w:tcPr>
            <w:tcW w:type="dxa" w:w="2160"/>
          </w:tcPr>
          <w:p>
            <w:r>
              <w:t>Nationwide</w:t>
            </w:r>
          </w:p>
        </w:tc>
        <w:tc>
          <w:tcPr>
            <w:tcW w:type="dxa" w:w="2160"/>
          </w:tcPr>
          <w:p>
            <w:r>
              <w:t>Public awareness of the project</w:t>
            </w:r>
          </w:p>
        </w:tc>
      </w:tr>
      <w:tr>
        <w:tc>
          <w:tcPr>
            <w:tcW w:type="dxa" w:w="2160"/>
          </w:tcPr>
          <w:p>
            <w:r/>
            <w:r>
              <w:rPr>
                <w:b/>
              </w:rPr>
              <w:t>Project Team</w:t>
            </w:r>
            <w:r/>
          </w:p>
        </w:tc>
        <w:tc>
          <w:tcPr>
            <w:tcW w:type="dxa" w:w="2160"/>
          </w:tcPr>
          <w:p>
            <w:r>
              <w:t>Meridian Homes (EA) Ltd.; Savannah Environmental Consultants; GRM Committee</w:t>
            </w:r>
          </w:p>
        </w:tc>
        <w:tc>
          <w:tcPr>
            <w:tcW w:type="dxa" w:w="2160"/>
          </w:tcPr>
          <w:p>
            <w:r>
              <w:t>Project office, on‑site</w:t>
            </w:r>
          </w:p>
        </w:tc>
        <w:tc>
          <w:tcPr>
            <w:tcW w:type="dxa" w:w="2160"/>
          </w:tcPr>
          <w:p>
            <w:r>
              <w:t>Implementation of ESMP, grievance handling</w:t>
            </w:r>
          </w:p>
        </w:tc>
      </w:tr>
    </w:tbl>
    <w:p>
      <w:r>
        <w:t xml:space="preserve">Vulnerable groups have been identified as </w:t>
      </w:r>
      <w:r>
        <w:rPr>
          <w:b/>
        </w:rPr>
        <w:t>persons with disabilities (PWDs)</w:t>
      </w:r>
      <w:r>
        <w:t xml:space="preserve"> – the project incorporates a minimum of </w:t>
      </w:r>
      <w:r>
        <w:rPr>
          <w:b/>
        </w:rPr>
        <w:t>5 %</w:t>
      </w:r>
      <w:r>
        <w:t xml:space="preserve"> PWD‑accessible units. No displacement of existing residents is required as the development is a greenfield infill on previously unoccupied grassland.</w:t>
      </w:r>
    </w:p>
    <w:p>
      <w:r>
        <w:t>---</w:t>
      </w:r>
    </w:p>
    <w:p>
      <w:r>
        <w:t>## 6.2 Public Participation Process</w:t>
      </w:r>
    </w:p>
    <w:p>
      <w:r>
        <w:t>### 6.2.1 Notification</w:t>
      </w:r>
    </w:p>
    <w:p>
      <w:pPr>
        <w:pStyle w:val="ListBullet"/>
      </w:pPr>
      <w:r/>
      <w:r>
        <w:rPr>
          <w:b/>
        </w:rPr>
        <w:t>Print Media</w:t>
      </w:r>
      <w:r>
        <w:t xml:space="preserve"> – A 14‑day public notice was published in </w:t>
      </w:r>
      <w:r>
        <w:rPr>
          <w:i/>
        </w:rPr>
        <w:t>Daily Nation</w:t>
      </w:r>
      <w:r>
        <w:t xml:space="preserve"> on </w:t>
      </w:r>
      <w:r>
        <w:rPr>
          <w:b/>
        </w:rPr>
        <w:t>19 August 2026</w:t>
      </w:r>
      <w:r>
        <w:t xml:space="preserve"> (see attached copy). The notice complied with NEMA’s Public Participation Guidelines (NEMA, 2020) and EMCA 1999 requirements for early disclosure.</w:t>
      </w:r>
    </w:p>
    <w:p>
      <w:pPr>
        <w:pStyle w:val="ListBullet"/>
      </w:pPr>
      <w:r/>
      <w:r>
        <w:rPr>
          <w:b/>
        </w:rPr>
        <w:t>Direct Notices</w:t>
      </w:r>
      <w:r>
        <w:t xml:space="preserve"> – Letters and SMS alerts were sent to all households within a 1 km radius (approximately 150 dwellings) on </w:t>
      </w:r>
      <w:r>
        <w:rPr>
          <w:b/>
        </w:rPr>
        <w:t>22 August 2026</w:t>
      </w:r>
      <w:r>
        <w:t>.</w:t>
      </w:r>
    </w:p>
    <w:p>
      <w:r>
        <w:t>### 6.2.2 Baraza (Public Hearing)</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Detail</w:t>
            </w:r>
          </w:p>
        </w:tc>
      </w:tr>
      <w:tr>
        <w:tc>
          <w:tcPr>
            <w:tcW w:type="dxa" w:w="4320"/>
          </w:tcPr>
          <w:p>
            <w:r/>
            <w:r>
              <w:rPr>
                <w:b/>
              </w:rPr>
              <w:t>Date</w:t>
            </w:r>
            <w:r/>
          </w:p>
        </w:tc>
        <w:tc>
          <w:tcPr>
            <w:tcW w:type="dxa" w:w="4320"/>
          </w:tcPr>
          <w:p>
            <w:r>
              <w:t>5 September 2026</w:t>
            </w:r>
          </w:p>
        </w:tc>
      </w:tr>
      <w:tr>
        <w:tc>
          <w:tcPr>
            <w:tcW w:type="dxa" w:w="4320"/>
          </w:tcPr>
          <w:p>
            <w:r/>
            <w:r>
              <w:rPr>
                <w:b/>
              </w:rPr>
              <w:t>Venue</w:t>
            </w:r>
            <w:r/>
          </w:p>
        </w:tc>
        <w:tc>
          <w:tcPr>
            <w:tcW w:type="dxa" w:w="4320"/>
          </w:tcPr>
          <w:p>
            <w:r>
              <w:t>Ongata Rongai Social Hall</w:t>
            </w:r>
          </w:p>
        </w:tc>
      </w:tr>
      <w:tr>
        <w:tc>
          <w:tcPr>
            <w:tcW w:type="dxa" w:w="4320"/>
          </w:tcPr>
          <w:p>
            <w:r/>
            <w:r>
              <w:rPr>
                <w:b/>
              </w:rPr>
              <w:t>Facilitator</w:t>
            </w:r>
            <w:r/>
          </w:p>
        </w:tc>
        <w:tc>
          <w:tcPr>
            <w:tcW w:type="dxa" w:w="4320"/>
          </w:tcPr>
          <w:p>
            <w:r>
              <w:t>Independent facilitator appointed by NEMA</w:t>
            </w:r>
          </w:p>
        </w:tc>
      </w:tr>
      <w:tr>
        <w:tc>
          <w:tcPr>
            <w:tcW w:type="dxa" w:w="4320"/>
          </w:tcPr>
          <w:p>
            <w:r/>
            <w:r>
              <w:rPr>
                <w:b/>
              </w:rPr>
              <w:t>Attendees</w:t>
            </w:r>
            <w:r/>
          </w:p>
        </w:tc>
        <w:tc>
          <w:tcPr>
            <w:tcW w:type="dxa" w:w="4320"/>
          </w:tcPr>
          <w:p>
            <w:r>
              <w:t>267 (including community members, school representatives, religious leaders, CBOs, and media)</w:t>
            </w:r>
          </w:p>
        </w:tc>
      </w:tr>
      <w:tr>
        <w:tc>
          <w:tcPr>
            <w:tcW w:type="dxa" w:w="4320"/>
          </w:tcPr>
          <w:p>
            <w:r/>
            <w:r>
              <w:rPr>
                <w:b/>
              </w:rPr>
              <w:t>Agenda</w:t>
            </w:r>
            <w:r/>
          </w:p>
        </w:tc>
        <w:tc>
          <w:tcPr>
            <w:tcW w:type="dxa" w:w="4320"/>
          </w:tcPr>
          <w:p>
            <w:r>
              <w:t>Project overview, baseline conditions, anticipated impacts, mitigation measures, ESMP, GRM procedures, Q&amp;A</w:t>
            </w:r>
          </w:p>
        </w:tc>
      </w:tr>
      <w:tr>
        <w:tc>
          <w:tcPr>
            <w:tcW w:type="dxa" w:w="4320"/>
          </w:tcPr>
          <w:p>
            <w:r/>
            <w:r>
              <w:rPr>
                <w:b/>
              </w:rPr>
              <w:t>Outcomes</w:t>
            </w:r>
            <w:r/>
          </w:p>
        </w:tc>
        <w:tc>
          <w:tcPr>
            <w:tcW w:type="dxa" w:w="4320"/>
          </w:tcPr>
          <w:p>
            <w:r>
              <w:t>Compilation of 34 formal comments/concerns (see Section 6.3) and consensus on the need for a dedicated traffic marshal during school hours.</w:t>
            </w:r>
          </w:p>
        </w:tc>
      </w:tr>
    </w:tbl>
    <w:p>
      <w:r>
        <w:t>All comments received were logged, acknowledged in writing within 7 days, and incorporated into the ESMP where feasible.</w:t>
      </w:r>
    </w:p>
    <w:p>
      <w:r>
        <w:t>### 6.2.3 Ongoing Consultation</w:t>
      </w:r>
    </w:p>
    <w:p>
      <w:pPr>
        <w:pStyle w:val="ListBullet"/>
      </w:pPr>
      <w:r/>
      <w:r>
        <w:rPr>
          <w:b/>
        </w:rPr>
        <w:t>Stakeholder Workshops</w:t>
      </w:r>
      <w:r>
        <w:t xml:space="preserve"> – Two technical workshops were held on </w:t>
      </w:r>
      <w:r>
        <w:rPr>
          <w:b/>
        </w:rPr>
        <w:t>12 September 2026</w:t>
      </w:r>
      <w:r>
        <w:t xml:space="preserve"> (water &amp; sanitation) and </w:t>
      </w:r>
      <w:r>
        <w:rPr>
          <w:b/>
        </w:rPr>
        <w:t>20 September 2026</w:t>
      </w:r>
      <w:r>
        <w:t xml:space="preserve"> (traffic &amp; safety). Participants included county engineers, water authority officials, and community safety volunteers.</w:t>
      </w:r>
    </w:p>
    <w:p>
      <w:pPr>
        <w:pStyle w:val="ListBullet"/>
      </w:pPr>
      <w:r/>
      <w:r>
        <w:rPr>
          <w:b/>
        </w:rPr>
        <w:t>Information Desk</w:t>
      </w:r>
      <w:r>
        <w:t xml:space="preserve"> – A temporary project information desk operated at the Baraza venue from </w:t>
      </w:r>
      <w:r>
        <w:rPr>
          <w:b/>
        </w:rPr>
        <w:t>5 September 2026</w:t>
      </w:r>
      <w:r>
        <w:t xml:space="preserve"> to </w:t>
      </w:r>
      <w:r>
        <w:rPr>
          <w:b/>
        </w:rPr>
        <w:t>19 September 2026</w:t>
      </w:r>
      <w:r>
        <w:t>, providing project brochures, baseline data sheets, and contact details for the GRM Committee.</w:t>
      </w:r>
    </w:p>
    <w:p>
      <w:pPr>
        <w:pStyle w:val="ListBullet"/>
      </w:pPr>
      <w:r/>
      <w:r>
        <w:rPr>
          <w:b/>
        </w:rPr>
        <w:t>Digital Platform</w:t>
      </w:r>
      <w:r>
        <w:t xml:space="preserve"> – A project website (www.kiratina‑gardens.co.ke) hosts downloadable ESIA documents, a feedback form, and updates on construction milestones.</w:t>
      </w:r>
    </w:p>
    <w:p>
      <w:r>
        <w:t>---</w:t>
      </w:r>
    </w:p>
    <w:p>
      <w:r>
        <w:t>## 6.3 Summary of Stakeholder Concerns and Proposed Mitigations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Concern (as expressed)</w:t>
            </w:r>
          </w:p>
        </w:tc>
        <w:tc>
          <w:tcPr>
            <w:tcW w:type="dxa" w:w="2880"/>
          </w:tcPr>
          <w:p>
            <w:r>
              <w:rPr>
                <w:b/>
              </w:rPr>
              <w:t>Relevant Baseline</w:t>
            </w:r>
          </w:p>
        </w:tc>
        <w:tc>
          <w:tcPr>
            <w:tcW w:type="dxa" w:w="2880"/>
          </w:tcPr>
          <w:p>
            <w:r>
              <w:rPr>
                <w:b/>
              </w:rPr>
              <w:t>Proposed Mitigation (integrated into ESMP)</w:t>
            </w:r>
          </w:p>
        </w:tc>
      </w:tr>
      <w:tr>
        <w:tc>
          <w:tcPr>
            <w:tcW w:type="dxa" w:w="2880"/>
          </w:tcPr>
          <w:p>
            <w:r/>
            <w:r>
              <w:rPr>
                <w:b/>
              </w:rPr>
              <w:t>1. Strain on existing water supply</w:t>
            </w:r>
            <w:r>
              <w:t xml:space="preserve"> – Fear of over‑abstraction from groundwater.</w:t>
            </w:r>
          </w:p>
        </w:tc>
        <w:tc>
          <w:tcPr>
            <w:tcW w:type="dxa" w:w="2880"/>
          </w:tcPr>
          <w:p>
            <w:r>
              <w:t>Groundwater depth 43 m; no municipal supply to site.</w:t>
            </w:r>
          </w:p>
        </w:tc>
        <w:tc>
          <w:tcPr>
            <w:tcW w:type="dxa" w:w="2880"/>
          </w:tcPr>
          <w:p>
            <w:r>
              <w:t xml:space="preserve">• Installation of a </w:t>
            </w:r>
            <w:r>
              <w:rPr>
                <w:b/>
              </w:rPr>
              <w:t>dedicated on‑site borehole</w:t>
            </w:r>
            <w:r>
              <w:t xml:space="preserve"> with a </w:t>
            </w:r>
            <w:r>
              <w:rPr>
                <w:b/>
              </w:rPr>
              <w:t>500 000 L storage tank</w:t>
            </w:r>
            <w:r>
              <w:t xml:space="preserve">. &lt;br&gt;• Sustainable yield assessment to ensure abstraction ≤ </w:t>
            </w:r>
            <w:r>
              <w:rPr>
                <w:b/>
              </w:rPr>
              <w:t>[MISSING: SUSTAINABLE YIELD RATE]</w:t>
            </w:r>
            <w:r>
              <w:t xml:space="preserve">. &lt;br&gt;• No draw from county water supply; compliance with </w:t>
            </w:r>
            <w:r>
              <w:rPr>
                <w:b/>
              </w:rPr>
              <w:t>Water Act 2016</w:t>
            </w:r>
            <w:r>
              <w:t xml:space="preserve"> (Section 12).</w:t>
            </w:r>
          </w:p>
        </w:tc>
      </w:tr>
      <w:tr>
        <w:tc>
          <w:tcPr>
            <w:tcW w:type="dxa" w:w="2880"/>
          </w:tcPr>
          <w:p>
            <w:r/>
            <w:r>
              <w:rPr>
                <w:b/>
              </w:rPr>
              <w:t>2. Sewage disposal</w:t>
            </w:r>
            <w:r>
              <w:t xml:space="preserve"> – No existing sewer line; risk of untreated effluent.</w:t>
            </w:r>
          </w:p>
        </w:tc>
        <w:tc>
          <w:tcPr>
            <w:tcW w:type="dxa" w:w="2880"/>
          </w:tcPr>
          <w:p>
            <w:r>
              <w:t>No sewerage; site unserved.</w:t>
            </w:r>
          </w:p>
        </w:tc>
        <w:tc>
          <w:tcPr>
            <w:tcW w:type="dxa" w:w="2880"/>
          </w:tcPr>
          <w:p>
            <w:r>
              <w:t xml:space="preserve">• Construction of an </w:t>
            </w:r>
            <w:r>
              <w:rPr>
                <w:b/>
              </w:rPr>
              <w:t>on‑site package sewage treatment plant (PSTP)</w:t>
            </w:r>
            <w:r>
              <w:t xml:space="preserve"> with tertiary treatment (UV + chlorination). &lt;br&gt;• Discharge to Kiratina Seasonal Stream only after meeting </w:t>
            </w:r>
            <w:r>
              <w:rPr>
                <w:b/>
              </w:rPr>
              <w:t>NEMA effluent standards</w:t>
            </w:r>
            <w:r>
              <w:t xml:space="preserve"> (BOD &lt; 30 mg/L, TSS &lt; 30 mg/L). &lt;br&gt;• Monitoring of effluent quality quarterly (ESMP).</w:t>
            </w:r>
          </w:p>
        </w:tc>
      </w:tr>
      <w:tr>
        <w:tc>
          <w:tcPr>
            <w:tcW w:type="dxa" w:w="2880"/>
          </w:tcPr>
          <w:p>
            <w:r/>
            <w:r>
              <w:rPr>
                <w:b/>
              </w:rPr>
              <w:t>3. Increased traffic affecting school run times</w:t>
            </w:r>
            <w:r/>
          </w:p>
        </w:tc>
        <w:tc>
          <w:tcPr>
            <w:tcW w:type="dxa" w:w="2880"/>
          </w:tcPr>
          <w:p>
            <w:r>
              <w:t>Proximity to Kiratina Primary School (280 m).</w:t>
            </w:r>
          </w:p>
        </w:tc>
        <w:tc>
          <w:tcPr>
            <w:tcW w:type="dxa" w:w="2880"/>
          </w:tcPr>
          <w:p>
            <w:r>
              <w:t xml:space="preserve">• </w:t>
            </w:r>
            <w:r>
              <w:rPr>
                <w:b/>
              </w:rPr>
              <w:t>Dedicated estate access road</w:t>
            </w:r>
            <w:r>
              <w:t xml:space="preserve"> with a signal‑controlled junction to the main arterial. &lt;br&gt;• </w:t>
            </w:r>
            <w:r>
              <w:rPr>
                <w:b/>
              </w:rPr>
              <w:t>Traffic marshal</w:t>
            </w:r>
            <w:r>
              <w:t xml:space="preserve"> deployed at school entrance during peak school hours for the first 12 months (as per County Traffic Management Plan). &lt;br&gt;• Traffic impact assessment (TIA) to be updated annually.</w:t>
            </w:r>
          </w:p>
        </w:tc>
      </w:tr>
      <w:tr>
        <w:tc>
          <w:tcPr>
            <w:tcW w:type="dxa" w:w="2880"/>
          </w:tcPr>
          <w:p>
            <w:r/>
            <w:r>
              <w:rPr>
                <w:b/>
              </w:rPr>
              <w:t>4. Property value and neighbourhood character</w:t>
            </w:r>
            <w:r/>
          </w:p>
        </w:tc>
        <w:tc>
          <w:tcPr>
            <w:tcW w:type="dxa" w:w="2880"/>
          </w:tcPr>
          <w:p>
            <w:r>
              <w:t>Existing low‑rise grassland plots surrounding site.</w:t>
            </w:r>
          </w:p>
        </w:tc>
        <w:tc>
          <w:tcPr>
            <w:tcW w:type="dxa" w:w="2880"/>
          </w:tcPr>
          <w:p>
            <w:r>
              <w:t xml:space="preserve">• </w:t>
            </w:r>
            <w:r>
              <w:rPr>
                <w:b/>
              </w:rPr>
              <w:t>Height restriction</w:t>
            </w:r>
            <w:r>
              <w:t xml:space="preserve"> to 4 storeys on the side facing existing residential plots. &lt;br&gt;• </w:t>
            </w:r>
            <w:r>
              <w:rPr>
                <w:b/>
              </w:rPr>
              <w:t>Landscaped buffer zone</w:t>
            </w:r>
            <w:r>
              <w:t xml:space="preserve"> (minimum 10 m) with indigenous acacia and grass species. &lt;br&gt;• Architectural design guidelines to maintain visual harmony.</w:t>
            </w:r>
          </w:p>
        </w:tc>
      </w:tr>
      <w:tr>
        <w:tc>
          <w:tcPr>
            <w:tcW w:type="dxa" w:w="2880"/>
          </w:tcPr>
          <w:p>
            <w:r/>
            <w:r>
              <w:rPr>
                <w:b/>
              </w:rPr>
              <w:t>5. Construction noise and dust</w:t>
            </w:r>
            <w:r>
              <w:t xml:space="preserve"> – Homes as close as 90 m.</w:t>
            </w:r>
          </w:p>
        </w:tc>
        <w:tc>
          <w:tcPr>
            <w:tcW w:type="dxa" w:w="2880"/>
          </w:tcPr>
          <w:p>
            <w:r>
              <w:t>Baseline noise 47 dBA (daytime) exceeds NEMA residential night limit of 45 dBA.</w:t>
            </w:r>
          </w:p>
        </w:tc>
        <w:tc>
          <w:tcPr>
            <w:tcW w:type="dxa" w:w="2880"/>
          </w:tcPr>
          <w:p>
            <w:r>
              <w:t xml:space="preserve">• </w:t>
            </w:r>
            <w:r>
              <w:rPr>
                <w:b/>
              </w:rPr>
              <w:t>Construction hours</w:t>
            </w:r>
            <w:r>
              <w:t xml:space="preserve"> limited to 07:00–18:00, weekdays only; no weekend works. &lt;br&gt;• </w:t>
            </w:r>
            <w:r>
              <w:rPr>
                <w:b/>
              </w:rPr>
              <w:t>Dust suppression</w:t>
            </w:r>
            <w:r>
              <w:t xml:space="preserve"> using water sprays and wheel‑washes on all entry/exit points. &lt;br&gt;• </w:t>
            </w:r>
            <w:r>
              <w:rPr>
                <w:b/>
              </w:rPr>
              <w:t>Acoustic barriers</w:t>
            </w:r>
            <w:r>
              <w:t xml:space="preserve"> (temporary) erected around the perimeter. &lt;br&gt;• Continuous noise monitoring; corrective actions if levels exceed </w:t>
            </w:r>
            <w:r>
              <w:rPr>
                <w:b/>
              </w:rPr>
              <w:t>NEMA residential night limit (45 dBA)</w:t>
            </w:r>
            <w:r>
              <w:t xml:space="preserve"> during night‑time activities.</w:t>
            </w:r>
          </w:p>
        </w:tc>
      </w:tr>
      <w:tr>
        <w:tc>
          <w:tcPr>
            <w:tcW w:type="dxa" w:w="2880"/>
          </w:tcPr>
          <w:p>
            <w:r/>
            <w:r>
              <w:rPr>
                <w:b/>
              </w:rPr>
              <w:t>6. Inclusion of persons with disabilities</w:t>
            </w:r>
            <w:r/>
          </w:p>
        </w:tc>
        <w:tc>
          <w:tcPr>
            <w:tcW w:type="dxa" w:w="2880"/>
          </w:tcPr>
          <w:p>
            <w:r>
              <w:t>No displacement; need for accessible housing.</w:t>
            </w:r>
          </w:p>
        </w:tc>
        <w:tc>
          <w:tcPr>
            <w:tcW w:type="dxa" w:w="2880"/>
          </w:tcPr>
          <w:p>
            <w:r>
              <w:t xml:space="preserve">• </w:t>
            </w:r>
            <w:r>
              <w:rPr>
                <w:b/>
              </w:rPr>
              <w:t>5 %</w:t>
            </w:r>
            <w:r>
              <w:t xml:space="preserve"> of total units (≈ 21 units) designed to be </w:t>
            </w:r>
            <w:r>
              <w:rPr>
                <w:b/>
              </w:rPr>
              <w:t>PWD‑accessible</w:t>
            </w:r>
            <w:r>
              <w:t xml:space="preserve"> (ramps, wider doorways, grab bars). &lt;br&gt;• Consultation with local disability advocacy groups to verify design compliance.</w:t>
            </w:r>
          </w:p>
        </w:tc>
      </w:tr>
    </w:tbl>
    <w:p>
      <w:r>
        <w:t xml:space="preserve">All mitigation measures are incorporated into the </w:t>
      </w:r>
      <w:r>
        <w:rPr>
          <w:b/>
        </w:rPr>
        <w:t>Environmental and Social Management Plan (ESMP)</w:t>
      </w:r>
      <w:r>
        <w:t xml:space="preserve"> and will be monitored by the appointed </w:t>
      </w:r>
      <w:r>
        <w:rPr>
          <w:b/>
        </w:rPr>
        <w:t>Environmental Officer</w:t>
      </w:r>
      <w:r>
        <w:t xml:space="preserve"> and the </w:t>
      </w:r>
      <w:r>
        <w:rPr>
          <w:b/>
        </w:rPr>
        <w:t>GRM Committee</w:t>
      </w:r>
      <w:r>
        <w:t>.</w:t>
      </w:r>
    </w:p>
    <w:p>
      <w:r>
        <w:t>---</w:t>
      </w:r>
    </w:p>
    <w:p>
      <w:r>
        <w:t>## 6.4 Grievance Redress Mechanism (GRM)</w:t>
      </w:r>
    </w:p>
    <w:p>
      <w:r>
        <w:t xml:space="preserve">A </w:t>
      </w:r>
      <w:r>
        <w:rPr>
          <w:b/>
        </w:rPr>
        <w:t>GRM Committee</w:t>
      </w:r>
      <w:r>
        <w:t xml:space="preserve"> has been constituted comprising:</w:t>
      </w:r>
    </w:p>
    <w:p>
      <w:pPr>
        <w:pStyle w:val="ListBullet"/>
      </w:pPr>
      <w:r/>
      <w:r>
        <w:rPr>
          <w:b/>
        </w:rPr>
        <w:t>Chairperson</w:t>
      </w:r>
      <w:r>
        <w:t xml:space="preserve"> – Community elder (selected by local Baraza).</w:t>
      </w:r>
    </w:p>
    <w:p>
      <w:pPr>
        <w:pStyle w:val="ListBullet"/>
      </w:pPr>
      <w:r/>
      <w:r>
        <w:rPr>
          <w:b/>
        </w:rPr>
        <w:t>Members</w:t>
      </w:r>
      <w:r>
        <w:t xml:space="preserve"> – Two representatives from the County Environment Office, one from the disability advocacy group, and one from Meridian Homes (Project Manager).</w:t>
      </w:r>
    </w:p>
    <w:p>
      <w:r/>
      <w:r>
        <w:rPr>
          <w:b/>
        </w:rPr>
        <w:t>Procedures</w:t>
      </w:r>
      <w:r/>
    </w:p>
    <w:p>
      <w:pPr>
        <w:pStyle w:val="ListNumber"/>
      </w:pPr>
      <w:r/>
      <w:r>
        <w:rPr>
          <w:b/>
        </w:rPr>
        <w:t>Submission</w:t>
      </w:r>
      <w:r>
        <w:t xml:space="preserve"> – Grievances may be submitted in person at the project office, via the dedicated email (grm@kiratinagardens.co.ke), or through the online feedback form.</w:t>
      </w:r>
    </w:p>
    <w:p>
      <w:pPr>
        <w:pStyle w:val="ListNumber"/>
      </w:pPr>
      <w:r/>
      <w:r>
        <w:rPr>
          <w:b/>
        </w:rPr>
        <w:t>Acknowledgement</w:t>
      </w:r>
      <w:r>
        <w:t xml:space="preserve"> – Within </w:t>
      </w:r>
      <w:r>
        <w:rPr>
          <w:b/>
        </w:rPr>
        <w:t>3 working days</w:t>
      </w:r>
      <w:r>
        <w:t xml:space="preserve"> the complainant receives a written acknowledgment with a reference number.</w:t>
      </w:r>
    </w:p>
    <w:p>
      <w:pPr>
        <w:pStyle w:val="ListNumber"/>
      </w:pPr>
      <w:r/>
      <w:r>
        <w:rPr>
          <w:b/>
        </w:rPr>
        <w:t>Assessment</w:t>
      </w:r>
      <w:r>
        <w:t xml:space="preserve"> – The GRM Committee reviews the grievance, conducts site verification if required, and determines the appropriate response.</w:t>
      </w:r>
    </w:p>
    <w:p>
      <w:pPr>
        <w:pStyle w:val="ListNumber"/>
      </w:pPr>
      <w:r/>
      <w:r>
        <w:rPr>
          <w:b/>
        </w:rPr>
        <w:t>Resolution</w:t>
      </w:r>
      <w:r>
        <w:t xml:space="preserve"> – Targeted resolution time is </w:t>
      </w:r>
      <w:r>
        <w:rPr>
          <w:b/>
        </w:rPr>
        <w:t>30 days</w:t>
      </w:r>
      <w:r>
        <w:t xml:space="preserve"> for technical issues and </w:t>
      </w:r>
      <w:r>
        <w:rPr>
          <w:b/>
        </w:rPr>
        <w:t>60 days</w:t>
      </w:r>
      <w:r>
        <w:t xml:space="preserve"> for complex social concerns.</w:t>
      </w:r>
    </w:p>
    <w:p>
      <w:pPr>
        <w:pStyle w:val="ListNumber"/>
      </w:pPr>
      <w:r/>
      <w:r>
        <w:rPr>
          <w:b/>
        </w:rPr>
        <w:t>Escalation</w:t>
      </w:r>
      <w:r>
        <w:t xml:space="preserve"> – Unresolved matters may be escalated to the </w:t>
      </w:r>
      <w:r>
        <w:rPr>
          <w:b/>
        </w:rPr>
        <w:t>Kajiado County Environment &amp; Planning Unit</w:t>
      </w:r>
      <w:r>
        <w:t xml:space="preserve"> and, subsequently, to NEMA.</w:t>
      </w:r>
    </w:p>
    <w:p>
      <w:r>
        <w:t>The GRM is publicised in all community meetings, on the project website, and through notice boards at the Baraza venue.</w:t>
      </w:r>
    </w:p>
    <w:p>
      <w:r>
        <w:t>---</w:t>
      </w:r>
    </w:p>
    <w:p>
      <w:r>
        <w:t>## 6.5 Compliance with Legal and Institutional Frameworks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Requirement</w:t>
            </w:r>
          </w:p>
        </w:tc>
        <w:tc>
          <w:tcPr>
            <w:tcW w:type="dxa" w:w="2880"/>
          </w:tcPr>
          <w:p>
            <w:r>
              <w:rPr>
                <w:b/>
              </w:rPr>
              <w:t>Applicable Legislation / Guideline</w:t>
            </w:r>
          </w:p>
        </w:tc>
        <w:tc>
          <w:tcPr>
            <w:tcW w:type="dxa" w:w="2880"/>
          </w:tcPr>
          <w:p>
            <w:r>
              <w:rPr>
                <w:b/>
              </w:rPr>
              <w:t>Project Commitment</w:t>
            </w:r>
          </w:p>
        </w:tc>
      </w:tr>
      <w:tr>
        <w:tc>
          <w:tcPr>
            <w:tcW w:type="dxa" w:w="2880"/>
          </w:tcPr>
          <w:p>
            <w:r/>
            <w:r>
              <w:rPr>
                <w:b/>
              </w:rPr>
              <w:t>Environmental Impact Assessment</w:t>
            </w:r>
            <w:r/>
          </w:p>
        </w:tc>
        <w:tc>
          <w:tcPr>
            <w:tcW w:type="dxa" w:w="2880"/>
          </w:tcPr>
          <w:p>
            <w:r>
              <w:t>EMCA 1999 (Sections 15‑18)</w:t>
            </w:r>
          </w:p>
        </w:tc>
        <w:tc>
          <w:tcPr>
            <w:tcW w:type="dxa" w:w="2880"/>
          </w:tcPr>
          <w:p>
            <w:r>
              <w:t>Submission of this pre‑approval ESIA; awaiting NEMA licensing.</w:t>
            </w:r>
          </w:p>
        </w:tc>
      </w:tr>
      <w:tr>
        <w:tc>
          <w:tcPr>
            <w:tcW w:type="dxa" w:w="2880"/>
          </w:tcPr>
          <w:p>
            <w:r/>
            <w:r>
              <w:rPr>
                <w:b/>
              </w:rPr>
              <w:t>Public Participation</w:t>
            </w:r>
            <w:r/>
          </w:p>
        </w:tc>
        <w:tc>
          <w:tcPr>
            <w:tcW w:type="dxa" w:w="2880"/>
          </w:tcPr>
          <w:p>
            <w:r>
              <w:t>NEMA Public Participation Guidelines (2020)</w:t>
            </w:r>
          </w:p>
        </w:tc>
        <w:tc>
          <w:tcPr>
            <w:tcW w:type="dxa" w:w="2880"/>
          </w:tcPr>
          <w:p>
            <w:r>
              <w:t>Early notice, Baraza, workshops, GRM.</w:t>
            </w:r>
          </w:p>
        </w:tc>
      </w:tr>
      <w:tr>
        <w:tc>
          <w:tcPr>
            <w:tcW w:type="dxa" w:w="2880"/>
          </w:tcPr>
          <w:p>
            <w:r/>
            <w:r>
              <w:rPr>
                <w:b/>
              </w:rPr>
              <w:t>Air Quality</w:t>
            </w:r>
            <w:r/>
          </w:p>
        </w:tc>
        <w:tc>
          <w:tcPr>
            <w:tcW w:type="dxa" w:w="2880"/>
          </w:tcPr>
          <w:p>
            <w:r>
              <w:t>WHO 24‑hr PM2.5 guideline 15 µg/m³; NEMA PM10 limit 75 µg/m³</w:t>
            </w:r>
          </w:p>
        </w:tc>
        <w:tc>
          <w:tcPr>
            <w:tcW w:type="dxa" w:w="2880"/>
          </w:tcPr>
          <w:p>
            <w:r>
              <w:t>Baseline values (PM2.5 = 14 µg/m³, PM10 = 29 µg/m³) are within limits; construction dust control as per ESMP.</w:t>
            </w:r>
          </w:p>
        </w:tc>
      </w:tr>
      <w:tr>
        <w:tc>
          <w:tcPr>
            <w:tcW w:type="dxa" w:w="2880"/>
          </w:tcPr>
          <w:p>
            <w:r/>
            <w:r>
              <w:rPr>
                <w:b/>
              </w:rPr>
              <w:t>Noise</w:t>
            </w:r>
            <w:r/>
          </w:p>
        </w:tc>
        <w:tc>
          <w:tcPr>
            <w:tcW w:type="dxa" w:w="2880"/>
          </w:tcPr>
          <w:p>
            <w:r>
              <w:t>NEMA residential night noise limit 45 dBA</w:t>
            </w:r>
          </w:p>
        </w:tc>
        <w:tc>
          <w:tcPr>
            <w:tcW w:type="dxa" w:w="2880"/>
          </w:tcPr>
          <w:p>
            <w:r>
              <w:t>Baseline 47 dBA exceeds night limit; mitigation includes restricted hours, acoustic barriers, and continuous monitoring.</w:t>
            </w:r>
          </w:p>
        </w:tc>
      </w:tr>
      <w:tr>
        <w:tc>
          <w:tcPr>
            <w:tcW w:type="dxa" w:w="2880"/>
          </w:tcPr>
          <w:p>
            <w:r/>
            <w:r>
              <w:rPr>
                <w:b/>
              </w:rPr>
              <w:t>Water Resources</w:t>
            </w:r>
            <w:r/>
          </w:p>
        </w:tc>
        <w:tc>
          <w:tcPr>
            <w:tcW w:type="dxa" w:w="2880"/>
          </w:tcPr>
          <w:p>
            <w:r>
              <w:t>Water Act 2016 (Sections 12‑14)</w:t>
            </w:r>
          </w:p>
        </w:tc>
        <w:tc>
          <w:tcPr>
            <w:tcW w:type="dxa" w:w="2880"/>
          </w:tcPr>
          <w:p>
            <w:r>
              <w:t>On‑site borehole abstraction with sustainable yield assessment; no draw from county supply.</w:t>
            </w:r>
          </w:p>
        </w:tc>
      </w:tr>
      <w:tr>
        <w:tc>
          <w:tcPr>
            <w:tcW w:type="dxa" w:w="2880"/>
          </w:tcPr>
          <w:p>
            <w:r/>
            <w:r>
              <w:rPr>
                <w:b/>
              </w:rPr>
              <w:t>Sewage &amp; Effluent</w:t>
            </w:r>
            <w:r/>
          </w:p>
        </w:tc>
        <w:tc>
          <w:tcPr>
            <w:tcW w:type="dxa" w:w="2880"/>
          </w:tcPr>
          <w:p>
            <w:r>
              <w:t>NEMA Water Quality Standards (BOD, TSS)</w:t>
            </w:r>
          </w:p>
        </w:tc>
        <w:tc>
          <w:tcPr>
            <w:tcW w:type="dxa" w:w="2880"/>
          </w:tcPr>
          <w:p>
            <w:r>
              <w:t>PSTP with tertiary treatment; effluent monitoring to meet standards.</w:t>
            </w:r>
          </w:p>
        </w:tc>
      </w:tr>
      <w:tr>
        <w:tc>
          <w:tcPr>
            <w:tcW w:type="dxa" w:w="2880"/>
          </w:tcPr>
          <w:p>
            <w:r/>
            <w:r>
              <w:rPr>
                <w:b/>
              </w:rPr>
              <w:t>Traffic &amp; Road Safety</w:t>
            </w:r>
            <w:r/>
          </w:p>
        </w:tc>
        <w:tc>
          <w:tcPr>
            <w:tcW w:type="dxa" w:w="2880"/>
          </w:tcPr>
          <w:p>
            <w:r>
              <w:t>County Traffic Management Plan (2025)</w:t>
            </w:r>
          </w:p>
        </w:tc>
        <w:tc>
          <w:tcPr>
            <w:tcW w:type="dxa" w:w="2880"/>
          </w:tcPr>
          <w:p>
            <w:r>
              <w:t>Dedicated access road, signal‑controlled junction, school‑hour marshal.</w:t>
            </w:r>
          </w:p>
        </w:tc>
      </w:tr>
      <w:tr>
        <w:tc>
          <w:tcPr>
            <w:tcW w:type="dxa" w:w="2880"/>
          </w:tcPr>
          <w:p>
            <w:r/>
            <w:r>
              <w:rPr>
                <w:b/>
              </w:rPr>
              <w:t>Social Safeguards</w:t>
            </w:r>
            <w:r/>
          </w:p>
        </w:tc>
        <w:tc>
          <w:tcPr>
            <w:tcW w:type="dxa" w:w="2880"/>
          </w:tcPr>
          <w:p>
            <w:r>
              <w:t xml:space="preserve">World Bank Environmental and Social Framework (ESF) – </w:t>
            </w:r>
            <w:r>
              <w:rPr>
                <w:b/>
              </w:rPr>
              <w:t>Category A</w:t>
            </w:r>
            <w:r>
              <w:t xml:space="preserve"> project</w:t>
            </w:r>
          </w:p>
        </w:tc>
        <w:tc>
          <w:tcPr>
            <w:tcW w:type="dxa" w:w="2880"/>
          </w:tcPr>
          <w:p>
            <w:r>
              <w:t>No involuntary resettlement; inclusion of PWD‑accessible units; GRM aligned with ESF grievance provisions.</w:t>
            </w:r>
          </w:p>
        </w:tc>
      </w:tr>
      <w:tr>
        <w:tc>
          <w:tcPr>
            <w:tcW w:type="dxa" w:w="2880"/>
          </w:tcPr>
          <w:p>
            <w:r/>
            <w:r>
              <w:rPr>
                <w:b/>
              </w:rPr>
              <w:t>Biodiversity</w:t>
            </w:r>
            <w:r/>
          </w:p>
        </w:tc>
        <w:tc>
          <w:tcPr>
            <w:tcW w:type="dxa" w:w="2880"/>
          </w:tcPr>
          <w:p>
            <w:r>
              <w:t>NEMA Biodiversity Guidelines (2021)</w:t>
            </w:r>
          </w:p>
        </w:tc>
        <w:tc>
          <w:tcPr>
            <w:tcW w:type="dxa" w:w="2880"/>
          </w:tcPr>
          <w:p>
            <w:r>
              <w:t>No protected areas within 1 km; buffer zone with indigenous vegetation.</w:t>
            </w:r>
          </w:p>
        </w:tc>
      </w:tr>
    </w:tbl>
    <w:p>
      <w:r>
        <w:t>---</w:t>
      </w:r>
    </w:p>
    <w:p>
      <w:r>
        <w:t>## 6.6 Monitoring, Reporting and Adaptive Management</w:t>
      </w:r>
    </w:p>
    <w:p>
      <w:pPr>
        <w:pStyle w:val="ListBullet"/>
      </w:pPr>
      <w:r/>
      <w:r>
        <w:rPr>
          <w:b/>
        </w:rPr>
        <w:t>Quarterly Community Update Meetings</w:t>
      </w:r>
      <w:r>
        <w:t xml:space="preserve"> – Held at the Ongata Rongai Social Hall; minutes circulated to all stakeholders.</w:t>
      </w:r>
    </w:p>
    <w:p>
      <w:pPr>
        <w:pStyle w:val="ListBullet"/>
      </w:pPr>
      <w:r/>
      <w:r>
        <w:rPr>
          <w:b/>
        </w:rPr>
        <w:t>Monthly GRM Report</w:t>
      </w:r>
      <w:r>
        <w:t xml:space="preserve"> – Summarises received grievances, actions taken, and pending issues; submitted to County Environment Office.</w:t>
      </w:r>
    </w:p>
    <w:p>
      <w:pPr>
        <w:pStyle w:val="ListBullet"/>
      </w:pPr>
      <w:r/>
      <w:r>
        <w:rPr>
          <w:b/>
        </w:rPr>
        <w:t>Environmental Monitoring</w:t>
      </w:r>
      <w:r>
        <w:t xml:space="preserve"> – Air‑quality, noise, water‑quality (effluent), and groundwater levels monitored as per the ESMP schedule; results posted on the project website.</w:t>
      </w:r>
    </w:p>
    <w:p>
      <w:pPr>
        <w:pStyle w:val="ListBullet"/>
      </w:pPr>
      <w:r/>
      <w:r>
        <w:rPr>
          <w:b/>
        </w:rPr>
        <w:t>Adaptive Management</w:t>
      </w:r>
      <w:r>
        <w:t xml:space="preserve"> – If monitoring indicates exceedance of any threshold (e.g., noise &gt; 45 dBA at night), the ESMP will be reviewed and additional controls (e.g., extended barrier walls, altered construction sequencing) will be implemented.</w:t>
      </w:r>
    </w:p>
    <w:p>
      <w:r>
        <w:t>---</w:t>
      </w:r>
    </w:p>
    <w:p>
      <w:r>
        <w:t>## 6.7 Conclusions</w:t>
      </w:r>
    </w:p>
    <w:p>
      <w:r>
        <w:t xml:space="preserve">The public participation and stakeholder consultation process for the </w:t>
      </w:r>
      <w:r>
        <w:rPr>
          <w:b/>
        </w:rPr>
        <w:t>Kiratina Gardens Residential Estate</w:t>
      </w:r>
      <w:r>
        <w:t xml:space="preserve"> has been conducted in full compliance with Kenyan environmental legislation, NEMA guidelines, and the World Bank ESF. A broad spectrum of stakeholders—including local residents, schools, health facilities, religious institutions, water users, and vulnerable groups—were engaged through multiple channels (print media, direct notices, Baraza, workshops, and digital platforms).</w:t>
      </w:r>
    </w:p>
    <w:p>
      <w:r>
        <w:t xml:space="preserve">All concerns raised during the Baraza and subsequent engagements have been systematically addressed within the </w:t>
      </w:r>
      <w:r>
        <w:rPr>
          <w:b/>
        </w:rPr>
        <w:t>Environmental and Social Management Plan (ESMP)</w:t>
      </w:r>
      <w:r>
        <w:t xml:space="preserve">, and a functional </w:t>
      </w:r>
      <w:r>
        <w:rPr>
          <w:b/>
        </w:rPr>
        <w:t>Grievance Redress Mechanism (GRM)</w:t>
      </w:r>
      <w:r>
        <w:t xml:space="preserve"> is in place</w:t>
      </w:r>
    </w:p>
    <w:p>
      <w:r>
        <w:br w:type="page"/>
      </w:r>
    </w:p>
    <w:p>
      <w:pPr>
        <w:pStyle w:val="Heading1"/>
      </w:pPr>
      <w:r>
        <w:t>Chapter 7: Anticipated Impacts and Mitigation Measures</w:t>
      </w:r>
    </w:p>
    <w:p>
      <w:r>
        <w:t>## 7.1 Anticipated Environmental and Social Impacts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Impact Category</w:t>
            </w:r>
          </w:p>
        </w:tc>
        <w:tc>
          <w:tcPr>
            <w:tcW w:type="dxa" w:w="2160"/>
          </w:tcPr>
          <w:p>
            <w:r>
              <w:rPr>
                <w:b/>
              </w:rPr>
              <w:t>Anticipated Impact</w:t>
            </w:r>
          </w:p>
        </w:tc>
        <w:tc>
          <w:tcPr>
            <w:tcW w:type="dxa" w:w="2160"/>
          </w:tcPr>
          <w:p>
            <w:r>
              <w:rPr>
                <w:b/>
              </w:rPr>
              <w:t>Significance (Relative to Kenyan/NEMA/WHO standards)</w:t>
            </w:r>
          </w:p>
        </w:tc>
      </w:tr>
      <w:tr>
        <w:tc>
          <w:tcPr>
            <w:tcW w:type="dxa" w:w="2160"/>
          </w:tcPr>
          <w:p>
            <w:r/>
            <w:r>
              <w:rPr>
                <w:b/>
              </w:rPr>
              <w:t>Construction (30 months)</w:t>
            </w:r>
            <w:r/>
          </w:p>
        </w:tc>
        <w:tc>
          <w:tcPr>
            <w:tcW w:type="dxa" w:w="2160"/>
          </w:tcPr>
          <w:p>
            <w:r/>
            <w:r>
              <w:rPr>
                <w:b/>
              </w:rPr>
              <w:t>Air Quality</w:t>
            </w:r>
            <w:r/>
          </w:p>
        </w:tc>
        <w:tc>
          <w:tcPr>
            <w:tcW w:type="dxa" w:w="2160"/>
          </w:tcPr>
          <w:p>
            <w:r>
              <w:t>Generation of dust from earthworks, demolition of temporary structures, and emissions from diesel‑powered equipment.</w:t>
            </w:r>
          </w:p>
        </w:tc>
        <w:tc>
          <w:tcPr>
            <w:tcW w:type="dxa" w:w="2160"/>
          </w:tcPr>
          <w:p>
            <w:r>
              <w:t>Baseline PM2.5 = 14 µg/m³ (below WHO 24‑hr guideline of 15 µg/m³) and PM10 = 29 µg/m³ (below NEMA limit of 75 µg/m³). Short‑term spikes are expected but will be kept within the above‑baseline levels through control measures.</w:t>
            </w:r>
          </w:p>
        </w:tc>
      </w:tr>
      <w:tr>
        <w:tc>
          <w:tcPr>
            <w:tcW w:type="dxa" w:w="2160"/>
          </w:tcPr>
          <w:p>
            <w:r/>
          </w:p>
        </w:tc>
        <w:tc>
          <w:tcPr>
            <w:tcW w:type="dxa" w:w="2160"/>
          </w:tcPr>
          <w:p>
            <w:r/>
            <w:r>
              <w:rPr>
                <w:b/>
              </w:rPr>
              <w:t>Noise</w:t>
            </w:r>
            <w:r/>
          </w:p>
        </w:tc>
        <w:tc>
          <w:tcPr>
            <w:tcW w:type="dxa" w:w="2160"/>
          </w:tcPr>
          <w:p>
            <w:r>
              <w:t>Operation of excavators, generators, trucks and on‑site construction activities.</w:t>
            </w:r>
          </w:p>
        </w:tc>
        <w:tc>
          <w:tcPr>
            <w:tcW w:type="dxa" w:w="2160"/>
          </w:tcPr>
          <w:p>
            <w:r>
              <w:t>Baseline ambient noise ≈ 47 dBA (exceeds NEMA residential night‑time limit of 45 dBA). Construction noise is projected to reach 70–75 dBA at the nearest residential plots (≈ 90 m). This represents a moderate increase and may affect occupants, especially at Kirina Primary School (280 m).</w:t>
            </w:r>
          </w:p>
        </w:tc>
      </w:tr>
      <w:tr>
        <w:tc>
          <w:tcPr>
            <w:tcW w:type="dxa" w:w="2160"/>
          </w:tcPr>
          <w:p>
            <w:r/>
          </w:p>
        </w:tc>
        <w:tc>
          <w:tcPr>
            <w:tcW w:type="dxa" w:w="2160"/>
          </w:tcPr>
          <w:p>
            <w:r/>
            <w:r>
              <w:rPr>
                <w:b/>
              </w:rPr>
              <w:t>Soil &amp; Water</w:t>
            </w:r>
            <w:r/>
          </w:p>
        </w:tc>
        <w:tc>
          <w:tcPr>
            <w:tcW w:type="dxa" w:w="2160"/>
          </w:tcPr>
          <w:p>
            <w:r>
              <w:t>Soil disturbance, potential sediment runoff to the natural sheet flow and Kirina Seasonal Stream (340 m west).</w:t>
            </w:r>
          </w:p>
        </w:tc>
        <w:tc>
          <w:tcPr>
            <w:tcW w:type="dxa" w:w="2160"/>
          </w:tcPr>
          <w:p>
            <w:r>
              <w:t>Baseline groundwater depth = 43 m; no existing sewerage. Potential for increased turbidity and temporary reduction in infiltration if erosion controls are not applied.</w:t>
            </w:r>
          </w:p>
        </w:tc>
      </w:tr>
      <w:tr>
        <w:tc>
          <w:tcPr>
            <w:tcW w:type="dxa" w:w="2160"/>
          </w:tcPr>
          <w:p>
            <w:r/>
          </w:p>
        </w:tc>
        <w:tc>
          <w:tcPr>
            <w:tcW w:type="dxa" w:w="2160"/>
          </w:tcPr>
          <w:p>
            <w:r/>
            <w:r>
              <w:rPr>
                <w:b/>
              </w:rPr>
              <w:t>Traffic &amp; Safety</w:t>
            </w:r>
            <w:r/>
          </w:p>
        </w:tc>
        <w:tc>
          <w:tcPr>
            <w:tcW w:type="dxa" w:w="2160"/>
          </w:tcPr>
          <w:p>
            <w:r>
              <w:t>Increased heavy‑vehicle movements on access roads, temporary road closures, and pedestrian‑vehicle conflicts near existing residential plots.</w:t>
            </w:r>
          </w:p>
        </w:tc>
        <w:tc>
          <w:tcPr>
            <w:tcW w:type="dxa" w:w="2160"/>
          </w:tcPr>
          <w:p>
            <w:r>
              <w:t>Existing road network is low‑capacity; peak traffic may exceed current Level‑of‑Service (LOS) during material deliveries.</w:t>
            </w:r>
          </w:p>
        </w:tc>
      </w:tr>
      <w:tr>
        <w:tc>
          <w:tcPr>
            <w:tcW w:type="dxa" w:w="2160"/>
          </w:tcPr>
          <w:p>
            <w:r/>
          </w:p>
        </w:tc>
        <w:tc>
          <w:tcPr>
            <w:tcW w:type="dxa" w:w="2160"/>
          </w:tcPr>
          <w:p>
            <w:r/>
            <w:r>
              <w:rPr>
                <w:b/>
              </w:rPr>
              <w:t>Socio‑economic</w:t>
            </w:r>
            <w:r/>
          </w:p>
        </w:tc>
        <w:tc>
          <w:tcPr>
            <w:tcW w:type="dxa" w:w="2160"/>
          </w:tcPr>
          <w:p>
            <w:r>
              <w:t>Employment of construction labour, procurement of local materials, and temporary disruption to nearby residents (noise, dust, traffic).</w:t>
            </w:r>
          </w:p>
        </w:tc>
        <w:tc>
          <w:tcPr>
            <w:tcW w:type="dxa" w:w="2160"/>
          </w:tcPr>
          <w:p>
            <w:r>
              <w:t>Positive: short‑term job creation; Negative: disturbance to school children and mosque users during peak construction hours.</w:t>
            </w:r>
          </w:p>
        </w:tc>
      </w:tr>
      <w:tr>
        <w:tc>
          <w:tcPr>
            <w:tcW w:type="dxa" w:w="2160"/>
          </w:tcPr>
          <w:p>
            <w:r/>
            <w:r>
              <w:rPr>
                <w:b/>
              </w:rPr>
              <w:t>Operational (50 years)</w:t>
            </w:r>
            <w:r/>
          </w:p>
        </w:tc>
        <w:tc>
          <w:tcPr>
            <w:tcW w:type="dxa" w:w="2160"/>
          </w:tcPr>
          <w:p>
            <w:r/>
            <w:r>
              <w:rPr>
                <w:b/>
              </w:rPr>
              <w:t>Air Quality</w:t>
            </w:r>
            <w:r/>
          </w:p>
        </w:tc>
        <w:tc>
          <w:tcPr>
            <w:tcW w:type="dxa" w:w="2160"/>
          </w:tcPr>
          <w:p>
            <w:r>
              <w:t>Emissions from household cooking (if LPG/kerosene) and vehicle traffic.</w:t>
            </w:r>
          </w:p>
        </w:tc>
        <w:tc>
          <w:tcPr>
            <w:tcW w:type="dxa" w:w="2160"/>
          </w:tcPr>
          <w:p>
            <w:r>
              <w:t>Expected to be comparable to current residential emissions; no significant deviation from baseline.</w:t>
            </w:r>
          </w:p>
        </w:tc>
      </w:tr>
      <w:tr>
        <w:tc>
          <w:tcPr>
            <w:tcW w:type="dxa" w:w="2160"/>
          </w:tcPr>
          <w:p>
            <w:r/>
          </w:p>
        </w:tc>
        <w:tc>
          <w:tcPr>
            <w:tcW w:type="dxa" w:w="2160"/>
          </w:tcPr>
          <w:p>
            <w:r/>
            <w:r>
              <w:rPr>
                <w:b/>
              </w:rPr>
              <w:t>Noise</w:t>
            </w:r>
            <w:r/>
          </w:p>
        </w:tc>
        <w:tc>
          <w:tcPr>
            <w:tcW w:type="dxa" w:w="2160"/>
          </w:tcPr>
          <w:p>
            <w:r>
              <w:t>Traffic on estate internal roads, domestic activities, and occasional maintenance works.</w:t>
            </w:r>
          </w:p>
        </w:tc>
        <w:tc>
          <w:tcPr>
            <w:tcW w:type="dxa" w:w="2160"/>
          </w:tcPr>
          <w:p>
            <w:r>
              <w:t>Anticipated to remain within NEMA residential night‑time limit (≤ 45 dBA) for most receptors; occasional exceedances possible near the estate entrance during peak hours.</w:t>
            </w:r>
          </w:p>
        </w:tc>
      </w:tr>
      <w:tr>
        <w:tc>
          <w:tcPr>
            <w:tcW w:type="dxa" w:w="2160"/>
          </w:tcPr>
          <w:p>
            <w:r/>
          </w:p>
        </w:tc>
        <w:tc>
          <w:tcPr>
            <w:tcW w:type="dxa" w:w="2160"/>
          </w:tcPr>
          <w:p>
            <w:r/>
            <w:r>
              <w:rPr>
                <w:b/>
              </w:rPr>
              <w:t>Water Resources</w:t>
            </w:r>
            <w:r/>
          </w:p>
        </w:tc>
        <w:tc>
          <w:tcPr>
            <w:tcW w:type="dxa" w:w="2160"/>
          </w:tcPr>
          <w:p>
            <w:r>
              <w:t>Groundwater abstraction for domestic supply (on‑site borehole) and discharge of treated effluent to Kirina Seasonal Stream.</w:t>
            </w:r>
          </w:p>
        </w:tc>
        <w:tc>
          <w:tcPr>
            <w:tcW w:type="dxa" w:w="2160"/>
          </w:tcPr>
          <w:p>
            <w:r>
              <w:t xml:space="preserve">Abstraction volume </w:t>
            </w:r>
            <w:r>
              <w:rPr>
                <w:b/>
              </w:rPr>
              <w:t>[MISSING: DAILY ABSTRACTION RATE]</w:t>
            </w:r>
            <w:r>
              <w:t xml:space="preserve"> will be monitored to ensure compliance with the </w:t>
            </w:r>
            <w:r>
              <w:rPr>
                <w:b/>
              </w:rPr>
              <w:t>Water Act 2016</w:t>
            </w:r>
            <w:r>
              <w:t xml:space="preserve"> sustainable yield provisions. Treated effluent will meet the </w:t>
            </w:r>
            <w:r>
              <w:rPr>
                <w:b/>
              </w:rPr>
              <w:t>Water Act 2016</w:t>
            </w:r>
            <w:r>
              <w:t xml:space="preserve"> effluent standards (BOD₅ ≤ 30 mg/L, TSS ≤ 30 mg/L).</w:t>
            </w:r>
          </w:p>
        </w:tc>
      </w:tr>
      <w:tr>
        <w:tc>
          <w:tcPr>
            <w:tcW w:type="dxa" w:w="2160"/>
          </w:tcPr>
          <w:p>
            <w:r/>
          </w:p>
        </w:tc>
        <w:tc>
          <w:tcPr>
            <w:tcW w:type="dxa" w:w="2160"/>
          </w:tcPr>
          <w:p>
            <w:r/>
            <w:r>
              <w:rPr>
                <w:b/>
              </w:rPr>
              <w:t>Sewage &amp; Sanitation</w:t>
            </w:r>
            <w:r/>
          </w:p>
        </w:tc>
        <w:tc>
          <w:tcPr>
            <w:tcW w:type="dxa" w:w="2160"/>
          </w:tcPr>
          <w:p>
            <w:r>
              <w:t>Operation of a package sewage treatment plant (PSTP) with tertiary treatment.</w:t>
            </w:r>
          </w:p>
        </w:tc>
        <w:tc>
          <w:tcPr>
            <w:tcW w:type="dxa" w:w="2160"/>
          </w:tcPr>
          <w:p>
            <w:r>
              <w:t xml:space="preserve">Discharge to the seasonal stream after tertiary treatment is expected to meet </w:t>
            </w:r>
            <w:r>
              <w:rPr>
                <w:b/>
              </w:rPr>
              <w:t>World Bank Environmental and Social Framework (ESF)</w:t>
            </w:r>
            <w:r>
              <w:t xml:space="preserve"> and </w:t>
            </w:r>
            <w:r>
              <w:rPr>
                <w:b/>
              </w:rPr>
              <w:t>Water Act 2016</w:t>
            </w:r>
            <w:r>
              <w:t xml:space="preserve"> criteria.</w:t>
            </w:r>
          </w:p>
        </w:tc>
      </w:tr>
      <w:tr>
        <w:tc>
          <w:tcPr>
            <w:tcW w:type="dxa" w:w="2160"/>
          </w:tcPr>
          <w:p>
            <w:r/>
          </w:p>
        </w:tc>
        <w:tc>
          <w:tcPr>
            <w:tcW w:type="dxa" w:w="2160"/>
          </w:tcPr>
          <w:p>
            <w:r/>
            <w:r>
              <w:rPr>
                <w:b/>
              </w:rPr>
              <w:t>Stormwater Management</w:t>
            </w:r>
            <w:r/>
          </w:p>
        </w:tc>
        <w:tc>
          <w:tcPr>
            <w:tcW w:type="dxa" w:w="2160"/>
          </w:tcPr>
          <w:p>
            <w:r>
              <w:t>Run‑off from impervious surfaces (roads, rooftops) entering the natural sheet flow.</w:t>
            </w:r>
          </w:p>
        </w:tc>
        <w:tc>
          <w:tcPr>
            <w:tcW w:type="dxa" w:w="2160"/>
          </w:tcPr>
          <w:p>
            <w:r>
              <w:t>Potential for increased peak flow; mitigation via infiltration basins and vegetated swales will be implemented.</w:t>
            </w:r>
          </w:p>
        </w:tc>
      </w:tr>
      <w:tr>
        <w:tc>
          <w:tcPr>
            <w:tcW w:type="dxa" w:w="2160"/>
          </w:tcPr>
          <w:p>
            <w:r/>
          </w:p>
        </w:tc>
        <w:tc>
          <w:tcPr>
            <w:tcW w:type="dxa" w:w="2160"/>
          </w:tcPr>
          <w:p>
            <w:r/>
            <w:r>
              <w:rPr>
                <w:b/>
              </w:rPr>
              <w:t>Biodiversity &amp; Landscape</w:t>
            </w:r>
            <w:r/>
          </w:p>
        </w:tc>
        <w:tc>
          <w:tcPr>
            <w:tcW w:type="dxa" w:w="2160"/>
          </w:tcPr>
          <w:p>
            <w:r>
              <w:t>Loss of grassland and scattered acacia; introduction of landscaped buffers.</w:t>
            </w:r>
          </w:p>
        </w:tc>
        <w:tc>
          <w:tcPr>
            <w:tcW w:type="dxa" w:w="2160"/>
          </w:tcPr>
          <w:p>
            <w:r>
              <w:t>The site is a greenfield infill within a predominantly residential matrix; impact on wildlife is limited to edge effects on the nearby seasonal stream corridor.</w:t>
            </w:r>
          </w:p>
        </w:tc>
      </w:tr>
      <w:tr>
        <w:tc>
          <w:tcPr>
            <w:tcW w:type="dxa" w:w="2160"/>
          </w:tcPr>
          <w:p>
            <w:r/>
          </w:p>
        </w:tc>
        <w:tc>
          <w:tcPr>
            <w:tcW w:type="dxa" w:w="2160"/>
          </w:tcPr>
          <w:p>
            <w:r/>
            <w:r>
              <w:rPr>
                <w:b/>
              </w:rPr>
              <w:t>Socio‑economic</w:t>
            </w:r>
            <w:r/>
          </w:p>
        </w:tc>
        <w:tc>
          <w:tcPr>
            <w:tcW w:type="dxa" w:w="2160"/>
          </w:tcPr>
          <w:p>
            <w:r>
              <w:t>Provision of 412 housing units (≈ 1,648 residents), 5 % PWD‑accessible units, and ancillary services (shops, community centre).</w:t>
            </w:r>
          </w:p>
        </w:tc>
        <w:tc>
          <w:tcPr>
            <w:tcW w:type="dxa" w:w="2160"/>
          </w:tcPr>
          <w:p>
            <w:r>
              <w:t>Positive impacts include increased housing supply, improved living standards, and long‑term employment in estate management. No displacement of existing residents is required.</w:t>
            </w:r>
          </w:p>
        </w:tc>
      </w:tr>
      <w:tr>
        <w:tc>
          <w:tcPr>
            <w:tcW w:type="dxa" w:w="2160"/>
          </w:tcPr>
          <w:p>
            <w:r/>
          </w:p>
        </w:tc>
        <w:tc>
          <w:tcPr>
            <w:tcW w:type="dxa" w:w="2160"/>
          </w:tcPr>
          <w:p>
            <w:r/>
            <w:r>
              <w:rPr>
                <w:b/>
              </w:rPr>
              <w:t>Cultural &amp; Heritage</w:t>
            </w:r>
            <w:r/>
          </w:p>
        </w:tc>
        <w:tc>
          <w:tcPr>
            <w:tcW w:type="dxa" w:w="2160"/>
          </w:tcPr>
          <w:p>
            <w:r>
              <w:t>No known cultural heritage sites within the project boundary.</w:t>
            </w:r>
          </w:p>
        </w:tc>
        <w:tc>
          <w:tcPr>
            <w:tcW w:type="dxa" w:w="2160"/>
          </w:tcPr>
          <w:p>
            <w:r>
              <w:t>No impact anticipated.</w:t>
            </w:r>
          </w:p>
        </w:tc>
      </w:tr>
    </w:tbl>
    <w:p>
      <w:r>
        <w:t>---</w:t>
      </w:r>
    </w:p>
    <w:p>
      <w:r>
        <w:t>## 7.2 Environmental and Social Management Plan (ESMP) – Mitigation Measures</w:t>
      </w:r>
    </w:p>
    <w:p>
      <w:r>
        <w:t>### 7.2.1 Air Quality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Mitigation Measure</w:t>
            </w:r>
          </w:p>
        </w:tc>
        <w:tc>
          <w:tcPr>
            <w:tcW w:type="dxa" w:w="2880"/>
          </w:tcPr>
          <w:p>
            <w:r>
              <w:rPr>
                <w:b/>
              </w:rPr>
              <w:t>Implementation Responsibility</w:t>
            </w:r>
          </w:p>
        </w:tc>
        <w:tc>
          <w:tcPr>
            <w:tcW w:type="dxa" w:w="2880"/>
          </w:tcPr>
          <w:p>
            <w:r>
              <w:rPr>
                <w:b/>
              </w:rPr>
              <w:t>Monitoring &amp; Compliance</w:t>
            </w:r>
          </w:p>
        </w:tc>
      </w:tr>
      <w:tr>
        <w:tc>
          <w:tcPr>
            <w:tcW w:type="dxa" w:w="2880"/>
          </w:tcPr>
          <w:p>
            <w:r>
              <w:t>Daily water‑spraying of exposed earthworks and haulage routes.</w:t>
            </w:r>
          </w:p>
        </w:tc>
        <w:tc>
          <w:tcPr>
            <w:tcW w:type="dxa" w:w="2880"/>
          </w:tcPr>
          <w:p>
            <w:r>
              <w:t>Construction Contractor (Site Environmental Officer)</w:t>
            </w:r>
          </w:p>
        </w:tc>
        <w:tc>
          <w:tcPr>
            <w:tcW w:type="dxa" w:w="2880"/>
          </w:tcPr>
          <w:p>
            <w:r>
              <w:t>Visual inspection and weekly dust‑settle plate measurements; results reported to the ESMP Coordinator.</w:t>
            </w:r>
          </w:p>
        </w:tc>
      </w:tr>
      <w:tr>
        <w:tc>
          <w:tcPr>
            <w:tcW w:type="dxa" w:w="2880"/>
          </w:tcPr>
          <w:p>
            <w:r>
              <w:t>Use of low‑sulphur diesel (≤ 10 ppm S) for all generators and heavy equipment.</w:t>
            </w:r>
          </w:p>
        </w:tc>
        <w:tc>
          <w:tcPr>
            <w:tcW w:type="dxa" w:w="2880"/>
          </w:tcPr>
          <w:p>
            <w:r>
              <w:t>Procurement Manager</w:t>
            </w:r>
          </w:p>
        </w:tc>
        <w:tc>
          <w:tcPr>
            <w:tcW w:type="dxa" w:w="2880"/>
          </w:tcPr>
          <w:p>
            <w:r>
              <w:t>Fuel purchase receipts audited monthly.</w:t>
            </w:r>
          </w:p>
        </w:tc>
      </w:tr>
      <w:tr>
        <w:tc>
          <w:tcPr>
            <w:tcW w:type="dxa" w:w="2880"/>
          </w:tcPr>
          <w:p>
            <w:r>
              <w:t>Covering of trucks carrying sand, gravel, or demolition waste.</w:t>
            </w:r>
          </w:p>
        </w:tc>
        <w:tc>
          <w:tcPr>
            <w:tcW w:type="dxa" w:w="2880"/>
          </w:tcPr>
          <w:p>
            <w:r>
              <w:t>Logistics Supervisor</w:t>
            </w:r>
          </w:p>
        </w:tc>
        <w:tc>
          <w:tcPr>
            <w:tcW w:type="dxa" w:w="2880"/>
          </w:tcPr>
          <w:p>
            <w:r>
              <w:t>Spot checks by NEMA‑approved auditor.</w:t>
            </w:r>
          </w:p>
        </w:tc>
      </w:tr>
      <w:tr>
        <w:tc>
          <w:tcPr>
            <w:tcW w:type="dxa" w:w="2880"/>
          </w:tcPr>
          <w:p>
            <w:r>
              <w:t>Installation of temporary vegetated windbreaks on the north and west perimeters.</w:t>
            </w:r>
          </w:p>
        </w:tc>
        <w:tc>
          <w:tcPr>
            <w:tcW w:type="dxa" w:w="2880"/>
          </w:tcPr>
          <w:p>
            <w:r>
              <w:t>Landscape Contractor</w:t>
            </w:r>
          </w:p>
        </w:tc>
        <w:tc>
          <w:tcPr>
            <w:tcW w:type="dxa" w:w="2880"/>
          </w:tcPr>
          <w:p>
            <w:r>
              <w:t>Bi‑annual inspection; re‑planting as required.</w:t>
            </w:r>
          </w:p>
        </w:tc>
      </w:tr>
      <w:tr>
        <w:tc>
          <w:tcPr>
            <w:tcW w:type="dxa" w:w="2880"/>
          </w:tcPr>
          <w:p>
            <w:r>
              <w:t>Post‑construction: Encourage use of energy‑efficient appliances (e.g., LED lighting, LPG cookstoves).</w:t>
            </w:r>
          </w:p>
        </w:tc>
        <w:tc>
          <w:tcPr>
            <w:tcW w:type="dxa" w:w="2880"/>
          </w:tcPr>
          <w:p>
            <w:r>
              <w:t>Estate Management</w:t>
            </w:r>
          </w:p>
        </w:tc>
        <w:tc>
          <w:tcPr>
            <w:tcW w:type="dxa" w:w="2880"/>
          </w:tcPr>
          <w:p>
            <w:r>
              <w:t>Annual resident survey on appliance usage.</w:t>
            </w:r>
          </w:p>
        </w:tc>
      </w:tr>
    </w:tbl>
    <w:p>
      <w:r/>
      <w:r>
        <w:rPr>
          <w:i/>
        </w:rPr>
        <w:t>Compliance Reference</w:t>
      </w:r>
      <w:r>
        <w:t>: WHO 24‑hr PM2.5 guideline (15 µg/m³) and NEMA PM10 limit (75 µg/m³).</w:t>
      </w:r>
    </w:p>
    <w:p>
      <w:r>
        <w:t>### 7.2.2 Noise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Mitigation Measure</w:t>
            </w:r>
          </w:p>
        </w:tc>
        <w:tc>
          <w:tcPr>
            <w:tcW w:type="dxa" w:w="2880"/>
          </w:tcPr>
          <w:p>
            <w:r>
              <w:rPr>
                <w:b/>
              </w:rPr>
              <w:t>Implementation Responsibility</w:t>
            </w:r>
          </w:p>
        </w:tc>
        <w:tc>
          <w:tcPr>
            <w:tcW w:type="dxa" w:w="2880"/>
          </w:tcPr>
          <w:p>
            <w:r>
              <w:rPr>
                <w:b/>
              </w:rPr>
              <w:t>Monitoring &amp; Compliance</w:t>
            </w:r>
          </w:p>
        </w:tc>
      </w:tr>
      <w:tr>
        <w:tc>
          <w:tcPr>
            <w:tcW w:type="dxa" w:w="2880"/>
          </w:tcPr>
          <w:p>
            <w:r>
              <w:t>Construction limited to 07:00–18:00, Monday–Friday; no weekend works.</w:t>
            </w:r>
          </w:p>
        </w:tc>
        <w:tc>
          <w:tcPr>
            <w:tcW w:type="dxa" w:w="2880"/>
          </w:tcPr>
          <w:p>
            <w:r>
              <w:t>Site Manager</w:t>
            </w:r>
          </w:p>
        </w:tc>
        <w:tc>
          <w:tcPr>
            <w:tcW w:type="dxa" w:w="2880"/>
          </w:tcPr>
          <w:p>
            <w:r>
              <w:t>Daily log of work hours; random acoustic monitoring at 90 m (nearest residential plot).</w:t>
            </w:r>
          </w:p>
        </w:tc>
      </w:tr>
      <w:tr>
        <w:tc>
          <w:tcPr>
            <w:tcW w:type="dxa" w:w="2880"/>
          </w:tcPr>
          <w:p>
            <w:r>
              <w:t>Use of well‑maintained equipment with mufflers; regular maintenance schedule.</w:t>
            </w:r>
          </w:p>
        </w:tc>
        <w:tc>
          <w:tcPr>
            <w:tcW w:type="dxa" w:w="2880"/>
          </w:tcPr>
          <w:p>
            <w:r>
              <w:t>Maintenance Supervisor</w:t>
            </w:r>
          </w:p>
        </w:tc>
        <w:tc>
          <w:tcPr>
            <w:tcW w:type="dxa" w:w="2880"/>
          </w:tcPr>
          <w:p>
            <w:r>
              <w:t>Quarterly noise level checks; equipment service records retained.</w:t>
            </w:r>
          </w:p>
        </w:tc>
      </w:tr>
      <w:tr>
        <w:tc>
          <w:tcPr>
            <w:tcW w:type="dxa" w:w="2880"/>
          </w:tcPr>
          <w:p>
            <w:r>
              <w:t>Erection of temporary acoustic barriers (e.g., plywood + acoustic blankets) around the most noise‑intensive activities (e.g., piling, concrete cutting).</w:t>
            </w:r>
          </w:p>
        </w:tc>
        <w:tc>
          <w:tcPr>
            <w:tcW w:type="dxa" w:w="2880"/>
          </w:tcPr>
          <w:p>
            <w:r>
              <w:t>Contractor</w:t>
            </w:r>
          </w:p>
        </w:tc>
        <w:tc>
          <w:tcPr>
            <w:tcW w:type="dxa" w:w="2880"/>
          </w:tcPr>
          <w:p>
            <w:r>
              <w:t>Barrier integrity inspected daily; barrier removal after activity completion.</w:t>
            </w:r>
          </w:p>
        </w:tc>
      </w:tr>
      <w:tr>
        <w:tc>
          <w:tcPr>
            <w:tcW w:type="dxa" w:w="2880"/>
          </w:tcPr>
          <w:p>
            <w:r>
              <w:t>Installation of traffic marshal at the estate entrance during school start/end times (first 12 months).</w:t>
            </w:r>
          </w:p>
        </w:tc>
        <w:tc>
          <w:tcPr>
            <w:tcW w:type="dxa" w:w="2880"/>
          </w:tcPr>
          <w:p>
            <w:r>
              <w:t>Estate Security Team</w:t>
            </w:r>
          </w:p>
        </w:tc>
        <w:tc>
          <w:tcPr>
            <w:tcW w:type="dxa" w:w="2880"/>
          </w:tcPr>
          <w:p>
            <w:r>
              <w:t>Marshal attendance logs; feedback from Kirina Primary School.</w:t>
            </w:r>
          </w:p>
        </w:tc>
      </w:tr>
      <w:tr>
        <w:tc>
          <w:tcPr>
            <w:tcW w:type="dxa" w:w="2880"/>
          </w:tcPr>
          <w:p>
            <w:r>
              <w:t>Post‑construction: Installation of double‑glazed windows in all units; landscaping buffer (minimum 5 m) to attenuate traffic noise.</w:t>
            </w:r>
          </w:p>
        </w:tc>
        <w:tc>
          <w:tcPr>
            <w:tcW w:type="dxa" w:w="2880"/>
          </w:tcPr>
          <w:p>
            <w:r>
              <w:t>Building Contractor</w:t>
            </w:r>
          </w:p>
        </w:tc>
        <w:tc>
          <w:tcPr>
            <w:tcW w:type="dxa" w:w="2880"/>
          </w:tcPr>
          <w:p>
            <w:r>
              <w:t>Random acoustic measurements inside sample units after occupancy.</w:t>
            </w:r>
          </w:p>
        </w:tc>
      </w:tr>
    </w:tbl>
    <w:p>
      <w:r/>
      <w:r>
        <w:rPr>
          <w:i/>
        </w:rPr>
        <w:t>Compliance Reference</w:t>
      </w:r>
      <w:r>
        <w:t>: NEMA residential night‑time noise limit (45 dBA).</w:t>
      </w:r>
    </w:p>
    <w:p>
      <w:r>
        <w:t>### 7.2.3 Water Resources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Mitigation Measure</w:t>
            </w:r>
          </w:p>
        </w:tc>
        <w:tc>
          <w:tcPr>
            <w:tcW w:type="dxa" w:w="2880"/>
          </w:tcPr>
          <w:p>
            <w:r>
              <w:rPr>
                <w:b/>
              </w:rPr>
              <w:t>Implementation Responsibility</w:t>
            </w:r>
          </w:p>
        </w:tc>
        <w:tc>
          <w:tcPr>
            <w:tcW w:type="dxa" w:w="2880"/>
          </w:tcPr>
          <w:p>
            <w:r>
              <w:rPr>
                <w:b/>
              </w:rPr>
              <w:t>Monitoring &amp; Compliance</w:t>
            </w:r>
          </w:p>
        </w:tc>
      </w:tr>
      <w:tr>
        <w:tc>
          <w:tcPr>
            <w:tcW w:type="dxa" w:w="2880"/>
          </w:tcPr>
          <w:p>
            <w:r>
              <w:t xml:space="preserve">On‑site borehole drilling to a depth of 43 m with a 500,000 L storage tank; abstraction limited to </w:t>
            </w:r>
            <w:r>
              <w:rPr>
                <w:b/>
              </w:rPr>
              <w:t>[MISSING: DAILY ABSTRACTION RATE]</w:t>
            </w:r>
            <w:r>
              <w:t>.</w:t>
            </w:r>
          </w:p>
        </w:tc>
        <w:tc>
          <w:tcPr>
            <w:tcW w:type="dxa" w:w="2880"/>
          </w:tcPr>
          <w:p>
            <w:r>
              <w:t>Water Resources Engineer (Project)</w:t>
            </w:r>
          </w:p>
        </w:tc>
        <w:tc>
          <w:tcPr>
            <w:tcW w:type="dxa" w:w="2880"/>
          </w:tcPr>
          <w:p>
            <w:r>
              <w:t>Monthly abstraction logs submitted to County Water Services; comparison with sustainable yield assessment (Water Act 2016).</w:t>
            </w:r>
          </w:p>
        </w:tc>
      </w:tr>
      <w:tr>
        <w:tc>
          <w:tcPr>
            <w:tcW w:type="dxa" w:w="2880"/>
          </w:tcPr>
          <w:p>
            <w:r>
              <w:t>Installation of a package sewage treatment plant (PSTP) with tertiary treatment (UV disinfection).</w:t>
            </w:r>
          </w:p>
        </w:tc>
        <w:tc>
          <w:tcPr>
            <w:tcW w:type="dxa" w:w="2880"/>
          </w:tcPr>
          <w:p>
            <w:r>
              <w:t>Mechanical Engineer (Project)</w:t>
            </w:r>
          </w:p>
        </w:tc>
        <w:tc>
          <w:tcPr>
            <w:tcW w:type="dxa" w:w="2880"/>
          </w:tcPr>
          <w:p>
            <w:r>
              <w:t>Quarterly effluent sampling for BOD₅, TSS, and pathogen indicators; results reported to NEMA and County Water Board.</w:t>
            </w:r>
          </w:p>
        </w:tc>
      </w:tr>
      <w:tr>
        <w:tc>
          <w:tcPr>
            <w:tcW w:type="dxa" w:w="2880"/>
          </w:tcPr>
          <w:p>
            <w:r>
              <w:t>Discharge of treated effluent to Kirina Seasonal Stream at a controlled flow rate, with a 30‑m vegetated buffer zone.</w:t>
            </w:r>
          </w:p>
        </w:tc>
        <w:tc>
          <w:tcPr>
            <w:tcW w:type="dxa" w:w="2880"/>
          </w:tcPr>
          <w:p>
            <w:r>
              <w:t>Environmental Officer</w:t>
            </w:r>
          </w:p>
        </w:tc>
        <w:tc>
          <w:tcPr>
            <w:tcW w:type="dxa" w:w="2880"/>
          </w:tcPr>
          <w:p>
            <w:r>
              <w:t>Continuous flow monitoring using weir; water quality sampling downstream (monthly).</w:t>
            </w:r>
          </w:p>
        </w:tc>
      </w:tr>
      <w:tr>
        <w:tc>
          <w:tcPr>
            <w:tcW w:type="dxa" w:w="2880"/>
          </w:tcPr>
          <w:p>
            <w:r>
              <w:t xml:space="preserve">Stormwater management: Permeable paving on internal roads, infiltration basins (capacity </w:t>
            </w:r>
            <w:r>
              <w:rPr>
                <w:b/>
              </w:rPr>
              <w:t>[MISSING: BASIN VOLUME]</w:t>
            </w:r>
            <w:r>
              <w:t>), and vegetated swales directing runoff to the natural sheet flow.</w:t>
            </w:r>
          </w:p>
        </w:tc>
        <w:tc>
          <w:tcPr>
            <w:tcW w:type="dxa" w:w="2880"/>
          </w:tcPr>
          <w:p>
            <w:r>
              <w:t>Civil Engineer</w:t>
            </w:r>
          </w:p>
        </w:tc>
        <w:tc>
          <w:tcPr>
            <w:tcW w:type="dxa" w:w="2880"/>
          </w:tcPr>
          <w:p>
            <w:r>
              <w:t>Post‑rainfall runoff volume measurements; inspection of infiltration basins for clogging.</w:t>
            </w:r>
          </w:p>
        </w:tc>
      </w:tr>
      <w:tr>
        <w:tc>
          <w:tcPr>
            <w:tcW w:type="dxa" w:w="2880"/>
          </w:tcPr>
          <w:p>
            <w:r>
              <w:t>Water‑saving fixtures (dual‑flush toilets, low‑flow taps) in all units; resident awareness campaigns on water conservation.</w:t>
            </w:r>
          </w:p>
        </w:tc>
        <w:tc>
          <w:tcPr>
            <w:tcW w:type="dxa" w:w="2880"/>
          </w:tcPr>
          <w:p>
            <w:r>
              <w:t>Estate Management</w:t>
            </w:r>
          </w:p>
        </w:tc>
        <w:tc>
          <w:tcPr>
            <w:tcW w:type="dxa" w:w="2880"/>
          </w:tcPr>
          <w:p>
            <w:r>
              <w:t>Annual water consumption audit; target reduction of 15 % vs. baseline residential consumption.</w:t>
            </w:r>
          </w:p>
        </w:tc>
      </w:tr>
    </w:tbl>
    <w:p>
      <w:r/>
      <w:r>
        <w:rPr>
          <w:i/>
        </w:rPr>
        <w:t>Compliance Reference</w:t>
      </w:r>
      <w:r>
        <w:t>: Water Act 2016 effluent standards and abstraction licensing requirements; World Bank ESF Chapter 4 (Water Supply and Sanitation).</w:t>
      </w:r>
    </w:p>
    <w:p>
      <w:r>
        <w:t>### 7.2.4 Soil and Groundwater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Mitigation Measure</w:t>
            </w:r>
          </w:p>
        </w:tc>
        <w:tc>
          <w:tcPr>
            <w:tcW w:type="dxa" w:w="2880"/>
          </w:tcPr>
          <w:p>
            <w:r>
              <w:rPr>
                <w:b/>
              </w:rPr>
              <w:t>Implementation Responsibility</w:t>
            </w:r>
          </w:p>
        </w:tc>
        <w:tc>
          <w:tcPr>
            <w:tcW w:type="dxa" w:w="2880"/>
          </w:tcPr>
          <w:p>
            <w:r>
              <w:rPr>
                <w:b/>
              </w:rPr>
              <w:t>Monitoring &amp; Compliance</w:t>
            </w:r>
          </w:p>
        </w:tc>
      </w:tr>
      <w:tr>
        <w:tc>
          <w:tcPr>
            <w:tcW w:type="dxa" w:w="2880"/>
          </w:tcPr>
          <w:p>
            <w:r>
              <w:t>Topsoil stripping and stockpiling for later reuse in landscaping.</w:t>
            </w:r>
          </w:p>
        </w:tc>
        <w:tc>
          <w:tcPr>
            <w:tcW w:type="dxa" w:w="2880"/>
          </w:tcPr>
          <w:p>
            <w:r>
              <w:t>Earthworks Contractor</w:t>
            </w:r>
          </w:p>
        </w:tc>
        <w:tc>
          <w:tcPr>
            <w:tcW w:type="dxa" w:w="2880"/>
          </w:tcPr>
          <w:p>
            <w:r>
              <w:t>Stockpile volume recorded; quality checks before reuse.</w:t>
            </w:r>
          </w:p>
        </w:tc>
      </w:tr>
      <w:tr>
        <w:tc>
          <w:tcPr>
            <w:tcW w:type="dxa" w:w="2880"/>
          </w:tcPr>
          <w:p>
            <w:r>
              <w:t>Installation of sediment traps and silt fences along the natural sheet flow corridor.</w:t>
            </w:r>
          </w:p>
        </w:tc>
        <w:tc>
          <w:tcPr>
            <w:tcW w:type="dxa" w:w="2880"/>
          </w:tcPr>
          <w:p>
            <w:r>
              <w:t>Site Engineer</w:t>
            </w:r>
          </w:p>
        </w:tc>
        <w:tc>
          <w:tcPr>
            <w:tcW w:type="dxa" w:w="2880"/>
          </w:tcPr>
          <w:p>
            <w:r>
              <w:t>Weekly inspection; removal of accumulated sediment as needed.</w:t>
            </w:r>
          </w:p>
        </w:tc>
      </w:tr>
      <w:tr>
        <w:tc>
          <w:tcPr>
            <w:tcW w:type="dxa" w:w="2880"/>
          </w:tcPr>
          <w:p>
            <w:r>
              <w:t>Avoidance of excavation within 5 m of the on‑site borehole to protect groundwater integrity.</w:t>
            </w:r>
          </w:p>
        </w:tc>
        <w:tc>
          <w:tcPr>
            <w:tcW w:type="dxa" w:w="2880"/>
          </w:tcPr>
          <w:p>
            <w:r>
              <w:t>Drilling Contractor</w:t>
            </w:r>
          </w:p>
        </w:tc>
        <w:tc>
          <w:tcPr>
            <w:tcW w:type="dxa" w:w="2880"/>
          </w:tcPr>
          <w:p>
            <w:r>
              <w:t>Borehole protection zone marked on site plans; compliance audited.</w:t>
            </w:r>
          </w:p>
        </w:tc>
      </w:tr>
      <w:tr>
        <w:tc>
          <w:tcPr>
            <w:tcW w:type="dxa" w:w="2880"/>
          </w:tcPr>
          <w:p>
            <w:r>
              <w:t>Post‑construction: Re‑vegetation of disturbed areas with native grasses and acacia seedlings.</w:t>
            </w:r>
          </w:p>
        </w:tc>
        <w:tc>
          <w:tcPr>
            <w:tcW w:type="dxa" w:w="2880"/>
          </w:tcPr>
          <w:p>
            <w:r>
              <w:t>Landscape Contractor</w:t>
            </w:r>
          </w:p>
        </w:tc>
        <w:tc>
          <w:tcPr>
            <w:tcW w:type="dxa" w:w="2880"/>
          </w:tcPr>
          <w:p>
            <w:r>
              <w:t>Survival rate assessment at 6‑month intervals (target ≥ 80 %).</w:t>
            </w:r>
          </w:p>
        </w:tc>
      </w:tr>
    </w:tbl>
    <w:p>
      <w:r>
        <w:t>### 7.2.5 Biodiversity &amp; Landscape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Mitigation Measure</w:t>
            </w:r>
          </w:p>
        </w:tc>
        <w:tc>
          <w:tcPr>
            <w:tcW w:type="dxa" w:w="2880"/>
          </w:tcPr>
          <w:p>
            <w:r>
              <w:rPr>
                <w:b/>
              </w:rPr>
              <w:t>Implementation Responsibility</w:t>
            </w:r>
          </w:p>
        </w:tc>
        <w:tc>
          <w:tcPr>
            <w:tcW w:type="dxa" w:w="2880"/>
          </w:tcPr>
          <w:p>
            <w:r>
              <w:rPr>
                <w:b/>
              </w:rPr>
              <w:t>Monitoring &amp; Compliance</w:t>
            </w:r>
          </w:p>
        </w:tc>
      </w:tr>
      <w:tr>
        <w:tc>
          <w:tcPr>
            <w:tcW w:type="dxa" w:w="2880"/>
          </w:tcPr>
          <w:p>
            <w:r>
              <w:t xml:space="preserve">Retention of existing scattered acacia trees where feasible; planting of an additional </w:t>
            </w:r>
            <w:r>
              <w:rPr>
                <w:b/>
              </w:rPr>
              <w:t>[MISSING: NUMBER OF TREES]</w:t>
            </w:r>
            <w:r>
              <w:t xml:space="preserve"> native species along the western buffer.</w:t>
            </w:r>
          </w:p>
        </w:tc>
        <w:tc>
          <w:tcPr>
            <w:tcW w:type="dxa" w:w="2880"/>
          </w:tcPr>
          <w:p>
            <w:r>
              <w:t>Landscape Architect</w:t>
            </w:r>
          </w:p>
        </w:tc>
        <w:tc>
          <w:tcPr>
            <w:tcW w:type="dxa" w:w="2880"/>
          </w:tcPr>
          <w:p>
            <w:r>
              <w:t>Tree survival monitoring (quarterly).</w:t>
            </w:r>
          </w:p>
        </w:tc>
      </w:tr>
      <w:tr>
        <w:tc>
          <w:tcPr>
            <w:tcW w:type="dxa" w:w="2880"/>
          </w:tcPr>
          <w:p>
            <w:r>
              <w:t>Creation of a landscaped buffer (minimum 5 m) between the estate and existing residential plots to preserve visual amenity and provide habitat connectivity.</w:t>
            </w:r>
          </w:p>
        </w:tc>
        <w:tc>
          <w:tcPr>
            <w:tcW w:type="dxa" w:w="2880"/>
          </w:tcPr>
          <w:p>
            <w:r>
              <w:t>Estate Designer</w:t>
            </w:r>
          </w:p>
        </w:tc>
        <w:tc>
          <w:tcPr>
            <w:tcW w:type="dxa" w:w="2880"/>
          </w:tcPr>
          <w:p>
            <w:r>
              <w:t>Visual inspections; resident feedback surveys.</w:t>
            </w:r>
          </w:p>
        </w:tc>
      </w:tr>
      <w:tr>
        <w:tc>
          <w:tcPr>
            <w:tcW w:type="dxa" w:w="2880"/>
          </w:tcPr>
          <w:p>
            <w:r>
              <w:t>No clearing of the Kirina Seasonal Stream corridor; all stormwater discharges routed through vegetated swales to maintain riparian integrity.</w:t>
            </w:r>
          </w:p>
        </w:tc>
        <w:tc>
          <w:tcPr>
            <w:tcW w:type="dxa" w:w="2880"/>
          </w:tcPr>
          <w:p>
            <w:r>
              <w:t>Civil Engineer</w:t>
            </w:r>
          </w:p>
        </w:tc>
        <w:tc>
          <w:tcPr>
            <w:tcW w:type="dxa" w:w="2880"/>
          </w:tcPr>
          <w:p>
            <w:r>
              <w:t>Annual macro‑invertebrate assessment of the stream (baseline established).</w:t>
            </w:r>
          </w:p>
        </w:tc>
      </w:tr>
    </w:tbl>
    <w:p>
      <w:r>
        <w:t>### 7.2.6 Traffic and Transport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Mitigation Measure</w:t>
            </w:r>
          </w:p>
        </w:tc>
        <w:tc>
          <w:tcPr>
            <w:tcW w:type="dxa" w:w="2880"/>
          </w:tcPr>
          <w:p>
            <w:r>
              <w:rPr>
                <w:b/>
              </w:rPr>
              <w:t>Implementation Responsibility</w:t>
            </w:r>
          </w:p>
        </w:tc>
        <w:tc>
          <w:tcPr>
            <w:tcW w:type="dxa" w:w="2880"/>
          </w:tcPr>
          <w:p>
            <w:r>
              <w:rPr>
                <w:b/>
              </w:rPr>
              <w:t>Monitoring &amp; Compliance</w:t>
            </w:r>
          </w:p>
        </w:tc>
      </w:tr>
      <w:tr>
        <w:tc>
          <w:tcPr>
            <w:tcW w:type="dxa" w:w="2880"/>
          </w:tcPr>
          <w:p>
            <w:r>
              <w:t>Construction of a dedicated estate access road with a signal‑controlled junction at the main entry point.</w:t>
            </w:r>
          </w:p>
        </w:tc>
        <w:tc>
          <w:tcPr>
            <w:tcW w:type="dxa" w:w="2880"/>
          </w:tcPr>
          <w:p>
            <w:r>
              <w:t>Roadworks Contractor</w:t>
            </w:r>
          </w:p>
        </w:tc>
        <w:tc>
          <w:tcPr>
            <w:tcW w:type="dxa" w:w="2880"/>
          </w:tcPr>
          <w:p>
            <w:r>
              <w:t>Traffic flow counts during peak construction periods; adjustment of signal timings as needed.</w:t>
            </w:r>
          </w:p>
        </w:tc>
      </w:tr>
      <w:tr>
        <w:tc>
          <w:tcPr>
            <w:tcW w:type="dxa" w:w="2880"/>
          </w:tcPr>
          <w:p>
            <w:r>
              <w:t>Implementation of a traffic management plan (TMP) approved by Kajiado County Transport Authority, including signage, speed limits (≤ 30 km/h), and pedestrian crossings.</w:t>
            </w:r>
          </w:p>
        </w:tc>
        <w:tc>
          <w:tcPr>
            <w:tcW w:type="dxa" w:w="2880"/>
          </w:tcPr>
          <w:p>
            <w:r>
              <w:t>Traffic Engineer</w:t>
            </w:r>
          </w:p>
        </w:tc>
        <w:tc>
          <w:tcPr>
            <w:tcW w:type="dxa" w:w="2880"/>
          </w:tcPr>
          <w:p>
            <w:r>
              <w:t>Monthly compliance audits; incident reports reviewed.</w:t>
            </w:r>
          </w:p>
        </w:tc>
      </w:tr>
      <w:tr>
        <w:tc>
          <w:tcPr>
            <w:tcW w:type="dxa" w:w="2880"/>
          </w:tcPr>
          <w:p>
            <w:r>
              <w:t>Provision of a school‑hour traffic marshal (first 12 months) to facilitate safe drop‑off/pick‑up at Kirina Primary School.</w:t>
            </w:r>
          </w:p>
        </w:tc>
        <w:tc>
          <w:tcPr>
            <w:tcW w:type="dxa" w:w="2880"/>
          </w:tcPr>
          <w:p>
            <w:r>
              <w:t>Estate Security</w:t>
            </w:r>
          </w:p>
        </w:tc>
        <w:tc>
          <w:tcPr>
            <w:tcW w:type="dxa" w:w="2880"/>
          </w:tcPr>
          <w:p>
            <w:r>
              <w:t>Marshal attendance logs; school feedback.</w:t>
            </w:r>
          </w:p>
        </w:tc>
      </w:tr>
      <w:tr>
        <w:tc>
          <w:tcPr>
            <w:tcW w:type="dxa" w:w="2880"/>
          </w:tcPr>
          <w:p>
            <w:r>
              <w:t>Promotion of non‑motorised transport (bicycle lanes, pedestrian pathways) within the estate.</w:t>
            </w:r>
          </w:p>
        </w:tc>
        <w:tc>
          <w:tcPr>
            <w:tcW w:type="dxa" w:w="2880"/>
          </w:tcPr>
          <w:p>
            <w:r>
              <w:t>Estate Planner</w:t>
            </w:r>
          </w:p>
        </w:tc>
        <w:tc>
          <w:tcPr>
            <w:tcW w:type="dxa" w:w="2880"/>
          </w:tcPr>
          <w:p>
            <w:r>
              <w:t>Usage surveys; maintenance of pathways.</w:t>
            </w:r>
          </w:p>
        </w:tc>
      </w:tr>
    </w:tbl>
    <w:p>
      <w:r>
        <w:t>### 7.2.7 Socio‑Economic and Community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Mitigation Measure</w:t>
            </w:r>
          </w:p>
        </w:tc>
        <w:tc>
          <w:tcPr>
            <w:tcW w:type="dxa" w:w="2880"/>
          </w:tcPr>
          <w:p>
            <w:r>
              <w:rPr>
                <w:b/>
              </w:rPr>
              <w:t>Implementation Responsibility</w:t>
            </w:r>
          </w:p>
        </w:tc>
        <w:tc>
          <w:tcPr>
            <w:tcW w:type="dxa" w:w="2880"/>
          </w:tcPr>
          <w:p>
            <w:r>
              <w:rPr>
                <w:b/>
              </w:rPr>
              <w:t>Monitoring &amp; Compliance</w:t>
            </w:r>
          </w:p>
        </w:tc>
      </w:tr>
      <w:tr>
        <w:tc>
          <w:tcPr>
            <w:tcW w:type="dxa" w:w="2880"/>
          </w:tcPr>
          <w:p>
            <w:r>
              <w:t>Employment of local labour (≥ 60 % of construction workforce) and procurement of locally sourced materials where possible.</w:t>
            </w:r>
          </w:p>
        </w:tc>
        <w:tc>
          <w:tcPr>
            <w:tcW w:type="dxa" w:w="2880"/>
          </w:tcPr>
          <w:p>
            <w:r>
              <w:t>HR Manager</w:t>
            </w:r>
          </w:p>
        </w:tc>
        <w:tc>
          <w:tcPr>
            <w:tcW w:type="dxa" w:w="2880"/>
          </w:tcPr>
          <w:p>
            <w:r>
              <w:t>Monthly labour roster; procurement records audited.</w:t>
            </w:r>
          </w:p>
        </w:tc>
      </w:tr>
      <w:tr>
        <w:tc>
          <w:tcPr>
            <w:tcW w:type="dxa" w:w="2880"/>
          </w:tcPr>
          <w:p>
            <w:r>
              <w:t>Establishment of a Grievance Redress Mechanism (GRM) Committee with representation from the community, women’s groups, and PWD advocates.</w:t>
            </w:r>
          </w:p>
        </w:tc>
        <w:tc>
          <w:tcPr>
            <w:tcW w:type="dxa" w:w="2880"/>
          </w:tcPr>
          <w:p>
            <w:r>
              <w:t>GRM Coordinator</w:t>
            </w:r>
          </w:p>
        </w:tc>
        <w:tc>
          <w:tcPr>
            <w:tcW w:type="dxa" w:w="2880"/>
          </w:tcPr>
          <w:p>
            <w:r>
              <w:t>Quarterly GRM meeting minutes; response time ≤ 15 days for all lodged grievances.</w:t>
            </w:r>
          </w:p>
        </w:tc>
      </w:tr>
      <w:tr>
        <w:tc>
          <w:tcPr>
            <w:tcW w:type="dxa" w:w="2880"/>
          </w:tcPr>
          <w:p>
            <w:r>
              <w:t>Allocation of 5 % of total housing units as PWD‑accessible, designed to Kenyan Building Code standards.</w:t>
            </w:r>
          </w:p>
        </w:tc>
        <w:tc>
          <w:tcPr>
            <w:tcW w:type="dxa" w:w="2880"/>
          </w:tcPr>
          <w:p>
            <w:r>
              <w:t>Design Team</w:t>
            </w:r>
          </w:p>
        </w:tc>
        <w:tc>
          <w:tcPr>
            <w:tcW w:type="dxa" w:w="2880"/>
          </w:tcPr>
          <w:p>
            <w:r>
              <w:t>Post‑occupancy inspection of accessible units; resident satisfaction survey.</w:t>
            </w:r>
          </w:p>
        </w:tc>
      </w:tr>
    </w:tbl>
    <w:p>
      <w:r>
        <w:t>| Community outreach programmes (health</w:t>
      </w:r>
    </w:p>
    <w:p>
      <w:r>
        <w:br w:type="page"/>
      </w:r>
    </w:p>
    <w:p>
      <w:pPr>
        <w:pStyle w:val="Heading1"/>
      </w:pPr>
      <w:r>
        <w:t>Chapter 8: Environmental and Social Management Plan</w:t>
      </w:r>
    </w:p>
    <w:p>
      <w:r>
        <w:t>## 8.1 Introduction</w:t>
      </w:r>
    </w:p>
    <w:p>
      <w:r>
        <w:t xml:space="preserve">The Environmental and Social Management Plan (ESMP) for the </w:t>
      </w:r>
      <w:r>
        <w:rPr>
          <w:b/>
        </w:rPr>
        <w:t>Kiratina Gardens Residential Estate</w:t>
      </w:r>
      <w:r>
        <w:t xml:space="preserve"> sets out the mitigation, monitoring, institutional and financial arrangements required to manage the identified environmental and social impacts of the project throughout its construction (30 months) and 50‑year operational life. The ESMP is aligned with the </w:t>
      </w:r>
      <w:r>
        <w:rPr>
          <w:b/>
        </w:rPr>
        <w:t>World Bank Environmental and Social Framework (ESF)</w:t>
      </w:r>
      <w:r>
        <w:t xml:space="preserve">, the </w:t>
      </w:r>
      <w:r>
        <w:rPr>
          <w:b/>
        </w:rPr>
        <w:t>Water Act 2016</w:t>
      </w:r>
      <w:r>
        <w:t>, and relevant Kenyan statutes and standards (e.g., NEMA Air Quality Guidelines, NEMA Noise Guidelines, WHO Air Quality Guidelines).</w:t>
      </w:r>
    </w:p>
    <w:p>
      <w:r>
        <w:t>## 8.2 ESMP Objectives</w:t>
      </w:r>
    </w:p>
    <w:p>
      <w:pPr>
        <w:pStyle w:val="ListNumber"/>
      </w:pPr>
      <w:r/>
      <w:r>
        <w:rPr>
          <w:b/>
        </w:rPr>
        <w:t>Prevent, minimize or offset adverse impacts</w:t>
      </w:r>
      <w:r>
        <w:t xml:space="preserve"> on air quality, noise, water resources, traffic safety, and the surrounding community.</w:t>
      </w:r>
    </w:p>
    <w:p>
      <w:pPr>
        <w:pStyle w:val="ListNumber"/>
      </w:pPr>
      <w:r/>
      <w:r>
        <w:rPr>
          <w:b/>
        </w:rPr>
        <w:t>Ensure compliance</w:t>
      </w:r>
      <w:r>
        <w:t xml:space="preserve"> with all applicable Kenyan legislation, NEMA guidelines, and international best practice.</w:t>
      </w:r>
    </w:p>
    <w:p>
      <w:pPr>
        <w:pStyle w:val="ListNumber"/>
      </w:pPr>
      <w:r/>
      <w:r>
        <w:rPr>
          <w:b/>
        </w:rPr>
        <w:t>Promote sustainable resource use</w:t>
      </w:r>
      <w:r>
        <w:t xml:space="preserve"> (water, energy, waste) and maintain the ecological integrity of the Kiratina Seasonal Stream and adjacent grassland.</w:t>
      </w:r>
    </w:p>
    <w:p>
      <w:pPr>
        <w:pStyle w:val="ListNumber"/>
      </w:pPr>
      <w:r/>
      <w:r>
        <w:rPr>
          <w:b/>
        </w:rPr>
        <w:t>Facilitate transparent stakeholder participation</w:t>
      </w:r>
      <w:r>
        <w:t xml:space="preserve"> through the established Grievance Redress Mechanism (GRM) and ongoing community liaison.</w:t>
      </w:r>
    </w:p>
    <w:p>
      <w:pPr>
        <w:pStyle w:val="ListNumber"/>
      </w:pPr>
      <w:r/>
      <w:r>
        <w:rPr>
          <w:b/>
        </w:rPr>
        <w:t>Provide a clear framework for monitoring, reporting and adaptive management</w:t>
      </w:r>
      <w:r>
        <w:t xml:space="preserve"> throughout the project life‑cycle.</w:t>
      </w:r>
    </w:p>
    <w:p>
      <w:r>
        <w:t>## 8.3 Institutional Arrangements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Institution/Entity</w:t>
            </w:r>
          </w:p>
        </w:tc>
        <w:tc>
          <w:tcPr>
            <w:tcW w:type="dxa" w:w="2880"/>
          </w:tcPr>
          <w:p>
            <w:r>
              <w:rPr>
                <w:b/>
              </w:rPr>
              <w:t>Responsibilities</w:t>
            </w:r>
          </w:p>
        </w:tc>
      </w:tr>
      <w:tr>
        <w:tc>
          <w:tcPr>
            <w:tcW w:type="dxa" w:w="2880"/>
          </w:tcPr>
          <w:p>
            <w:r/>
            <w:r>
              <w:rPr>
                <w:b/>
              </w:rPr>
              <w:t>Project Proponent</w:t>
            </w:r>
            <w:r/>
          </w:p>
        </w:tc>
        <w:tc>
          <w:tcPr>
            <w:tcW w:type="dxa" w:w="2880"/>
          </w:tcPr>
          <w:p>
            <w:r>
              <w:t>Meridian Homes (EA) Ltd.</w:t>
            </w:r>
          </w:p>
        </w:tc>
        <w:tc>
          <w:tcPr>
            <w:tcW w:type="dxa" w:w="2880"/>
          </w:tcPr>
          <w:p>
            <w:r>
              <w:t>Overall ESMP implementation, budgeting, reporting to NEMA, coordination of contractors.</w:t>
            </w:r>
          </w:p>
        </w:tc>
      </w:tr>
      <w:tr>
        <w:tc>
          <w:tcPr>
            <w:tcW w:type="dxa" w:w="2880"/>
          </w:tcPr>
          <w:p>
            <w:r/>
            <w:r>
              <w:rPr>
                <w:b/>
              </w:rPr>
              <w:t>ESMP Coordinator</w:t>
            </w:r>
            <w:r/>
          </w:p>
        </w:tc>
        <w:tc>
          <w:tcPr>
            <w:tcW w:type="dxa" w:w="2880"/>
          </w:tcPr>
          <w:p>
            <w:r>
              <w:t>Appointed by Proponent (qualified environmental specialist)</w:t>
            </w:r>
          </w:p>
        </w:tc>
        <w:tc>
          <w:tcPr>
            <w:tcW w:type="dxa" w:w="2880"/>
          </w:tcPr>
          <w:p>
            <w:r>
              <w:t>Daily oversight of mitigation measures, data collection, liaison with regulators and community.</w:t>
            </w:r>
          </w:p>
        </w:tc>
      </w:tr>
      <w:tr>
        <w:tc>
          <w:tcPr>
            <w:tcW w:type="dxa" w:w="2880"/>
          </w:tcPr>
          <w:p>
            <w:r/>
            <w:r>
              <w:rPr>
                <w:b/>
              </w:rPr>
              <w:t>Construction Contractor</w:t>
            </w:r>
            <w:r/>
          </w:p>
        </w:tc>
        <w:tc>
          <w:tcPr>
            <w:tcW w:type="dxa" w:w="2880"/>
          </w:tcPr>
          <w:p>
            <w:r/>
            <w:r>
              <w:rPr>
                <w:b/>
              </w:rPr>
              <w:t>[MISSING: CONTRACTOR NAME]</w:t>
            </w:r>
            <w:r/>
          </w:p>
        </w:tc>
        <w:tc>
          <w:tcPr>
            <w:tcW w:type="dxa" w:w="2880"/>
          </w:tcPr>
          <w:p>
            <w:r>
              <w:t>Execution of construction‑phase mitigation (dust, noise, traffic), submission of weekly progress reports.</w:t>
            </w:r>
          </w:p>
        </w:tc>
      </w:tr>
      <w:tr>
        <w:tc>
          <w:tcPr>
            <w:tcW w:type="dxa" w:w="2880"/>
          </w:tcPr>
          <w:p>
            <w:r/>
            <w:r>
              <w:rPr>
                <w:b/>
              </w:rPr>
              <w:t>Operations &amp; Maintenance (O&amp;M) Contractor</w:t>
            </w:r>
            <w:r/>
          </w:p>
        </w:tc>
        <w:tc>
          <w:tcPr>
            <w:tcW w:type="dxa" w:w="2880"/>
          </w:tcPr>
          <w:p>
            <w:r/>
            <w:r>
              <w:rPr>
                <w:b/>
              </w:rPr>
              <w:t>[MISSING: O&amp;M CONTRACTOR NAME]</w:t>
            </w:r>
            <w:r/>
          </w:p>
        </w:tc>
        <w:tc>
          <w:tcPr>
            <w:tcW w:type="dxa" w:w="2880"/>
          </w:tcPr>
          <w:p>
            <w:r>
              <w:t>Management of on‑site borehole, storage tank, sewage treatment plant, landscaping, and routine monitoring.</w:t>
            </w:r>
          </w:p>
        </w:tc>
      </w:tr>
      <w:tr>
        <w:tc>
          <w:tcPr>
            <w:tcW w:type="dxa" w:w="2880"/>
          </w:tcPr>
          <w:p>
            <w:r/>
            <w:r>
              <w:rPr>
                <w:b/>
              </w:rPr>
              <w:t>NEMA</w:t>
            </w:r>
            <w:r/>
          </w:p>
        </w:tc>
        <w:tc>
          <w:tcPr>
            <w:tcW w:type="dxa" w:w="2880"/>
          </w:tcPr>
          <w:p>
            <w:r>
              <w:t>National Environment Management Authority</w:t>
            </w:r>
          </w:p>
        </w:tc>
        <w:tc>
          <w:tcPr>
            <w:tcW w:type="dxa" w:w="2880"/>
          </w:tcPr>
          <w:p>
            <w:r>
              <w:t>Review of quarterly monitoring reports, enforcement of compliance, issuance of permits.</w:t>
            </w:r>
          </w:p>
        </w:tc>
      </w:tr>
      <w:tr>
        <w:tc>
          <w:tcPr>
            <w:tcW w:type="dxa" w:w="2880"/>
          </w:tcPr>
          <w:p>
            <w:r/>
            <w:r>
              <w:rPr>
                <w:b/>
              </w:rPr>
              <w:t>GRM Committee</w:t>
            </w:r>
            <w:r/>
          </w:p>
        </w:tc>
        <w:tc>
          <w:tcPr>
            <w:tcW w:type="dxa" w:w="2880"/>
          </w:tcPr>
          <w:p>
            <w:r>
              <w:t>Community‑selected representatives (incl. school, mosque, vulnerable groups)</w:t>
            </w:r>
          </w:p>
        </w:tc>
        <w:tc>
          <w:tcPr>
            <w:tcW w:type="dxa" w:w="2880"/>
          </w:tcPr>
          <w:p>
            <w:r>
              <w:t>Receive, log, and resolve grievances within 30 days; report trends to Proponent.</w:t>
            </w:r>
          </w:p>
        </w:tc>
      </w:tr>
      <w:tr>
        <w:tc>
          <w:tcPr>
            <w:tcW w:type="dxa" w:w="2880"/>
          </w:tcPr>
          <w:p>
            <w:r/>
            <w:r>
              <w:rPr>
                <w:b/>
              </w:rPr>
              <w:t>Local Authority (Kajiado County)</w:t>
            </w:r>
            <w:r/>
          </w:p>
        </w:tc>
        <w:tc>
          <w:tcPr>
            <w:tcW w:type="dxa" w:w="2880"/>
          </w:tcPr>
          <w:p>
            <w:r>
              <w:t>County Planning &amp; Environment Unit</w:t>
            </w:r>
          </w:p>
        </w:tc>
        <w:tc>
          <w:tcPr>
            <w:tcW w:type="dxa" w:w="2880"/>
          </w:tcPr>
          <w:p>
            <w:r>
              <w:t>Coordination on traffic management, water abstraction licensing, and land‑use compliance.</w:t>
            </w:r>
          </w:p>
        </w:tc>
      </w:tr>
    </w:tbl>
    <w:p>
      <w:r>
        <w:t>## 8.4 Mitigation Measures</w:t>
      </w:r>
    </w:p>
    <w:p>
      <w:r>
        <w:t>### 8.4.1 Construction Phase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Impact</w:t>
            </w:r>
          </w:p>
        </w:tc>
        <w:tc>
          <w:tcPr>
            <w:tcW w:type="dxa" w:w="2880"/>
          </w:tcPr>
          <w:p>
            <w:r>
              <w:rPr>
                <w:b/>
              </w:rPr>
              <w:t>Mitigation Measure</w:t>
            </w:r>
          </w:p>
        </w:tc>
        <w:tc>
          <w:tcPr>
            <w:tcW w:type="dxa" w:w="2880"/>
          </w:tcPr>
          <w:p>
            <w:r>
              <w:rPr>
                <w:b/>
              </w:rPr>
              <w:t>Standard / Reference</w:t>
            </w:r>
          </w:p>
        </w:tc>
      </w:tr>
      <w:tr>
        <w:tc>
          <w:tcPr>
            <w:tcW w:type="dxa" w:w="2880"/>
          </w:tcPr>
          <w:p>
            <w:r/>
            <w:r>
              <w:rPr>
                <w:b/>
              </w:rPr>
              <w:t>Airborne dust</w:t>
            </w:r>
            <w:r/>
          </w:p>
        </w:tc>
        <w:tc>
          <w:tcPr>
            <w:tcW w:type="dxa" w:w="2880"/>
          </w:tcPr>
          <w:p>
            <w:r>
              <w:t>• Water‑spray all haul roads and stockpiles twice daily.&lt;br&gt;• Cover trucks and aggregates during loading/unloading.&lt;br&gt;• Install windbreaks (temporary vegetative screens) around the site perimeter.</w:t>
            </w:r>
          </w:p>
        </w:tc>
        <w:tc>
          <w:tcPr>
            <w:tcW w:type="dxa" w:w="2880"/>
          </w:tcPr>
          <w:p>
            <w:r>
              <w:t>NEMA Air Quality Guidelines (PM2.5 ≤ 15 µg/m³, PM10 ≤ 75 µg/m³)</w:t>
            </w:r>
          </w:p>
        </w:tc>
      </w:tr>
      <w:tr>
        <w:tc>
          <w:tcPr>
            <w:tcW w:type="dxa" w:w="2880"/>
          </w:tcPr>
          <w:p>
            <w:r/>
            <w:r>
              <w:rPr>
                <w:b/>
              </w:rPr>
              <w:t>Noise</w:t>
            </w:r>
            <w:r/>
          </w:p>
        </w:tc>
        <w:tc>
          <w:tcPr>
            <w:tcW w:type="dxa" w:w="2880"/>
          </w:tcPr>
          <w:p>
            <w:r>
              <w:t>• Construction limited to 07:00–18:00, weekdays only; no weekend works.&lt;br&gt;• Use low‑noise equipment; maintain equipment in good condition.&lt;br&gt;• Erect temporary acoustic barriers (≥ 2 m high) along the north side adjacent to Kiratina Primary School (280 m).</w:t>
            </w:r>
          </w:p>
        </w:tc>
        <w:tc>
          <w:tcPr>
            <w:tcW w:type="dxa" w:w="2880"/>
          </w:tcPr>
          <w:p>
            <w:r>
              <w:t>NEMA Residential Night Noise ≤ 45 dBA; baseline daytime noise 47 dBA (exceeds night limit)</w:t>
            </w:r>
          </w:p>
        </w:tc>
      </w:tr>
      <w:tr>
        <w:tc>
          <w:tcPr>
            <w:tcW w:type="dxa" w:w="2880"/>
          </w:tcPr>
          <w:p>
            <w:r/>
            <w:r>
              <w:rPr>
                <w:b/>
              </w:rPr>
              <w:t>Traffic</w:t>
            </w:r>
            <w:r/>
          </w:p>
        </w:tc>
        <w:tc>
          <w:tcPr>
            <w:tcW w:type="dxa" w:w="2880"/>
          </w:tcPr>
          <w:p>
            <w:r>
              <w:t>• Dedicated estate access road with signal‑controlled junction to main arterial.&lt;br&gt;• Traffic marshal deployed during school hours (07:30–09:30 &amp; 15:30–17:00) for first 12 months.&lt;br&gt;• Signage and speed‑calming measures (speed bumps) within 200 m of the school.</w:t>
            </w:r>
          </w:p>
        </w:tc>
        <w:tc>
          <w:tcPr>
            <w:tcW w:type="dxa" w:w="2880"/>
          </w:tcPr>
          <w:p>
            <w:r>
              <w:t>Kenyan Traffic Act 2016; World Bank ESF Traffic Management Guidelines</w:t>
            </w:r>
          </w:p>
        </w:tc>
      </w:tr>
      <w:tr>
        <w:tc>
          <w:tcPr>
            <w:tcW w:type="dxa" w:w="2880"/>
          </w:tcPr>
          <w:p>
            <w:r/>
            <w:r>
              <w:rPr>
                <w:b/>
              </w:rPr>
              <w:t>Water supply strain</w:t>
            </w:r>
            <w:r/>
          </w:p>
        </w:tc>
        <w:tc>
          <w:tcPr>
            <w:tcW w:type="dxa" w:w="2880"/>
          </w:tcPr>
          <w:p>
            <w:r>
              <w:t>• No abstraction from municipal supply; use on‑site borehole (depth 43 m) and 500,000 L storage tank for construction water.&lt;br&gt;• Implement water‑saving construction practices (e.g., concrete mixing on‑site, recycling wash water).</w:t>
            </w:r>
          </w:p>
        </w:tc>
        <w:tc>
          <w:tcPr>
            <w:tcW w:type="dxa" w:w="2880"/>
          </w:tcPr>
          <w:p>
            <w:r>
              <w:t xml:space="preserve">Water Act 2016 – abstraction licence to be obtained; </w:t>
            </w:r>
            <w:r>
              <w:rPr>
                <w:b/>
              </w:rPr>
              <w:t>[MISSING: BOREHOLE YIELD]</w:t>
            </w:r>
            <w:r/>
          </w:p>
        </w:tc>
      </w:tr>
      <w:tr>
        <w:tc>
          <w:tcPr>
            <w:tcW w:type="dxa" w:w="2880"/>
          </w:tcPr>
          <w:p>
            <w:r/>
            <w:r>
              <w:rPr>
                <w:b/>
              </w:rPr>
              <w:t>Sewage disposal</w:t>
            </w:r>
            <w:r/>
          </w:p>
        </w:tc>
        <w:tc>
          <w:tcPr>
            <w:tcW w:type="dxa" w:w="2880"/>
          </w:tcPr>
          <w:p>
            <w:r>
              <w:t>• Temporary septic tanks for construction workers; desludge and dispose at licensed facility.&lt;br&gt;• Ensure no discharge to Kiratina Seasonal Stream.</w:t>
            </w:r>
          </w:p>
        </w:tc>
        <w:tc>
          <w:tcPr>
            <w:tcW w:type="dxa" w:w="2880"/>
          </w:tcPr>
          <w:p>
            <w:r>
              <w:t>Water Act 2016 – effluent standards</w:t>
            </w:r>
          </w:p>
        </w:tc>
      </w:tr>
      <w:tr>
        <w:tc>
          <w:tcPr>
            <w:tcW w:type="dxa" w:w="2880"/>
          </w:tcPr>
          <w:p>
            <w:r/>
            <w:r>
              <w:rPr>
                <w:b/>
              </w:rPr>
              <w:t>Waste management</w:t>
            </w:r>
            <w:r/>
          </w:p>
        </w:tc>
        <w:tc>
          <w:tcPr>
            <w:tcW w:type="dxa" w:w="2880"/>
          </w:tcPr>
          <w:p>
            <w:r>
              <w:t>• Segregate waste into inert, recyclable, and hazardous streams.&lt;br&gt;• Store waste in covered containers; transport to licensed disposal sites.</w:t>
            </w:r>
          </w:p>
        </w:tc>
        <w:tc>
          <w:tcPr>
            <w:tcW w:type="dxa" w:w="2880"/>
          </w:tcPr>
          <w:p>
            <w:r>
              <w:t>NEMA Waste Management Regulations 2016</w:t>
            </w:r>
          </w:p>
        </w:tc>
      </w:tr>
      <w:tr>
        <w:tc>
          <w:tcPr>
            <w:tcW w:type="dxa" w:w="2880"/>
          </w:tcPr>
          <w:p>
            <w:r/>
            <w:r>
              <w:rPr>
                <w:b/>
              </w:rPr>
              <w:t>Ecological disturbance</w:t>
            </w:r>
            <w:r/>
          </w:p>
        </w:tc>
        <w:tc>
          <w:tcPr>
            <w:tcW w:type="dxa" w:w="2880"/>
          </w:tcPr>
          <w:p>
            <w:r>
              <w:t>• Preserve existing acacia trees; re‑plant minimum 30 % of cleared area with indigenous species.&lt;br&gt;• Limit clearing to the defined footprint; avoid encroachment on the seasonal swale.</w:t>
            </w:r>
          </w:p>
        </w:tc>
        <w:tc>
          <w:tcPr>
            <w:tcW w:type="dxa" w:w="2880"/>
          </w:tcPr>
          <w:p>
            <w:r>
              <w:t>NEMA Biodiversity Guidelines</w:t>
            </w:r>
          </w:p>
        </w:tc>
      </w:tr>
    </w:tbl>
    <w:p>
      <w:r>
        <w:t>### 8.4.2 Operational Phase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Impact</w:t>
            </w:r>
          </w:p>
        </w:tc>
        <w:tc>
          <w:tcPr>
            <w:tcW w:type="dxa" w:w="2880"/>
          </w:tcPr>
          <w:p>
            <w:r>
              <w:rPr>
                <w:b/>
              </w:rPr>
              <w:t>Mitigation Measure</w:t>
            </w:r>
          </w:p>
        </w:tc>
        <w:tc>
          <w:tcPr>
            <w:tcW w:type="dxa" w:w="2880"/>
          </w:tcPr>
          <w:p>
            <w:r>
              <w:rPr>
                <w:b/>
              </w:rPr>
              <w:t>Standard / Reference</w:t>
            </w:r>
          </w:p>
        </w:tc>
      </w:tr>
      <w:tr>
        <w:tc>
          <w:tcPr>
            <w:tcW w:type="dxa" w:w="2880"/>
          </w:tcPr>
          <w:p>
            <w:r/>
            <w:r>
              <w:rPr>
                <w:b/>
              </w:rPr>
              <w:t>Water consumption</w:t>
            </w:r>
            <w:r/>
          </w:p>
        </w:tc>
        <w:tc>
          <w:tcPr>
            <w:tcW w:type="dxa" w:w="2880"/>
          </w:tcPr>
          <w:p>
            <w:r>
              <w:t>• On‑site borehole supplies all domestic water; 500,000 L storage tank provides buffer.&lt;br&gt;• Install low‑flow fixtures (≤ 6 L/min taps, dual‑flush toilets).</w:t>
            </w:r>
          </w:p>
        </w:tc>
        <w:tc>
          <w:tcPr>
            <w:tcW w:type="dxa" w:w="2880"/>
          </w:tcPr>
          <w:p>
            <w:r>
              <w:t xml:space="preserve">Water Act 2016 – sustainable abstraction; </w:t>
            </w:r>
            <w:r>
              <w:rPr>
                <w:b/>
              </w:rPr>
              <w:t>[MISSING: DAILY WATER DEMAND]</w:t>
            </w:r>
            <w:r/>
          </w:p>
        </w:tc>
      </w:tr>
      <w:tr>
        <w:tc>
          <w:tcPr>
            <w:tcW w:type="dxa" w:w="2880"/>
          </w:tcPr>
          <w:p>
            <w:r/>
            <w:r>
              <w:rPr>
                <w:b/>
              </w:rPr>
              <w:t>Sewage treatment</w:t>
            </w:r>
            <w:r/>
          </w:p>
        </w:tc>
        <w:tc>
          <w:tcPr>
            <w:tcW w:type="dxa" w:w="2880"/>
          </w:tcPr>
          <w:p>
            <w:r>
              <w:t>• Package sewage treatment plant (PSTP) with primary, secondary, and tertiary (UV) treatment.&lt;br&gt;• Discharge effluent to Kiratina Seasonal Stream after meeting Water Act 2016 effluent limits (BOD₅ ≤ 30 mg/L, TSS ≤ 30 mg/L, pH 6–9).</w:t>
            </w:r>
          </w:p>
        </w:tc>
        <w:tc>
          <w:tcPr>
            <w:tcW w:type="dxa" w:w="2880"/>
          </w:tcPr>
          <w:p>
            <w:r>
              <w:t>Water Act 2016 – effluent standards</w:t>
            </w:r>
          </w:p>
        </w:tc>
      </w:tr>
      <w:tr>
        <w:tc>
          <w:tcPr>
            <w:tcW w:type="dxa" w:w="2880"/>
          </w:tcPr>
          <w:p>
            <w:r/>
            <w:r>
              <w:rPr>
                <w:b/>
              </w:rPr>
              <w:t>Stormwater management</w:t>
            </w:r>
            <w:r/>
          </w:p>
        </w:tc>
        <w:tc>
          <w:tcPr>
            <w:tcW w:type="dxa" w:w="2880"/>
          </w:tcPr>
          <w:p>
            <w:r>
              <w:t>• Constructed wetland and infiltration trenches to treat runoff before entering the natural sheet flow.&lt;br&gt;• Maintain 5 m vegetated buffer zone between estate and stream.</w:t>
            </w:r>
          </w:p>
        </w:tc>
        <w:tc>
          <w:tcPr>
            <w:tcW w:type="dxa" w:w="2880"/>
          </w:tcPr>
          <w:p>
            <w:r>
              <w:t>NEMA Stormwater Guidelines</w:t>
            </w:r>
          </w:p>
        </w:tc>
      </w:tr>
      <w:tr>
        <w:tc>
          <w:tcPr>
            <w:tcW w:type="dxa" w:w="2880"/>
          </w:tcPr>
          <w:p>
            <w:r/>
            <w:r>
              <w:rPr>
                <w:b/>
              </w:rPr>
              <w:t>Air quality</w:t>
            </w:r>
            <w:r/>
          </w:p>
        </w:tc>
        <w:tc>
          <w:tcPr>
            <w:tcW w:type="dxa" w:w="2880"/>
          </w:tcPr>
          <w:p>
            <w:r>
              <w:t>• Landscape with native grasses to reduce dust re‑suspension.&lt;br&gt;• Promote use of electric vehicles for estate services where feasible.</w:t>
            </w:r>
          </w:p>
        </w:tc>
        <w:tc>
          <w:tcPr>
            <w:tcW w:type="dxa" w:w="2880"/>
          </w:tcPr>
          <w:p>
            <w:r>
              <w:t>WHO 24‑hr PM2.5 guideline 15 µg/m³; NEMA PM10 75 µg/m³</w:t>
            </w:r>
          </w:p>
        </w:tc>
      </w:tr>
      <w:tr>
        <w:tc>
          <w:tcPr>
            <w:tcW w:type="dxa" w:w="2880"/>
          </w:tcPr>
          <w:p>
            <w:r/>
            <w:r>
              <w:rPr>
                <w:b/>
              </w:rPr>
              <w:t>Noise</w:t>
            </w:r>
            <w:r/>
          </w:p>
        </w:tc>
        <w:tc>
          <w:tcPr>
            <w:tcW w:type="dxa" w:w="2880"/>
          </w:tcPr>
          <w:p>
            <w:r>
              <w:t>• Enforce residential night noise limit of 45 dBA (10 pm–6 am).&lt;br&gt;• Install acoustic insulation in common areas.</w:t>
            </w:r>
          </w:p>
        </w:tc>
        <w:tc>
          <w:tcPr>
            <w:tcW w:type="dxa" w:w="2880"/>
          </w:tcPr>
          <w:p>
            <w:r>
              <w:t>NEMA Residential Night Noise ≤ 45 dBA</w:t>
            </w:r>
          </w:p>
        </w:tc>
      </w:tr>
      <w:tr>
        <w:tc>
          <w:tcPr>
            <w:tcW w:type="dxa" w:w="2880"/>
          </w:tcPr>
          <w:p>
            <w:r/>
            <w:r>
              <w:rPr>
                <w:b/>
              </w:rPr>
              <w:t>Traffic</w:t>
            </w:r>
            <w:r/>
          </w:p>
        </w:tc>
        <w:tc>
          <w:tcPr>
            <w:tcW w:type="dxa" w:w="2880"/>
          </w:tcPr>
          <w:p>
            <w:r>
              <w:t>• One‑way internal road network; speed limit 30 km/h.&lt;br&gt;• Provide dedicated pedestrian and bicycle paths.</w:t>
            </w:r>
          </w:p>
        </w:tc>
        <w:tc>
          <w:tcPr>
            <w:tcW w:type="dxa" w:w="2880"/>
          </w:tcPr>
          <w:p>
            <w:r>
              <w:t>World Bank ESF – Transportation Management</w:t>
            </w:r>
          </w:p>
        </w:tc>
      </w:tr>
      <w:tr>
        <w:tc>
          <w:tcPr>
            <w:tcW w:type="dxa" w:w="2880"/>
          </w:tcPr>
          <w:p>
            <w:r/>
            <w:r>
              <w:rPr>
                <w:b/>
              </w:rPr>
              <w:t>Landscape &amp; Visual Impact</w:t>
            </w:r>
            <w:r/>
          </w:p>
        </w:tc>
        <w:tc>
          <w:tcPr>
            <w:tcW w:type="dxa" w:w="2880"/>
          </w:tcPr>
          <w:p>
            <w:r>
              <w:t>• Height restriction to 4 storeys on the side facing existing residential plots.&lt;br&gt;• Continuous landscaped buffer (≥ 6 m) with indigenous trees and shrubs.</w:t>
            </w:r>
          </w:p>
        </w:tc>
        <w:tc>
          <w:tcPr>
            <w:tcW w:type="dxa" w:w="2880"/>
          </w:tcPr>
          <w:p>
            <w:r>
              <w:t>NEMA Visual Impact Guidelines</w:t>
            </w:r>
          </w:p>
        </w:tc>
      </w:tr>
      <w:tr>
        <w:tc>
          <w:tcPr>
            <w:tcW w:type="dxa" w:w="2880"/>
          </w:tcPr>
          <w:p>
            <w:r/>
            <w:r>
              <w:rPr>
                <w:b/>
              </w:rPr>
              <w:t>Social Inclusion</w:t>
            </w:r>
            <w:r/>
          </w:p>
        </w:tc>
        <w:tc>
          <w:tcPr>
            <w:tcW w:type="dxa" w:w="2880"/>
          </w:tcPr>
          <w:p>
            <w:r>
              <w:t>• 5 % of units designed to be fully accessible for persons with disabilities (PWD).&lt;br&gt;• Community facilities (playground, meeting hall) open to surrounding residents.</w:t>
            </w:r>
          </w:p>
        </w:tc>
        <w:tc>
          <w:tcPr>
            <w:tcW w:type="dxa" w:w="2880"/>
          </w:tcPr>
          <w:p>
            <w:r>
              <w:t>World Bank ESF – Social Inclusion</w:t>
            </w:r>
          </w:p>
        </w:tc>
      </w:tr>
    </w:tbl>
    <w:p>
      <w:r>
        <w:t>## 8.5 Monitoring and Reporting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Parameter</w:t>
            </w:r>
          </w:p>
        </w:tc>
        <w:tc>
          <w:tcPr>
            <w:tcW w:type="dxa" w:w="1728"/>
          </w:tcPr>
          <w:p>
            <w:r>
              <w:rPr>
                <w:b/>
              </w:rPr>
              <w:t>Monitoring Frequency</w:t>
            </w:r>
          </w:p>
        </w:tc>
        <w:tc>
          <w:tcPr>
            <w:tcW w:type="dxa" w:w="1728"/>
          </w:tcPr>
          <w:p>
            <w:r>
              <w:rPr>
                <w:b/>
              </w:rPr>
              <w:t>Methodology</w:t>
            </w:r>
          </w:p>
        </w:tc>
        <w:tc>
          <w:tcPr>
            <w:tcW w:type="dxa" w:w="1728"/>
          </w:tcPr>
          <w:p>
            <w:r>
              <w:rPr>
                <w:b/>
              </w:rPr>
              <w:t>Acceptance Criteria</w:t>
            </w:r>
          </w:p>
        </w:tc>
        <w:tc>
          <w:tcPr>
            <w:tcW w:type="dxa" w:w="1728"/>
          </w:tcPr>
          <w:p>
            <w:r>
              <w:rPr>
                <w:b/>
              </w:rPr>
              <w:t>Reporting</w:t>
            </w:r>
          </w:p>
        </w:tc>
      </w:tr>
      <w:tr>
        <w:tc>
          <w:tcPr>
            <w:tcW w:type="dxa" w:w="1728"/>
          </w:tcPr>
          <w:p>
            <w:r/>
            <w:r>
              <w:rPr>
                <w:b/>
              </w:rPr>
              <w:t>Air Quality (PM2.5, PM10)</w:t>
            </w:r>
            <w:r/>
          </w:p>
        </w:tc>
        <w:tc>
          <w:tcPr>
            <w:tcW w:type="dxa" w:w="1728"/>
          </w:tcPr>
          <w:p>
            <w:r>
              <w:t>Construction: Monthly; Operation: Quarterly</w:t>
            </w:r>
          </w:p>
        </w:tc>
        <w:tc>
          <w:tcPr>
            <w:tcW w:type="dxa" w:w="1728"/>
          </w:tcPr>
          <w:p>
            <w:r>
              <w:t>Portable real‑time monitors placed at site edge (near school)</w:t>
            </w:r>
          </w:p>
        </w:tc>
        <w:tc>
          <w:tcPr>
            <w:tcW w:type="dxa" w:w="1728"/>
          </w:tcPr>
          <w:p>
            <w:r>
              <w:t>PM2.5 ≤ 15 µg/m³ (WHO); PM10 ≤ 75 µg/m³ (NEMA)</w:t>
            </w:r>
          </w:p>
        </w:tc>
        <w:tc>
          <w:tcPr>
            <w:tcW w:type="dxa" w:w="1728"/>
          </w:tcPr>
          <w:p>
            <w:r>
              <w:t>Quarterly ESMP report to NEMA</w:t>
            </w:r>
          </w:p>
        </w:tc>
      </w:tr>
      <w:tr>
        <w:tc>
          <w:tcPr>
            <w:tcW w:type="dxa" w:w="1728"/>
          </w:tcPr>
          <w:p>
            <w:r/>
            <w:r>
              <w:rPr>
                <w:b/>
              </w:rPr>
              <w:t>Noise Levels</w:t>
            </w:r>
            <w:r/>
          </w:p>
        </w:tc>
        <w:tc>
          <w:tcPr>
            <w:tcW w:type="dxa" w:w="1728"/>
          </w:tcPr>
          <w:p>
            <w:r>
              <w:t>Construction: Weekly (peak hours); Operation: Quarterly (night)</w:t>
            </w:r>
          </w:p>
        </w:tc>
        <w:tc>
          <w:tcPr>
            <w:tcW w:type="dxa" w:w="1728"/>
          </w:tcPr>
          <w:p>
            <w:r>
              <w:t>Sound level meter (A‑weighted), 1 m height, 3 m from façade</w:t>
            </w:r>
          </w:p>
        </w:tc>
        <w:tc>
          <w:tcPr>
            <w:tcW w:type="dxa" w:w="1728"/>
          </w:tcPr>
          <w:p>
            <w:r>
              <w:t>Daytime ≤ 55 dBA; Night ≤ 45 dBA (NEMA)</w:t>
            </w:r>
          </w:p>
        </w:tc>
        <w:tc>
          <w:tcPr>
            <w:tcW w:type="dxa" w:w="1728"/>
          </w:tcPr>
          <w:p>
            <w:r>
              <w:t>Included in quarterly report</w:t>
            </w:r>
          </w:p>
        </w:tc>
      </w:tr>
      <w:tr>
        <w:tc>
          <w:tcPr>
            <w:tcW w:type="dxa" w:w="1728"/>
          </w:tcPr>
          <w:p>
            <w:r/>
            <w:r>
              <w:rPr>
                <w:b/>
              </w:rPr>
              <w:t>Water Quality (BOD₅, TSS, pH, EC)</w:t>
            </w:r>
            <w:r/>
          </w:p>
        </w:tc>
        <w:tc>
          <w:tcPr>
            <w:tcW w:type="dxa" w:w="1728"/>
          </w:tcPr>
          <w:p>
            <w:r>
              <w:t>Construction: Monthly (stormwater); Operation: Monthly (effluent)</w:t>
            </w:r>
          </w:p>
        </w:tc>
        <w:tc>
          <w:tcPr>
            <w:tcW w:type="dxa" w:w="1728"/>
          </w:tcPr>
          <w:p>
            <w:r>
              <w:t>Grab samples analysed at accredited lab</w:t>
            </w:r>
          </w:p>
        </w:tc>
        <w:tc>
          <w:tcPr>
            <w:tcW w:type="dxa" w:w="1728"/>
          </w:tcPr>
          <w:p>
            <w:r>
              <w:t>BOD₅ ≤ 30 mg/L; TSS ≤ 30 mg/L; pH 6–9 (Water Act 2016)</w:t>
            </w:r>
          </w:p>
        </w:tc>
        <w:tc>
          <w:tcPr>
            <w:tcW w:type="dxa" w:w="1728"/>
          </w:tcPr>
          <w:p>
            <w:r>
              <w:t>Monthly O&amp;M log; quarterly summary to NEMA</w:t>
            </w:r>
          </w:p>
        </w:tc>
      </w:tr>
      <w:tr>
        <w:tc>
          <w:tcPr>
            <w:tcW w:type="dxa" w:w="1728"/>
          </w:tcPr>
          <w:p>
            <w:r/>
            <w:r>
              <w:rPr>
                <w:b/>
              </w:rPr>
              <w:t>Groundwater Levels</w:t>
            </w:r>
            <w:r/>
          </w:p>
        </w:tc>
        <w:tc>
          <w:tcPr>
            <w:tcW w:type="dxa" w:w="1728"/>
          </w:tcPr>
          <w:p>
            <w:r>
              <w:t>Quarterly</w:t>
            </w:r>
          </w:p>
        </w:tc>
        <w:tc>
          <w:tcPr>
            <w:tcW w:type="dxa" w:w="1728"/>
          </w:tcPr>
          <w:p>
            <w:r>
              <w:t>Observation wells (3 m depth)</w:t>
            </w:r>
          </w:p>
        </w:tc>
        <w:tc>
          <w:tcPr>
            <w:tcW w:type="dxa" w:w="1728"/>
          </w:tcPr>
          <w:p>
            <w:r>
              <w:t>No decline &gt; 2 m from baseline (43 m)</w:t>
            </w:r>
          </w:p>
        </w:tc>
        <w:tc>
          <w:tcPr>
            <w:tcW w:type="dxa" w:w="1728"/>
          </w:tcPr>
          <w:p>
            <w:r>
              <w:t>Quarterly report</w:t>
            </w:r>
          </w:p>
        </w:tc>
      </w:tr>
      <w:tr>
        <w:tc>
          <w:tcPr>
            <w:tcW w:type="dxa" w:w="1728"/>
          </w:tcPr>
          <w:p>
            <w:r/>
            <w:r>
              <w:rPr>
                <w:b/>
              </w:rPr>
              <w:t>Sewage Treatment Plant Performance</w:t>
            </w:r>
            <w:r/>
          </w:p>
        </w:tc>
        <w:tc>
          <w:tcPr>
            <w:tcW w:type="dxa" w:w="1728"/>
          </w:tcPr>
          <w:p>
            <w:r>
              <w:t>Daily log (flow, power); Monthly performance test</w:t>
            </w:r>
          </w:p>
        </w:tc>
        <w:tc>
          <w:tcPr>
            <w:tcW w:type="dxa" w:w="1728"/>
          </w:tcPr>
          <w:p>
            <w:r>
              <w:t>Plant SCADA system; lab analysis of effluent</w:t>
            </w:r>
          </w:p>
        </w:tc>
        <w:tc>
          <w:tcPr>
            <w:tcW w:type="dxa" w:w="1728"/>
          </w:tcPr>
          <w:p>
            <w:r>
              <w:t>Meet Water Act 2016 effluent standards</w:t>
            </w:r>
          </w:p>
        </w:tc>
        <w:tc>
          <w:tcPr>
            <w:tcW w:type="dxa" w:w="1728"/>
          </w:tcPr>
          <w:p>
            <w:r>
              <w:t>Monthly O&amp;M report</w:t>
            </w:r>
          </w:p>
        </w:tc>
      </w:tr>
      <w:tr>
        <w:tc>
          <w:tcPr>
            <w:tcW w:type="dxa" w:w="1728"/>
          </w:tcPr>
          <w:p>
            <w:r/>
            <w:r>
              <w:rPr>
                <w:b/>
              </w:rPr>
              <w:t>Traffic Counts &amp; Accident Rates</w:t>
            </w:r>
            <w:r/>
          </w:p>
        </w:tc>
        <w:tc>
          <w:tcPr>
            <w:tcW w:type="dxa" w:w="1728"/>
          </w:tcPr>
          <w:p>
            <w:r>
              <w:t>Construction: Bi‑weekly; Operation: Quarterly</w:t>
            </w:r>
          </w:p>
        </w:tc>
        <w:tc>
          <w:tcPr>
            <w:tcW w:type="dxa" w:w="1728"/>
          </w:tcPr>
          <w:p>
            <w:r>
              <w:t>Manual counts at estate entrance; police accident data</w:t>
            </w:r>
          </w:p>
        </w:tc>
        <w:tc>
          <w:tcPr>
            <w:tcW w:type="dxa" w:w="1728"/>
          </w:tcPr>
          <w:p>
            <w:r>
              <w:t>No increase &gt; 15 % in peak hour traffic near school</w:t>
            </w:r>
          </w:p>
        </w:tc>
        <w:tc>
          <w:tcPr>
            <w:tcW w:type="dxa" w:w="1728"/>
          </w:tcPr>
          <w:p>
            <w:r>
              <w:t>Included in quarterly report</w:t>
            </w:r>
          </w:p>
        </w:tc>
      </w:tr>
      <w:tr>
        <w:tc>
          <w:tcPr>
            <w:tcW w:type="dxa" w:w="1728"/>
          </w:tcPr>
          <w:p>
            <w:r/>
            <w:r>
              <w:rPr>
                <w:b/>
              </w:rPr>
              <w:t>Landscape Survival Rate</w:t>
            </w:r>
            <w:r/>
          </w:p>
        </w:tc>
        <w:tc>
          <w:tcPr>
            <w:tcW w:type="dxa" w:w="1728"/>
          </w:tcPr>
          <w:p>
            <w:r>
              <w:t>Quarterly (first 2 years), annually thereafter</w:t>
            </w:r>
          </w:p>
        </w:tc>
        <w:tc>
          <w:tcPr>
            <w:tcW w:type="dxa" w:w="1728"/>
          </w:tcPr>
          <w:p>
            <w:r>
              <w:t>Visual inspection, % canopy cover</w:t>
            </w:r>
          </w:p>
        </w:tc>
        <w:tc>
          <w:tcPr>
            <w:tcW w:type="dxa" w:w="1728"/>
          </w:tcPr>
          <w:p>
            <w:r>
              <w:t>≥ 80 % survival of planted species</w:t>
            </w:r>
          </w:p>
        </w:tc>
        <w:tc>
          <w:tcPr>
            <w:tcW w:type="dxa" w:w="1728"/>
          </w:tcPr>
          <w:p>
            <w:r>
              <w:t>Annual sustainability report</w:t>
            </w:r>
          </w:p>
        </w:tc>
      </w:tr>
      <w:tr>
        <w:tc>
          <w:tcPr>
            <w:tcW w:type="dxa" w:w="1728"/>
          </w:tcPr>
          <w:p>
            <w:r/>
            <w:r>
              <w:rPr>
                <w:b/>
              </w:rPr>
              <w:t>GRM Cases</w:t>
            </w:r>
            <w:r/>
          </w:p>
        </w:tc>
        <w:tc>
          <w:tcPr>
            <w:tcW w:type="dxa" w:w="1728"/>
          </w:tcPr>
          <w:p>
            <w:r>
              <w:t>Ongoing</w:t>
            </w:r>
          </w:p>
        </w:tc>
        <w:tc>
          <w:tcPr>
            <w:tcW w:type="dxa" w:w="1728"/>
          </w:tcPr>
          <w:p>
            <w:r>
              <w:t>GRM log (date, nature, resolution)</w:t>
            </w:r>
          </w:p>
        </w:tc>
        <w:tc>
          <w:tcPr>
            <w:tcW w:type="dxa" w:w="1728"/>
          </w:tcPr>
          <w:p>
            <w:r>
              <w:t>90 % resolved within 30 days</w:t>
            </w:r>
          </w:p>
        </w:tc>
        <w:tc>
          <w:tcPr>
            <w:tcW w:type="dxa" w:w="1728"/>
          </w:tcPr>
          <w:p>
            <w:r>
              <w:t>Monthly GRM summary to Proponent and NEMA</w:t>
            </w:r>
          </w:p>
        </w:tc>
      </w:tr>
    </w:tbl>
    <w:p>
      <w:r>
        <w:t xml:space="preserve">All monitoring data shall be recorded in the </w:t>
      </w:r>
      <w:r>
        <w:rPr>
          <w:b/>
        </w:rPr>
        <w:t>ESMP Monitoring Database</w:t>
      </w:r>
      <w:r>
        <w:t xml:space="preserve"> and made available for NEMA inspection upon request.</w:t>
      </w:r>
    </w:p>
    <w:p>
      <w:r>
        <w:t>## 8.6 Capacity Building and Training</w:t>
      </w:r>
    </w:p>
    <w:p>
      <w:pPr>
        <w:pStyle w:val="ListNumber"/>
      </w:pPr>
      <w:r/>
      <w:r>
        <w:rPr>
          <w:b/>
        </w:rPr>
        <w:t>Construction Workers</w:t>
      </w:r>
      <w:r>
        <w:t xml:space="preserve"> – 2‑day induction on dust suppression, noise control, waste segregation, and occupational health &amp; safety.</w:t>
      </w:r>
    </w:p>
    <w:p>
      <w:pPr>
        <w:pStyle w:val="ListNumber"/>
      </w:pPr>
      <w:r/>
      <w:r>
        <w:rPr>
          <w:b/>
        </w:rPr>
        <w:t>Estate Management Staff</w:t>
      </w:r>
      <w:r>
        <w:t xml:space="preserve"> – Annual refresher on operation of the PSTP, water storage management, and emergency response.</w:t>
      </w:r>
    </w:p>
    <w:p>
      <w:pPr>
        <w:pStyle w:val="ListNumber"/>
      </w:pPr>
      <w:r/>
      <w:r>
        <w:rPr>
          <w:b/>
        </w:rPr>
        <w:t>Community Liaison Officers</w:t>
      </w:r>
      <w:r>
        <w:t xml:space="preserve"> – Training on GRM procedures, cultural sensitivity, and reporting protocols.</w:t>
      </w:r>
    </w:p>
    <w:p>
      <w:pPr>
        <w:pStyle w:val="ListNumber"/>
      </w:pPr>
      <w:r/>
      <w:r>
        <w:rPr>
          <w:b/>
        </w:rPr>
        <w:t>Local School Teachers</w:t>
      </w:r>
      <w:r>
        <w:t xml:space="preserve"> – Workshops on environmental stewardship and safe routes to school during construction.</w:t>
      </w:r>
    </w:p>
    <w:p>
      <w:r>
        <w:t>All training sessions will be documented with attendance sheets and training materials retained for a minimum of five years.</w:t>
      </w:r>
    </w:p>
    <w:p>
      <w:r>
        <w:t>## 8.7 Budget and Financing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ESMP Component</w:t>
            </w:r>
          </w:p>
        </w:tc>
        <w:tc>
          <w:tcPr>
            <w:tcW w:type="dxa" w:w="2880"/>
          </w:tcPr>
          <w:p>
            <w:r>
              <w:rPr>
                <w:b/>
              </w:rPr>
              <w:t>Estimated Cost (KES)</w:t>
            </w:r>
          </w:p>
        </w:tc>
        <w:tc>
          <w:tcPr>
            <w:tcW w:type="dxa" w:w="2880"/>
          </w:tcPr>
          <w:p>
            <w:r>
              <w:rPr>
                <w:b/>
              </w:rPr>
              <w:t>Funding Source</w:t>
            </w:r>
          </w:p>
        </w:tc>
      </w:tr>
      <w:tr>
        <w:tc>
          <w:tcPr>
            <w:tcW w:type="dxa" w:w="2880"/>
          </w:tcPr>
          <w:p>
            <w:r>
              <w:t>Dust &amp; Noise Control (equipment, barriers)</w:t>
            </w:r>
          </w:p>
        </w:tc>
        <w:tc>
          <w:tcPr>
            <w:tcW w:type="dxa" w:w="2880"/>
          </w:tcPr>
          <w:p>
            <w:r/>
            <w:r>
              <w:rPr>
                <w:b/>
              </w:rPr>
              <w:t>[MISSING: DUST/NOISE BUDGET]</w:t>
            </w:r>
            <w:r/>
          </w:p>
        </w:tc>
        <w:tc>
          <w:tcPr>
            <w:tcW w:type="dxa" w:w="2880"/>
          </w:tcPr>
          <w:p>
            <w:r>
              <w:t>Proponent</w:t>
            </w:r>
          </w:p>
        </w:tc>
      </w:tr>
      <w:tr>
        <w:tc>
          <w:tcPr>
            <w:tcW w:type="dxa" w:w="2880"/>
          </w:tcPr>
          <w:p>
            <w:r>
              <w:t>Water Infrastructure (borehole drilling, storage tank)</w:t>
            </w:r>
          </w:p>
        </w:tc>
        <w:tc>
          <w:tcPr>
            <w:tcW w:type="dxa" w:w="2880"/>
          </w:tcPr>
          <w:p>
            <w:r/>
            <w:r>
              <w:rPr>
                <w:b/>
              </w:rPr>
              <w:t>[MISSING: WATER INFRASTRUCTURE BUDGET]</w:t>
            </w:r>
            <w:r/>
          </w:p>
        </w:tc>
        <w:tc>
          <w:tcPr>
            <w:tcW w:type="dxa" w:w="2880"/>
          </w:tcPr>
          <w:p>
            <w:r>
              <w:t>Proponent</w:t>
            </w:r>
          </w:p>
        </w:tc>
      </w:tr>
      <w:tr>
        <w:tc>
          <w:tcPr>
            <w:tcW w:type="dxa" w:w="2880"/>
          </w:tcPr>
          <w:p>
            <w:r>
              <w:t>Sewage Treatment Plant (procurement, installation)</w:t>
            </w:r>
          </w:p>
        </w:tc>
        <w:tc>
          <w:tcPr>
            <w:tcW w:type="dxa" w:w="2880"/>
          </w:tcPr>
          <w:p>
            <w:r/>
            <w:r>
              <w:rPr>
                <w:b/>
              </w:rPr>
              <w:t>[MISSING: PSTP BUDGET]</w:t>
            </w:r>
            <w:r/>
          </w:p>
        </w:tc>
        <w:tc>
          <w:tcPr>
            <w:tcW w:type="dxa" w:w="2880"/>
          </w:tcPr>
          <w:p>
            <w:r>
              <w:t>Proponent</w:t>
            </w:r>
          </w:p>
        </w:tc>
      </w:tr>
      <w:tr>
        <w:tc>
          <w:tcPr>
            <w:tcW w:type="dxa" w:w="2880"/>
          </w:tcPr>
          <w:p>
            <w:r>
              <w:t>Landscape &amp; Buffer Zone (planting, irrigation)</w:t>
            </w:r>
          </w:p>
        </w:tc>
        <w:tc>
          <w:tcPr>
            <w:tcW w:type="dxa" w:w="2880"/>
          </w:tcPr>
          <w:p>
            <w:r/>
            <w:r>
              <w:rPr>
                <w:b/>
              </w:rPr>
              <w:t>[MISSING: LANDSCAPING BUDGET]</w:t>
            </w:r>
            <w:r/>
          </w:p>
        </w:tc>
        <w:tc>
          <w:tcPr>
            <w:tcW w:type="dxa" w:w="2880"/>
          </w:tcPr>
          <w:p>
            <w:r>
              <w:t>Proponent</w:t>
            </w:r>
          </w:p>
        </w:tc>
      </w:tr>
      <w:tr>
        <w:tc>
          <w:tcPr>
            <w:tcW w:type="dxa" w:w="2880"/>
          </w:tcPr>
          <w:p>
            <w:r>
              <w:t>Monitoring (equipment, lab analysis)</w:t>
            </w:r>
          </w:p>
        </w:tc>
        <w:tc>
          <w:tcPr>
            <w:tcW w:type="dxa" w:w="2880"/>
          </w:tcPr>
          <w:p>
            <w:r/>
            <w:r>
              <w:rPr>
                <w:b/>
              </w:rPr>
              <w:t>[MISSING: MONITORING BUDGET]</w:t>
            </w:r>
            <w:r/>
          </w:p>
        </w:tc>
        <w:tc>
          <w:tcPr>
            <w:tcW w:type="dxa" w:w="2880"/>
          </w:tcPr>
          <w:p>
            <w:r>
              <w:t>Proponent</w:t>
            </w:r>
          </w:p>
        </w:tc>
      </w:tr>
      <w:tr>
        <w:tc>
          <w:tcPr>
            <w:tcW w:type="dxa" w:w="2880"/>
          </w:tcPr>
          <w:p>
            <w:r>
              <w:t>GRM Operations (staff, communication)</w:t>
            </w:r>
          </w:p>
        </w:tc>
        <w:tc>
          <w:tcPr>
            <w:tcW w:type="dxa" w:w="2880"/>
          </w:tcPr>
          <w:p>
            <w:r/>
            <w:r>
              <w:rPr>
                <w:b/>
              </w:rPr>
              <w:t>[MISSING: GRM BUDGET]</w:t>
            </w:r>
            <w:r/>
          </w:p>
        </w:tc>
        <w:tc>
          <w:tcPr>
            <w:tcW w:type="dxa" w:w="2880"/>
          </w:tcPr>
          <w:p>
            <w:r>
              <w:t>Proponent</w:t>
            </w:r>
          </w:p>
        </w:tc>
      </w:tr>
      <w:tr>
        <w:tc>
          <w:tcPr>
            <w:tcW w:type="dxa" w:w="2880"/>
          </w:tcPr>
          <w:p>
            <w:r>
              <w:t>Capacity Building (training, materials)</w:t>
            </w:r>
          </w:p>
        </w:tc>
        <w:tc>
          <w:tcPr>
            <w:tcW w:type="dxa" w:w="2880"/>
          </w:tcPr>
          <w:p>
            <w:r/>
            <w:r>
              <w:rPr>
                <w:b/>
              </w:rPr>
              <w:t>[MISSING: TRAINING BUDGET]</w:t>
            </w:r>
            <w:r/>
          </w:p>
        </w:tc>
        <w:tc>
          <w:tcPr>
            <w:tcW w:type="dxa" w:w="2880"/>
          </w:tcPr>
          <w:p>
            <w:r>
              <w:t>Proponent</w:t>
            </w:r>
          </w:p>
        </w:tc>
      </w:tr>
      <w:tr>
        <w:tc>
          <w:tcPr>
            <w:tcW w:type="dxa" w:w="2880"/>
          </w:tcPr>
          <w:p>
            <w:r>
              <w:t>Contingency (10 % of total)</w:t>
            </w:r>
          </w:p>
        </w:tc>
        <w:tc>
          <w:tcPr>
            <w:tcW w:type="dxa" w:w="2880"/>
          </w:tcPr>
          <w:p>
            <w:r/>
            <w:r>
              <w:rPr>
                <w:b/>
              </w:rPr>
              <w:t>[MISSING: CONTINGENCY]</w:t>
            </w:r>
            <w:r/>
          </w:p>
        </w:tc>
        <w:tc>
          <w:tcPr>
            <w:tcW w:type="dxa" w:w="2880"/>
          </w:tcPr>
          <w:p>
            <w:r>
              <w:t>Proponent</w:t>
            </w:r>
          </w:p>
        </w:tc>
      </w:tr>
    </w:tbl>
    <w:p>
      <w:r>
        <w:t xml:space="preserve">The total ESMP budget will be incorporated into the overall project cost of </w:t>
      </w:r>
      <w:r>
        <w:rPr>
          <w:b/>
        </w:rPr>
      </w:r>
      <w:r>
        <w:t>KES 1</w:t>
      </w:r>
    </w:p>
    <w:p>
      <w:r>
        <w:br w:type="page"/>
      </w:r>
    </w:p>
    <w:p>
      <w:pPr>
        <w:pStyle w:val="Heading1"/>
      </w:pPr>
      <w:r>
        <w:t>Chapter 9: Conclusion and Recommendations</w:t>
      </w:r>
    </w:p>
    <w:p>
      <w:r>
        <w:t>## 9.1 Summary of Findings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Aspect</w:t>
            </w:r>
          </w:p>
        </w:tc>
        <w:tc>
          <w:tcPr>
            <w:tcW w:type="dxa" w:w="1728"/>
          </w:tcPr>
          <w:p>
            <w:r>
              <w:rPr>
                <w:b/>
              </w:rPr>
              <w:t>Baseline Condition</w:t>
            </w:r>
          </w:p>
        </w:tc>
        <w:tc>
          <w:tcPr>
            <w:tcW w:type="dxa" w:w="1728"/>
          </w:tcPr>
          <w:p>
            <w:r>
              <w:rPr>
                <w:b/>
              </w:rPr>
              <w:t>Projected Impact</w:t>
            </w:r>
          </w:p>
        </w:tc>
        <w:tc>
          <w:tcPr>
            <w:tcW w:type="dxa" w:w="1728"/>
          </w:tcPr>
          <w:p>
            <w:r>
              <w:rPr>
                <w:b/>
              </w:rPr>
              <w:t>Guideline/Standard</w:t>
            </w:r>
          </w:p>
        </w:tc>
        <w:tc>
          <w:tcPr>
            <w:tcW w:type="dxa" w:w="1728"/>
          </w:tcPr>
          <w:p>
            <w:r>
              <w:rPr>
                <w:b/>
              </w:rPr>
              <w:t>Compliance Assessment</w:t>
            </w:r>
          </w:p>
        </w:tc>
      </w:tr>
      <w:tr>
        <w:tc>
          <w:tcPr>
            <w:tcW w:type="dxa" w:w="1728"/>
          </w:tcPr>
          <w:p>
            <w:r/>
            <w:r>
              <w:rPr>
                <w:b/>
              </w:rPr>
              <w:t>Air Quality (PM2.5)</w:t>
            </w:r>
            <w:r/>
          </w:p>
        </w:tc>
        <w:tc>
          <w:tcPr>
            <w:tcW w:type="dxa" w:w="1728"/>
          </w:tcPr>
          <w:p>
            <w:r>
              <w:t>14 µg/m³ (measured 2026‑04‑18)</w:t>
            </w:r>
          </w:p>
        </w:tc>
        <w:tc>
          <w:tcPr>
            <w:tcW w:type="dxa" w:w="1728"/>
          </w:tcPr>
          <w:p>
            <w:r>
              <w:t>Construction dust and increased vehicular traffic may raise concentrations temporarily.</w:t>
            </w:r>
          </w:p>
        </w:tc>
        <w:tc>
          <w:tcPr>
            <w:tcW w:type="dxa" w:w="1728"/>
          </w:tcPr>
          <w:p>
            <w:r>
              <w:t>WHO 24‑hr guideline = 15 µg/m³</w:t>
            </w:r>
          </w:p>
        </w:tc>
        <w:tc>
          <w:tcPr>
            <w:tcW w:type="dxa" w:w="1728"/>
          </w:tcPr>
          <w:p>
            <w:r/>
            <w:r>
              <w:rPr>
                <w:b/>
              </w:rPr>
              <w:t>Within guideline</w:t>
            </w:r>
            <w:r>
              <w:t xml:space="preserve"> – anticipated short‑term exceedances will be controlled by dust‑suppression measures.</w:t>
            </w:r>
          </w:p>
        </w:tc>
      </w:tr>
      <w:tr>
        <w:tc>
          <w:tcPr>
            <w:tcW w:type="dxa" w:w="1728"/>
          </w:tcPr>
          <w:p>
            <w:r/>
            <w:r>
              <w:rPr>
                <w:b/>
              </w:rPr>
              <w:t>Air Quality (PM10)</w:t>
            </w:r>
            <w:r/>
          </w:p>
        </w:tc>
        <w:tc>
          <w:tcPr>
            <w:tcW w:type="dxa" w:w="1728"/>
          </w:tcPr>
          <w:p>
            <w:r>
              <w:t>29 µg/m³</w:t>
            </w:r>
          </w:p>
        </w:tc>
        <w:tc>
          <w:tcPr>
            <w:tcW w:type="dxa" w:w="1728"/>
          </w:tcPr>
          <w:p>
            <w:r>
              <w:t>Similar short‑term increase expected during earthworks.</w:t>
            </w:r>
          </w:p>
        </w:tc>
        <w:tc>
          <w:tcPr>
            <w:tcW w:type="dxa" w:w="1728"/>
          </w:tcPr>
          <w:p>
            <w:r>
              <w:t>NEMA limit = 75 µg/m³</w:t>
            </w:r>
          </w:p>
        </w:tc>
        <w:tc>
          <w:tcPr>
            <w:tcW w:type="dxa" w:w="1728"/>
          </w:tcPr>
          <w:p>
            <w:r/>
            <w:r>
              <w:rPr>
                <w:b/>
              </w:rPr>
              <w:t>Within guideline</w:t>
            </w:r>
            <w:r>
              <w:t xml:space="preserve"> – mitigation (watering, covering loads) will keep concentrations well below the limit.</w:t>
            </w:r>
          </w:p>
        </w:tc>
      </w:tr>
      <w:tr>
        <w:tc>
          <w:tcPr>
            <w:tcW w:type="dxa" w:w="1728"/>
          </w:tcPr>
          <w:p>
            <w:r/>
            <w:r>
              <w:rPr>
                <w:b/>
              </w:rPr>
              <w:t>Noise</w:t>
            </w:r>
            <w:r/>
          </w:p>
        </w:tc>
        <w:tc>
          <w:tcPr>
            <w:tcW w:type="dxa" w:w="1728"/>
          </w:tcPr>
          <w:p>
            <w:r>
              <w:t>47 dBA (ambient daytime)</w:t>
            </w:r>
          </w:p>
        </w:tc>
        <w:tc>
          <w:tcPr>
            <w:tcW w:type="dxa" w:w="1728"/>
          </w:tcPr>
          <w:p>
            <w:r>
              <w:t>Construction activities (machinery, traffic) will add 5‑10 dB(A) during working hours; operational phase will generate traffic noise.</w:t>
            </w:r>
          </w:p>
        </w:tc>
        <w:tc>
          <w:tcPr>
            <w:tcW w:type="dxa" w:w="1728"/>
          </w:tcPr>
          <w:p>
            <w:r>
              <w:t>NEMA residential night noise = 45 dBA</w:t>
            </w:r>
          </w:p>
        </w:tc>
        <w:tc>
          <w:tcPr>
            <w:tcW w:type="dxa" w:w="1728"/>
          </w:tcPr>
          <w:p>
            <w:r/>
            <w:r>
              <w:rPr>
                <w:b/>
              </w:rPr>
              <w:t>Exceeds guideline</w:t>
            </w:r>
            <w:r>
              <w:t xml:space="preserve"> – mitigation (restricted hours, equipment mufflers, noise barriers) required to bring operational noise to ≤45 dBA at the nearest residential receptors.</w:t>
            </w:r>
          </w:p>
        </w:tc>
      </w:tr>
      <w:tr>
        <w:tc>
          <w:tcPr>
            <w:tcW w:type="dxa" w:w="1728"/>
          </w:tcPr>
          <w:p>
            <w:r/>
            <w:r>
              <w:rPr>
                <w:b/>
              </w:rPr>
              <w:t>Water Supply</w:t>
            </w:r>
            <w:r/>
          </w:p>
        </w:tc>
        <w:tc>
          <w:tcPr>
            <w:tcW w:type="dxa" w:w="1728"/>
          </w:tcPr>
          <w:p>
            <w:r>
              <w:t>No municipal supply on‑site; groundwater depth 43 m</w:t>
            </w:r>
          </w:p>
        </w:tc>
        <w:tc>
          <w:tcPr>
            <w:tcW w:type="dxa" w:w="1728"/>
          </w:tcPr>
          <w:p>
            <w:r>
              <w:t>On‑site borehole + 500 000 L storage tank will meet domestic demand; no abstraction from county supply.</w:t>
            </w:r>
          </w:p>
        </w:tc>
        <w:tc>
          <w:tcPr>
            <w:tcW w:type="dxa" w:w="1728"/>
          </w:tcPr>
          <w:p>
            <w:r>
              <w:t>Water Act 2016 – abstraction licences required for groundwater use</w:t>
            </w:r>
          </w:p>
        </w:tc>
        <w:tc>
          <w:tcPr>
            <w:tcW w:type="dxa" w:w="1728"/>
          </w:tcPr>
          <w:p>
            <w:r/>
            <w:r>
              <w:rPr>
                <w:b/>
              </w:rPr>
              <w:t>Compliant</w:t>
            </w:r>
            <w:r>
              <w:t xml:space="preserve"> – abstraction volume to be quantified in the ESMP; </w:t>
            </w:r>
            <w:r>
              <w:rPr>
                <w:b/>
              </w:rPr>
              <w:t>[MISSING: GROUNDWATER ABSTRACTION VOLUME]</w:t>
            </w:r>
            <w:r>
              <w:t>.</w:t>
            </w:r>
          </w:p>
        </w:tc>
      </w:tr>
      <w:tr>
        <w:tc>
          <w:tcPr>
            <w:tcW w:type="dxa" w:w="1728"/>
          </w:tcPr>
          <w:p>
            <w:r/>
            <w:r>
              <w:rPr>
                <w:b/>
              </w:rPr>
              <w:t>Sewage Management</w:t>
            </w:r>
            <w:r/>
          </w:p>
        </w:tc>
        <w:tc>
          <w:tcPr>
            <w:tcW w:type="dxa" w:w="1728"/>
          </w:tcPr>
          <w:p>
            <w:r>
              <w:t>No sewer network; reliance on onsite disposal</w:t>
            </w:r>
          </w:p>
        </w:tc>
        <w:tc>
          <w:tcPr>
            <w:tcW w:type="dxa" w:w="1728"/>
          </w:tcPr>
          <w:p>
            <w:r>
              <w:t>Package sewage treatment plant (PSTP) with tertiary treatment will treat all effluent before discharge to Kiratina Seasonal Stream.</w:t>
            </w:r>
          </w:p>
        </w:tc>
        <w:tc>
          <w:tcPr>
            <w:tcW w:type="dxa" w:w="1728"/>
          </w:tcPr>
          <w:p>
            <w:r>
              <w:t>Water Act 2016 – discharge standards; WHO – faecal coliform ≤1000 CFU/100 mL</w:t>
            </w:r>
          </w:p>
        </w:tc>
        <w:tc>
          <w:tcPr>
            <w:tcW w:type="dxa" w:w="1728"/>
          </w:tcPr>
          <w:p>
            <w:r/>
            <w:r>
              <w:rPr>
                <w:b/>
              </w:rPr>
              <w:t>Compliant</w:t>
            </w:r>
            <w:r>
              <w:t xml:space="preserve"> – design capacity to be confirmed; </w:t>
            </w:r>
            <w:r>
              <w:rPr>
                <w:b/>
              </w:rPr>
              <w:t>[MISSING: PSTP TREATMENT CAPACITY]</w:t>
            </w:r>
            <w:r>
              <w:t>.</w:t>
            </w:r>
          </w:p>
        </w:tc>
      </w:tr>
      <w:tr>
        <w:tc>
          <w:tcPr>
            <w:tcW w:type="dxa" w:w="1728"/>
          </w:tcPr>
          <w:p>
            <w:r/>
            <w:r>
              <w:rPr>
                <w:b/>
              </w:rPr>
              <w:t>Traffic</w:t>
            </w:r>
            <w:r/>
          </w:p>
        </w:tc>
        <w:tc>
          <w:tcPr>
            <w:tcW w:type="dxa" w:w="1728"/>
          </w:tcPr>
          <w:p>
            <w:r>
              <w:t>Existing local road network; school within 280 m</w:t>
            </w:r>
          </w:p>
        </w:tc>
        <w:tc>
          <w:tcPr>
            <w:tcW w:type="dxa" w:w="1728"/>
          </w:tcPr>
          <w:p>
            <w:r>
              <w:t xml:space="preserve">Additional 412 units will increase peak hour traffic by an estimated </w:t>
            </w:r>
            <w:r>
              <w:rPr>
                <w:b/>
              </w:rPr>
              <w:t>[MISSING: VEHICULAR COUNT]</w:t>
            </w:r>
            <w:r>
              <w:t>.</w:t>
            </w:r>
          </w:p>
        </w:tc>
        <w:tc>
          <w:tcPr>
            <w:tcW w:type="dxa" w:w="1728"/>
          </w:tcPr>
          <w:p>
            <w:r>
              <w:t>NEMA Traffic Management Guidelines; World Bank ESF – traffic safety</w:t>
            </w:r>
          </w:p>
        </w:tc>
        <w:tc>
          <w:tcPr>
            <w:tcW w:type="dxa" w:w="1728"/>
          </w:tcPr>
          <w:p>
            <w:r/>
            <w:r>
              <w:rPr>
                <w:b/>
              </w:rPr>
              <w:t>Potential impact</w:t>
            </w:r>
            <w:r>
              <w:t xml:space="preserve"> – mitigated by dedicated estate access road, signal‑controlled junction, and school‑hour traffic marshal for the first 12 months.</w:t>
            </w:r>
          </w:p>
        </w:tc>
      </w:tr>
      <w:tr>
        <w:tc>
          <w:tcPr>
            <w:tcW w:type="dxa" w:w="1728"/>
          </w:tcPr>
          <w:p>
            <w:r/>
            <w:r>
              <w:rPr>
                <w:b/>
              </w:rPr>
              <w:t>Socio‑economic</w:t>
            </w:r>
            <w:r/>
          </w:p>
        </w:tc>
        <w:tc>
          <w:tcPr>
            <w:tcW w:type="dxa" w:w="1728"/>
          </w:tcPr>
          <w:p>
            <w:r>
              <w:t>Greenfield infill; no displacement</w:t>
            </w:r>
          </w:p>
        </w:tc>
        <w:tc>
          <w:tcPr>
            <w:tcW w:type="dxa" w:w="1728"/>
          </w:tcPr>
          <w:p>
            <w:r>
              <w:t>Creation of construction‑phase jobs and long‑term estate management positions; 5 % of units PWD‑accessible.</w:t>
            </w:r>
          </w:p>
        </w:tc>
        <w:tc>
          <w:tcPr>
            <w:tcW w:type="dxa" w:w="1728"/>
          </w:tcPr>
          <w:p>
            <w:r>
              <w:t>World Bank ESF – labour and working conditions</w:t>
            </w:r>
          </w:p>
        </w:tc>
        <w:tc>
          <w:tcPr>
            <w:tcW w:type="dxa" w:w="1728"/>
          </w:tcPr>
          <w:p>
            <w:r/>
            <w:r>
              <w:rPr>
                <w:b/>
              </w:rPr>
              <w:t>Positive impact</w:t>
            </w:r>
            <w:r>
              <w:t xml:space="preserve"> – employment figures to be quantified; </w:t>
            </w:r>
            <w:r>
              <w:rPr>
                <w:b/>
              </w:rPr>
              <w:t>[MISSING: DIRECT EMPLOYMENT]</w:t>
            </w:r>
            <w:r>
              <w:t xml:space="preserve">, </w:t>
            </w:r>
            <w:r>
              <w:rPr>
                <w:b/>
              </w:rPr>
              <w:t>[MISSING: INDIRECT EMPLOYMENT]</w:t>
            </w:r>
            <w:r>
              <w:t>.</w:t>
            </w:r>
          </w:p>
        </w:tc>
      </w:tr>
    </w:tbl>
    <w:p>
      <w:r>
        <w:t xml:space="preserve">Overall, the projected environmental impacts are </w:t>
      </w:r>
      <w:r>
        <w:rPr>
          <w:b/>
        </w:rPr>
        <w:t>moderate</w:t>
      </w:r>
      <w:r>
        <w:t xml:space="preserve"> and can be reduced to </w:t>
      </w:r>
      <w:r>
        <w:rPr>
          <w:b/>
        </w:rPr>
        <w:t>low</w:t>
      </w:r>
      <w:r>
        <w:t xml:space="preserve"> significance through the implementation of the proposed Environmental and Social Management Plan (ESMP).</w:t>
      </w:r>
    </w:p>
    <w:p>
      <w:r>
        <w:t>---</w:t>
      </w:r>
    </w:p>
    <w:p>
      <w:r>
        <w:t>## 9.2 Overall Environmental Significance</w:t>
      </w:r>
    </w:p>
    <w:p>
      <w:r>
        <w:t xml:space="preserve">The Kiratina Gardens Residential Estate is classified as a </w:t>
      </w:r>
      <w:r>
        <w:rPr>
          <w:b/>
        </w:rPr>
        <w:t>High‑Risk</w:t>
      </w:r>
      <w:r>
        <w:t xml:space="preserve"> real‑estate development ( &gt;50 housing units). The ESIA indicates that, without mitigation, the project could:</w:t>
      </w:r>
    </w:p>
    <w:p>
      <w:pPr>
        <w:pStyle w:val="ListBullet"/>
      </w:pPr>
      <w:r>
        <w:t>Temporarily elevate ambient particulate matter during construction.</w:t>
      </w:r>
    </w:p>
    <w:p>
      <w:pPr>
        <w:pStyle w:val="ListBullet"/>
      </w:pPr>
      <w:r>
        <w:t>Exceed residential night‑time noise standards at the nearest residential plots (≈90 m) during both construction and operational phases.</w:t>
      </w:r>
    </w:p>
    <w:p>
      <w:pPr>
        <w:pStyle w:val="ListBullet"/>
      </w:pPr>
      <w:r>
        <w:t>Increase traffic volumes affecting school commute times and road safety.</w:t>
      </w:r>
    </w:p>
    <w:p>
      <w:r>
        <w:t xml:space="preserve">When the ESMP measures are fully applied, the residual impacts are expected to be </w:t>
      </w:r>
      <w:r>
        <w:rPr>
          <w:b/>
        </w:rPr>
        <w:t>minor</w:t>
      </w:r>
      <w:r>
        <w:t xml:space="preserve"> and within the thresholds set by Kenyan regulations (NEMA, Water Act 2016) and international best practice (World Bank ESF).</w:t>
      </w:r>
    </w:p>
    <w:p>
      <w:r>
        <w:t>---</w:t>
      </w:r>
    </w:p>
    <w:p>
      <w:r>
        <w:t>## 9.3 Key Recommendations</w:t>
      </w:r>
    </w:p>
    <w:p>
      <w:pPr>
        <w:pStyle w:val="ListNumber"/>
      </w:pPr>
      <w:r/>
      <w:r>
        <w:rPr>
          <w:b/>
        </w:rPr>
        <w:t>Air Quality Management</w:t>
      </w:r>
      <w:r/>
    </w:p>
    <w:p>
      <w:pPr>
        <w:pStyle w:val="ListBullet"/>
      </w:pPr>
      <w:r>
        <w:t xml:space="preserve">Implement water‑spraying of haul roads, stockpiles, and exposed earth surfaces at a minimum frequency of </w:t>
      </w:r>
      <w:r>
        <w:rPr>
          <w:b/>
        </w:rPr>
        <w:t>[MISSING: SPRAYING INTERVAL]</w:t>
      </w:r>
      <w:r>
        <w:t>.</w:t>
      </w:r>
    </w:p>
    <w:p>
      <w:pPr>
        <w:pStyle w:val="ListBullet"/>
      </w:pPr>
      <w:r>
        <w:t>Cover all material loads during transport.</w:t>
      </w:r>
    </w:p>
    <w:p>
      <w:pPr>
        <w:pStyle w:val="ListBullet"/>
      </w:pPr>
      <w:r>
        <w:t>Conduct daily PM monitoring at the construction perimeter and at the Kirrina Primary School (280 m) using calibrated portable monitors.</w:t>
      </w:r>
    </w:p>
    <w:p>
      <w:pPr>
        <w:pStyle w:val="ListNumber"/>
      </w:pPr>
      <w:r/>
      <w:r>
        <w:rPr>
          <w:b/>
        </w:rPr>
        <w:t>Noise Control</w:t>
      </w:r>
      <w:r/>
    </w:p>
    <w:p>
      <w:pPr>
        <w:pStyle w:val="ListBullet"/>
      </w:pPr>
      <w:r>
        <w:t xml:space="preserve">Restrict construction activities to </w:t>
      </w:r>
      <w:r>
        <w:rPr>
          <w:b/>
        </w:rPr>
        <w:t>7:00 – 18:00 hrs, Monday‑Friday</w:t>
      </w:r>
      <w:r>
        <w:t>; prohibit weekend works.</w:t>
      </w:r>
    </w:p>
    <w:p>
      <w:pPr>
        <w:pStyle w:val="ListBullet"/>
      </w:pPr>
      <w:r>
        <w:t>Equip all generators, compressors, and heavy equipment with approved mufflers and maintain them per manufacturer specifications.</w:t>
      </w:r>
    </w:p>
    <w:p>
      <w:pPr>
        <w:pStyle w:val="ListBullet"/>
      </w:pPr>
      <w:r>
        <w:t>Install temporary acoustic barriers (≥2 m high) along the western boundary adjacent to the primary school and residential plots.</w:t>
      </w:r>
    </w:p>
    <w:p>
      <w:pPr>
        <w:pStyle w:val="ListBullet"/>
      </w:pPr>
      <w:r>
        <w:t>Perform noise monitoring at the school, mosque, and nearest residential plots at least once per month during construction and quarterly during operation.</w:t>
      </w:r>
    </w:p>
    <w:p>
      <w:pPr>
        <w:pStyle w:val="ListNumber"/>
      </w:pPr>
      <w:r/>
      <w:r>
        <w:rPr>
          <w:b/>
        </w:rPr>
        <w:t>Water Resources</w:t>
      </w:r>
      <w:r/>
    </w:p>
    <w:p>
      <w:pPr>
        <w:pStyle w:val="ListBullet"/>
      </w:pPr>
      <w:r>
        <w:t xml:space="preserve">Submit a detailed groundwater abstraction plan, including </w:t>
      </w:r>
      <w:r>
        <w:rPr>
          <w:b/>
        </w:rPr>
        <w:t>[MISSING: ABSTRACTION VOLUME]</w:t>
      </w:r>
      <w:r>
        <w:t>, to the County Water Resources Authority for licensing under the Water Act 2016.</w:t>
      </w:r>
    </w:p>
    <w:p>
      <w:pPr>
        <w:pStyle w:val="ListBullet"/>
      </w:pPr>
      <w:r>
        <w:t>Incorporate a water‑recycling system (e.g., grey‑water reuse for irrigation) to reduce fresh water demand; quantify reuse efficiency in the ESMP.</w:t>
      </w:r>
    </w:p>
    <w:p>
      <w:pPr>
        <w:pStyle w:val="ListNumber"/>
      </w:pPr>
      <w:r/>
      <w:r>
        <w:rPr>
          <w:b/>
        </w:rPr>
        <w:t>Sewage Treatment</w:t>
      </w:r>
      <w:r/>
    </w:p>
    <w:p>
      <w:pPr>
        <w:pStyle w:val="ListBullet"/>
      </w:pPr>
      <w:r>
        <w:t>Finalise the design capacity of the PSTP and obtain a discharge licence in accordance with the Water Act 2016.</w:t>
      </w:r>
    </w:p>
    <w:p>
      <w:pPr>
        <w:pStyle w:val="ListBullet"/>
      </w:pPr>
      <w:r>
        <w:t>Conduct effluent quality testing (BOD, COD, TSS, faecal coliform) monthly for the first 12 months of operation and submit reports to NEMA.</w:t>
      </w:r>
    </w:p>
    <w:p>
      <w:pPr>
        <w:pStyle w:val="ListNumber"/>
      </w:pPr>
      <w:r/>
      <w:r>
        <w:rPr>
          <w:b/>
        </w:rPr>
        <w:t>Traffic and Road Safety</w:t>
      </w:r>
      <w:r/>
    </w:p>
    <w:p>
      <w:pPr>
        <w:pStyle w:val="ListBullet"/>
      </w:pPr>
      <w:r>
        <w:t>Construct the dedicated estate access road with appropriate signage, speed‑calming measures, and a signal‑controlled junction at the main entry.</w:t>
      </w:r>
    </w:p>
    <w:p>
      <w:pPr>
        <w:pStyle w:val="ListBullet"/>
      </w:pPr>
      <w:r>
        <w:t>Deploy a traffic marshal during school hours (07:30‑09:30 and 15:00‑16:30) for the first 12 months; thereafter, evaluate the need for a permanent marshal based on traffic counts.</w:t>
      </w:r>
    </w:p>
    <w:p>
      <w:pPr>
        <w:pStyle w:val="ListBullet"/>
      </w:pPr>
      <w:r>
        <w:t xml:space="preserve">Develop a Traffic Management Plan (TMP) as part of the ESMP, including a </w:t>
      </w:r>
      <w:r>
        <w:rPr>
          <w:b/>
        </w:rPr>
        <w:t>[MISSING: PEAK HOUR VEHICLE COUNT]</w:t>
      </w:r>
      <w:r>
        <w:t xml:space="preserve"> estimate.</w:t>
      </w:r>
    </w:p>
    <w:p>
      <w:pPr>
        <w:pStyle w:val="ListNumber"/>
      </w:pPr>
      <w:r/>
      <w:r>
        <w:rPr>
          <w:b/>
        </w:rPr>
        <w:t>Socio‑economic Benefits</w:t>
      </w:r>
      <w:r/>
    </w:p>
    <w:p>
      <w:pPr>
        <w:pStyle w:val="ListBullet"/>
      </w:pPr>
      <w:r>
        <w:t xml:space="preserve">Prepare a Local Employment and Procurement Plan, targeting </w:t>
      </w:r>
      <w:r>
        <w:rPr>
          <w:b/>
        </w:rPr>
        <w:t>[MISSING: %]</w:t>
      </w:r>
      <w:r>
        <w:t xml:space="preserve"> of construction contracts to locally‑owned firms.</w:t>
      </w:r>
    </w:p>
    <w:p>
      <w:pPr>
        <w:pStyle w:val="ListBullet"/>
      </w:pPr>
      <w:r>
        <w:t>Provide on‑site training for unskilled labour in construction safety and basic environmental stewardship.</w:t>
      </w:r>
    </w:p>
    <w:p>
      <w:pPr>
        <w:pStyle w:val="ListNumber"/>
      </w:pPr>
      <w:r/>
      <w:r>
        <w:rPr>
          <w:b/>
        </w:rPr>
        <w:t>Biodiversity and Landscape</w:t>
      </w:r>
      <w:r/>
    </w:p>
    <w:p>
      <w:pPr>
        <w:pStyle w:val="ListBullet"/>
      </w:pPr>
      <w:r>
        <w:t>Maintain a minimum 5 m vegetated buffer zone along the western edge of the site, using indigenous Acacia spp. and native grasses to reduce sediment runoff and provide visual screening.</w:t>
      </w:r>
    </w:p>
    <w:p>
      <w:pPr>
        <w:pStyle w:val="ListBullet"/>
      </w:pPr>
      <w:r>
        <w:t>Conduct a post‑construction landscaping audit to verify compliance with the buffer design.</w:t>
      </w:r>
    </w:p>
    <w:p>
      <w:pPr>
        <w:pStyle w:val="ListNumber"/>
      </w:pPr>
      <w:r/>
      <w:r>
        <w:rPr>
          <w:b/>
        </w:rPr>
        <w:t>Monitoring, Reporting and Adaptive Management</w:t>
      </w:r>
      <w:r/>
    </w:p>
    <w:p>
      <w:pPr>
        <w:pStyle w:val="ListBullet"/>
      </w:pPr>
      <w:r>
        <w:t>Establish an ESMP monitoring schedule (air, noise, water quality, traffic, biodiversity) with clear thresholds for corrective action.</w:t>
      </w:r>
    </w:p>
    <w:p>
      <w:pPr>
        <w:pStyle w:val="ListBullet"/>
      </w:pPr>
      <w:r>
        <w:t>Submit quarterly monitoring reports to NEMA and the County Environmental Management Unit (CEMU).</w:t>
      </w:r>
    </w:p>
    <w:p>
      <w:pPr>
        <w:pStyle w:val="ListBullet"/>
      </w:pPr>
      <w:r>
        <w:t>Convene an annual stakeholder review meeting (Baraza) to discuss monitoring results and any emerging concerns.</w:t>
      </w:r>
    </w:p>
    <w:p>
      <w:r>
        <w:t>---</w:t>
      </w:r>
    </w:p>
    <w:p>
      <w:r>
        <w:t>## 9.4 Conditions for Pre‑Approval</w:t>
      </w:r>
    </w:p>
    <w:p>
      <w:r>
        <w:t>The following conditions must be satisfied before NEMA can issue an Environmental Impact Assessment (EIA) Licence:</w:t>
      </w:r>
    </w:p>
    <w:p>
      <w:pPr>
        <w:pStyle w:val="ListNumber"/>
      </w:pPr>
      <w:r>
        <w:t xml:space="preserve">Submission of a </w:t>
      </w:r>
      <w:r>
        <w:rPr>
          <w:b/>
        </w:rPr>
        <w:t>complete ESMP</w:t>
      </w:r>
      <w:r>
        <w:t xml:space="preserve"> incorporating all mitigation measures listed above, with quantified performance indicators.</w:t>
      </w:r>
    </w:p>
    <w:p>
      <w:pPr>
        <w:pStyle w:val="ListNumber"/>
      </w:pPr>
      <w:r>
        <w:t>Provision of the missing technical details identified in this chapter (</w:t>
      </w:r>
      <w:r>
        <w:rPr>
          <w:b/>
        </w:rPr>
        <w:t>[MISSING: GROUNDWATER ABSTRACTION VOLUME]</w:t>
      </w:r>
      <w:r>
        <w:t xml:space="preserve">, </w:t>
      </w:r>
      <w:r>
        <w:rPr>
          <w:b/>
        </w:rPr>
        <w:t>[MISSING: PSTP TREATMENT CAPACITY]</w:t>
      </w:r>
      <w:r>
        <w:t xml:space="preserve">, </w:t>
      </w:r>
      <w:r>
        <w:rPr>
          <w:b/>
        </w:rPr>
        <w:t>[MISSING: SPRAYING INTERVAL]</w:t>
      </w:r>
      <w:r>
        <w:t xml:space="preserve">, </w:t>
      </w:r>
      <w:r>
        <w:rPr>
          <w:b/>
        </w:rPr>
        <w:t>[MISSING: PEAK HOUR VEHICLE COUNT]</w:t>
      </w:r>
      <w:r>
        <w:t xml:space="preserve">, </w:t>
      </w:r>
      <w:r>
        <w:rPr>
          <w:b/>
        </w:rPr>
        <w:t>[MISSING: DIRECT EMPLOYMENT]</w:t>
      </w:r>
      <w:r>
        <w:t xml:space="preserve">, </w:t>
      </w:r>
      <w:r>
        <w:rPr>
          <w:b/>
        </w:rPr>
        <w:t>[MISSING: INDIRECT EMPLOYMENT]</w:t>
      </w:r>
      <w:r>
        <w:t>, etc.).</w:t>
      </w:r>
    </w:p>
    <w:p>
      <w:pPr>
        <w:pStyle w:val="ListNumber"/>
      </w:pPr>
      <w:r>
        <w:t>Obtaining a provisional groundwater abstraction licence under the Water Act 2016.</w:t>
      </w:r>
    </w:p>
    <w:p>
      <w:pPr>
        <w:pStyle w:val="ListNumber"/>
      </w:pPr>
      <w:r>
        <w:t>Securing a provisional discharge licence for the PSTP effluent, with effluent quality specifications aligned to the Water Act 2016.</w:t>
      </w:r>
    </w:p>
    <w:p>
      <w:pPr>
        <w:pStyle w:val="ListNumber"/>
      </w:pPr>
      <w:r>
        <w:t>Presentation of a detailed Traffic Management Plan (TMP) approved by the County Transport Authority.</w:t>
      </w:r>
    </w:p>
    <w:p>
      <w:pPr>
        <w:pStyle w:val="ListNumber"/>
      </w:pPr>
      <w:r>
        <w:t>Evidence of community consultation outcomes, including the minutes of the Baraza held on 2026‑09‑05 and a functional Grievance Redress Mechanism (GRM) committee.</w:t>
      </w:r>
    </w:p>
    <w:p>
      <w:r>
        <w:t>---</w:t>
      </w:r>
    </w:p>
    <w:p>
      <w:r>
        <w:t>## 9.5 Monitoring and Adaptive Management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Monitoring Parameter</w:t>
            </w:r>
          </w:p>
        </w:tc>
        <w:tc>
          <w:tcPr>
            <w:tcW w:type="dxa" w:w="1728"/>
          </w:tcPr>
          <w:p>
            <w:r>
              <w:rPr>
                <w:b/>
              </w:rPr>
              <w:t>Frequency</w:t>
            </w:r>
          </w:p>
        </w:tc>
        <w:tc>
          <w:tcPr>
            <w:tcW w:type="dxa" w:w="1728"/>
          </w:tcPr>
          <w:p>
            <w:r>
              <w:rPr>
                <w:b/>
              </w:rPr>
              <w:t>Location</w:t>
            </w:r>
          </w:p>
        </w:tc>
        <w:tc>
          <w:tcPr>
            <w:tcW w:type="dxa" w:w="1728"/>
          </w:tcPr>
          <w:p>
            <w:r>
              <w:rPr>
                <w:b/>
              </w:rPr>
              <w:t>Acceptance Criterion</w:t>
            </w:r>
          </w:p>
        </w:tc>
        <w:tc>
          <w:tcPr>
            <w:tcW w:type="dxa" w:w="1728"/>
          </w:tcPr>
          <w:p>
            <w:r>
              <w:rPr>
                <w:b/>
              </w:rPr>
              <w:t>Action on Exceedance</w:t>
            </w:r>
          </w:p>
        </w:tc>
      </w:tr>
      <w:tr>
        <w:tc>
          <w:tcPr>
            <w:tcW w:type="dxa" w:w="1728"/>
          </w:tcPr>
          <w:p>
            <w:r>
              <w:t>PM2.5 &amp; PM10</w:t>
            </w:r>
          </w:p>
        </w:tc>
        <w:tc>
          <w:tcPr>
            <w:tcW w:type="dxa" w:w="1728"/>
          </w:tcPr>
          <w:p>
            <w:r>
              <w:t>Daily (construction) / Monthly (operational)</w:t>
            </w:r>
          </w:p>
        </w:tc>
        <w:tc>
          <w:tcPr>
            <w:tcW w:type="dxa" w:w="1728"/>
          </w:tcPr>
          <w:p>
            <w:r>
              <w:t>Site perimeter &amp; Kirrina Primary School</w:t>
            </w:r>
          </w:p>
        </w:tc>
        <w:tc>
          <w:tcPr>
            <w:tcW w:type="dxa" w:w="1728"/>
          </w:tcPr>
          <w:p>
            <w:r>
              <w:t>≤ WHO 24‑hr PM2.5 15 µg/m³; ≤ NEMA PM10 75 µg/m³</w:t>
            </w:r>
          </w:p>
        </w:tc>
        <w:tc>
          <w:tcPr>
            <w:tcW w:type="dxa" w:w="1728"/>
          </w:tcPr>
          <w:p>
            <w:r>
              <w:t>Increase dust‑suppression frequency; review haul‑road management.</w:t>
            </w:r>
          </w:p>
        </w:tc>
      </w:tr>
      <w:tr>
        <w:tc>
          <w:tcPr>
            <w:tcW w:type="dxa" w:w="1728"/>
          </w:tcPr>
          <w:p>
            <w:r>
              <w:t>Noise (Leq, dBA)</w:t>
            </w:r>
          </w:p>
        </w:tc>
        <w:tc>
          <w:tcPr>
            <w:tcW w:type="dxa" w:w="1728"/>
          </w:tcPr>
          <w:p>
            <w:r>
              <w:t>Weekly (construction) / Quarterly (operational)</w:t>
            </w:r>
          </w:p>
        </w:tc>
        <w:tc>
          <w:tcPr>
            <w:tcW w:type="dxa" w:w="1728"/>
          </w:tcPr>
          <w:p>
            <w:r>
              <w:t>90 m residential plots, school, mosque</w:t>
            </w:r>
          </w:p>
        </w:tc>
        <w:tc>
          <w:tcPr>
            <w:tcW w:type="dxa" w:w="1728"/>
          </w:tcPr>
          <w:p>
            <w:r>
              <w:t>≤ 45 dBA (night) at receptors</w:t>
            </w:r>
          </w:p>
        </w:tc>
        <w:tc>
          <w:tcPr>
            <w:tcW w:type="dxa" w:w="1728"/>
          </w:tcPr>
          <w:p>
            <w:r>
              <w:t>Adjust work schedules; install additional acoustic barriers.</w:t>
            </w:r>
          </w:p>
        </w:tc>
      </w:tr>
      <w:tr>
        <w:tc>
          <w:tcPr>
            <w:tcW w:type="dxa" w:w="1728"/>
          </w:tcPr>
          <w:p>
            <w:r>
              <w:t>Groundwater Level</w:t>
            </w:r>
          </w:p>
        </w:tc>
        <w:tc>
          <w:tcPr>
            <w:tcW w:type="dxa" w:w="1728"/>
          </w:tcPr>
          <w:p>
            <w:r>
              <w:t>Quarterly</w:t>
            </w:r>
          </w:p>
        </w:tc>
        <w:tc>
          <w:tcPr>
            <w:tcW w:type="dxa" w:w="1728"/>
          </w:tcPr>
          <w:p>
            <w:r>
              <w:t>Borehole &amp; nearest monitoring well</w:t>
            </w:r>
          </w:p>
        </w:tc>
        <w:tc>
          <w:tcPr>
            <w:tcW w:type="dxa" w:w="1728"/>
          </w:tcPr>
          <w:p>
            <w:r>
              <w:t>No decline &gt;0.5 m yr⁻¹</w:t>
            </w:r>
          </w:p>
        </w:tc>
        <w:tc>
          <w:tcPr>
            <w:tcW w:type="dxa" w:w="1728"/>
          </w:tcPr>
          <w:p>
            <w:r>
              <w:t>Review abstraction rates; implement water‑saving measures.</w:t>
            </w:r>
          </w:p>
        </w:tc>
      </w:tr>
      <w:tr>
        <w:tc>
          <w:tcPr>
            <w:tcW w:type="dxa" w:w="1728"/>
          </w:tcPr>
          <w:p>
            <w:r>
              <w:t>Effluent Quality (BOD, COD, TSS, Faecal coliform)</w:t>
            </w:r>
          </w:p>
        </w:tc>
        <w:tc>
          <w:tcPr>
            <w:tcW w:type="dxa" w:w="1728"/>
          </w:tcPr>
          <w:p>
            <w:r>
              <w:t>Monthly</w:t>
            </w:r>
          </w:p>
        </w:tc>
        <w:tc>
          <w:tcPr>
            <w:tcW w:type="dxa" w:w="1728"/>
          </w:tcPr>
          <w:p>
            <w:r>
              <w:t>PSTP discharge point</w:t>
            </w:r>
          </w:p>
        </w:tc>
        <w:tc>
          <w:tcPr>
            <w:tcW w:type="dxa" w:w="1728"/>
          </w:tcPr>
          <w:p>
            <w:r>
              <w:t>Meet Water Act 2016 discharge standards</w:t>
            </w:r>
          </w:p>
        </w:tc>
        <w:tc>
          <w:tcPr>
            <w:tcW w:type="dxa" w:w="1728"/>
          </w:tcPr>
          <w:p>
            <w:r>
              <w:t>Optimize treatment processes; increase tertiary treatment dosage.</w:t>
            </w:r>
          </w:p>
        </w:tc>
      </w:tr>
      <w:tr>
        <w:tc>
          <w:tcPr>
            <w:tcW w:type="dxa" w:w="1728"/>
          </w:tcPr>
          <w:p>
            <w:r>
              <w:t>Traffic Volume &amp; Speed</w:t>
            </w:r>
          </w:p>
        </w:tc>
        <w:tc>
          <w:tcPr>
            <w:tcW w:type="dxa" w:w="1728"/>
          </w:tcPr>
          <w:p>
            <w:r>
              <w:t>Monthly</w:t>
            </w:r>
          </w:p>
        </w:tc>
        <w:tc>
          <w:tcPr>
            <w:tcW w:type="dxa" w:w="1728"/>
          </w:tcPr>
          <w:p>
            <w:r>
              <w:t>Estate access road &amp; junction</w:t>
            </w:r>
          </w:p>
        </w:tc>
        <w:tc>
          <w:tcPr>
            <w:tcW w:type="dxa" w:w="1728"/>
          </w:tcPr>
          <w:p>
            <w:r>
              <w:t>≤ 80 km/h speed limit; no increase &gt;15 % in peak hour traffic at school vicinity</w:t>
            </w:r>
          </w:p>
        </w:tc>
        <w:tc>
          <w:tcPr>
            <w:tcW w:type="dxa" w:w="1728"/>
          </w:tcPr>
          <w:p>
            <w:r>
              <w:t>Review traffic control measures; consider additional signal timing.</w:t>
            </w:r>
          </w:p>
        </w:tc>
      </w:tr>
      <w:tr>
        <w:tc>
          <w:tcPr>
            <w:tcW w:type="dxa" w:w="1728"/>
          </w:tcPr>
          <w:p>
            <w:r>
              <w:t>Socio‑economic Indicators (local employment, procurement)</w:t>
            </w:r>
          </w:p>
        </w:tc>
        <w:tc>
          <w:tcPr>
            <w:tcW w:type="dxa" w:w="1728"/>
          </w:tcPr>
          <w:p>
            <w:r>
              <w:t>Annually</w:t>
            </w:r>
          </w:p>
        </w:tc>
        <w:tc>
          <w:tcPr>
            <w:tcW w:type="dxa" w:w="1728"/>
          </w:tcPr>
          <w:p>
            <w:r>
              <w:t>Project office</w:t>
            </w:r>
          </w:p>
        </w:tc>
        <w:tc>
          <w:tcPr>
            <w:tcW w:type="dxa" w:w="1728"/>
          </w:tcPr>
          <w:p>
            <w:r>
              <w:t xml:space="preserve">≥ </w:t>
            </w:r>
            <w:r>
              <w:rPr>
                <w:b/>
              </w:rPr>
              <w:t>[MISSING: %]</w:t>
            </w:r>
            <w:r>
              <w:t xml:space="preserve"> of contracts to local firms; documented training sessions</w:t>
            </w:r>
          </w:p>
        </w:tc>
        <w:tc>
          <w:tcPr>
            <w:tcW w:type="dxa" w:w="1728"/>
          </w:tcPr>
          <w:p>
            <w:r>
              <w:t>Strengthen local procurement policy; expand training programmes.</w:t>
            </w:r>
          </w:p>
        </w:tc>
      </w:tr>
    </w:tbl>
    <w:p>
      <w:r>
        <w:t>Adaptive management will be triggered when any parameter exceeds its acceptance criterion for two consecutive monitoring periods. The ESMP will be revised accordingly, and the revised plan submitted to NEMA for review.</w:t>
      </w:r>
    </w:p>
    <w:p>
      <w:r>
        <w:t>---</w:t>
      </w:r>
    </w:p>
    <w:p>
      <w:r>
        <w:t>## 9.6 Concluding Statement</w:t>
      </w:r>
    </w:p>
    <w:p>
      <w:r>
        <w:t xml:space="preserve">The Kiratina Gardens Residential Estate presents a </w:t>
      </w:r>
      <w:r>
        <w:rPr>
          <w:b/>
        </w:rPr>
        <w:t>moderate</w:t>
      </w:r>
      <w:r>
        <w:t xml:space="preserve"> level of environmental risk that can be effectively managed through the robust mitigation and monitoring framework outlined in the ESMP. By adhering to the legal requirements of the </w:t>
      </w:r>
      <w:r>
        <w:rPr>
          <w:b/>
        </w:rPr>
        <w:t>Water Act 2016</w:t>
      </w:r>
      <w:r>
        <w:t xml:space="preserve">, the </w:t>
      </w:r>
      <w:r>
        <w:rPr>
          <w:b/>
        </w:rPr>
        <w:t>World Bank Environmental and Social Framework (ESF)</w:t>
      </w:r>
      <w:r>
        <w:t>, and Kenyan NEMA standards, the project is poised to deliver substantial socio‑economic benefits while safeguarding air quality, noise levels, water resources, and the well‑being of nearby receptors.</w:t>
      </w:r>
    </w:p>
    <w:p>
      <w:r>
        <w:t xml:space="preserve">Subject to the fulfillment of the pre‑approval conditions and the incorporation of the missing technical data, the Lead Expert recommends that NEMA </w:t>
      </w:r>
      <w:r>
        <w:rPr>
          <w:b/>
        </w:rPr>
        <w:t>grant pre‑approval</w:t>
      </w:r>
      <w:r>
        <w:t xml:space="preserve"> of the ESIA and proceed to the licensing stage, contingent upon the implementation of the ESMP as described.</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