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ENVIRONMENTAL AND SOCIAL IMPACT ASSESSMENT (ESIA) STUDY REPORT</w:t>
      </w:r>
    </w:p>
    <w:p>
      <w:pPr>
        <w:pStyle w:val="Heading1"/>
      </w:pPr>
      <w:r>
        <w:t>KIUU QUARRY &amp; AGGREGATE PROCESSING FACILITY</w:t>
      </w:r>
    </w:p>
    <w:p>
      <w:r>
        <w:t>Lead Expert: Eliud Michura (NEMA Reg. No. EIA/EA/0532)</w:t>
      </w:r>
    </w:p>
    <w:p>
      <w:r>
        <w:t>Attestation: I confirm the information provided is accurate to the best of my knowledge.</w:t>
      </w:r>
    </w:p>
    <w:p>
      <w:r>
        <w:t>Date: 2026-09-15</w:t>
      </w:r>
    </w:p>
    <w:p>
      <w:r>
        <w:br w:type="page"/>
      </w:r>
    </w:p>
    <w:p>
      <w:pPr>
        <w:pStyle w:val="Heading1"/>
      </w:pPr>
      <w:r>
        <w:t>Executive Summary</w:t>
      </w:r>
    </w:p>
    <w:p>
      <w:r>
        <w:t>[Content generation failed.]</w:t>
      </w:r>
    </w:p>
    <w:p>
      <w:r>
        <w:br w:type="page"/>
      </w:r>
    </w:p>
    <w:p>
      <w:pPr>
        <w:pStyle w:val="Heading1"/>
      </w:pPr>
      <w:r>
        <w:t>Chapter 1: Introduction</w:t>
      </w:r>
    </w:p>
    <w:p>
      <w:r>
        <w:t>## 1.1 Project Background</w:t>
      </w:r>
    </w:p>
    <w:p>
      <w:r>
        <w:t>The Kiuu Quarry &amp; Aggregate Processing Facility is proposed by Rockline Aggregates (K) Ltd. (PIN: P059413827R) to develop a high‑risk extractive mining operation (Second Schedule) on a 6.37 ha leasehold (LR No. 4417/09) in Ndarugo Ward, Gatundu South, Kiambu County (coordinates ‑1.0873, 37.0142). The project will involve the extraction of rock material, primary crushing, screening, and the supply of aggregates for construction activities in the surrounding region.</w:t>
      </w:r>
    </w:p>
    <w:p>
      <w:r>
        <w:t>The total capital cost is estimated at KES 417,600,000. Construction is scheduled to commence on 11 May 2027 and is expected to last nine (9) months, followed by an operational lifespan of eighteen (18) years.</w:t>
      </w:r>
    </w:p>
    <w:p>
      <w:r>
        <w:t>## 1.2 Project Description</w:t>
      </w:r>
    </w:p>
    <w:p>
      <w:pPr>
        <w:pStyle w:val="ListBullet"/>
      </w:pPr>
      <w:r/>
      <w:r>
        <w:rPr>
          <w:b/>
        </w:rPr>
        <w:t>Site Area:</w:t>
      </w:r>
      <w:r>
        <w:t xml:space="preserve"> 6.37 ha (leasehold, 33‑year mining lease).</w:t>
      </w:r>
    </w:p>
    <w:p>
      <w:pPr>
        <w:pStyle w:val="ListBullet"/>
      </w:pPr>
      <w:r/>
      <w:r>
        <w:rPr>
          <w:b/>
        </w:rPr>
        <w:t>Key Activities:</w:t>
      </w:r>
      <w:r/>
    </w:p>
    <w:p>
      <w:pPr>
        <w:pStyle w:val="ListNumber"/>
      </w:pPr>
      <w:r>
        <w:t>Over‑burden removal and rock blasting.</w:t>
      </w:r>
    </w:p>
    <w:p>
      <w:pPr>
        <w:pStyle w:val="ListNumber"/>
      </w:pPr>
      <w:r>
        <w:t>Primary crushing and secondary screening of extracted material.</w:t>
      </w:r>
    </w:p>
    <w:p>
      <w:pPr>
        <w:pStyle w:val="ListNumber"/>
      </w:pPr>
      <w:r>
        <w:t>Aggregate stockpiling and loading for haulage.</w:t>
      </w:r>
    </w:p>
    <w:p>
      <w:pPr>
        <w:pStyle w:val="ListNumber"/>
      </w:pPr>
      <w:r>
        <w:t>Water management for dust suppression and runoff control.</w:t>
      </w:r>
    </w:p>
    <w:p>
      <w:pPr>
        <w:pStyle w:val="ListBullet"/>
      </w:pPr>
      <w:r/>
      <w:r>
        <w:rPr>
          <w:b/>
        </w:rPr>
        <w:t>Infrastructure:</w:t>
      </w:r>
      <w:r/>
    </w:p>
    <w:p>
      <w:pPr>
        <w:pStyle w:val="ListBullet"/>
      </w:pPr>
      <w:r>
        <w:t>Access roads and haul routes (alternate route to bypass Kiuu Trading Centre).</w:t>
      </w:r>
    </w:p>
    <w:p>
      <w:pPr>
        <w:pStyle w:val="ListBullet"/>
      </w:pPr>
      <w:r>
        <w:t xml:space="preserve">On‑site power supply (generator size </w:t>
      </w:r>
      <w:r>
        <w:rPr>
          <w:b/>
        </w:rPr>
        <w:t>[MISSING: GENERATOR SIZE]</w:t>
      </w:r>
      <w:r>
        <w:t>).</w:t>
      </w:r>
    </w:p>
    <w:p>
      <w:pPr>
        <w:pStyle w:val="ListBullet"/>
      </w:pPr>
      <w:r>
        <w:t>Staff borehole (existing, 20 m on‑site).</w:t>
      </w:r>
    </w:p>
    <w:p>
      <w:pPr>
        <w:pStyle w:val="ListBullet"/>
      </w:pPr>
      <w:r/>
      <w:r>
        <w:rPr>
          <w:b/>
        </w:rPr>
        <w:t>Production Parameters (to be finalised):</w:t>
      </w:r>
      <w:r/>
    </w:p>
    <w:p>
      <w:pPr>
        <w:pStyle w:val="ListBullet"/>
      </w:pPr>
      <w:r>
        <w:t xml:space="preserve">Crushing capacity </w:t>
      </w:r>
      <w:r>
        <w:rPr>
          <w:b/>
        </w:rPr>
        <w:t>[MISSING: PRODUCTION CAPACITY]</w:t>
      </w:r>
      <w:r>
        <w:t>.</w:t>
      </w:r>
    </w:p>
    <w:p>
      <w:pPr>
        <w:pStyle w:val="ListBullet"/>
      </w:pPr>
      <w:r>
        <w:t xml:space="preserve">Daily truck movements </w:t>
      </w:r>
      <w:r>
        <w:rPr>
          <w:b/>
        </w:rPr>
        <w:t>[MISSING: TRUCK VOLUME]</w:t>
      </w:r>
      <w:r>
        <w:t>.</w:t>
      </w:r>
    </w:p>
    <w:p>
      <w:pPr>
        <w:pStyle w:val="ListBullet"/>
      </w:pPr>
      <w:r>
        <w:t xml:space="preserve">Explosive type and charge limits </w:t>
      </w:r>
      <w:r>
        <w:rPr>
          <w:b/>
        </w:rPr>
        <w:t>[MISSING: EXPLOSIVE TYPE]</w:t>
      </w:r>
      <w:r>
        <w:t>.</w:t>
      </w:r>
    </w:p>
    <w:p>
      <w:r>
        <w:t>All operational activities will be undertaken in accordance with the relevant Kenyan standards, including KS 2003 for vibration control.</w:t>
      </w:r>
    </w:p>
    <w:p>
      <w:r>
        <w:t>## 1.3 Location and Site Context</w:t>
      </w:r>
    </w:p>
    <w:p>
      <w:r>
        <w:t>The project is situated in a semi‑rural setting characterised by rocky scrubland and a partially disused quarry pit. The site lies 95 m northeast of the Ndarugo River, 410 m southwest of Gatundu South Academy, and 740 m east of Ndarugo Health Centre. Other receptors within a 1 km radius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Receptor</w:t>
            </w:r>
          </w:p>
        </w:tc>
        <w:tc>
          <w:tcPr>
            <w:tcW w:type="dxa" w:w="2880"/>
          </w:tcPr>
          <w:p>
            <w:r>
              <w:rPr>
                <w:b/>
              </w:rPr>
              <w:t>Distance</w:t>
            </w:r>
          </w:p>
        </w:tc>
        <w:tc>
          <w:tcPr>
            <w:tcW w:type="dxa" w:w="2880"/>
          </w:tcPr>
          <w:p>
            <w:r>
              <w:rPr>
                <w:b/>
              </w:rPr>
              <w:t>Direction</w:t>
            </w:r>
          </w:p>
        </w:tc>
      </w:tr>
      <w:tr>
        <w:tc>
          <w:tcPr>
            <w:tcW w:type="dxa" w:w="2880"/>
          </w:tcPr>
          <w:p>
            <w:r>
              <w:t>Ndarugo Health Centre</w:t>
            </w:r>
          </w:p>
        </w:tc>
        <w:tc>
          <w:tcPr>
            <w:tcW w:type="dxa" w:w="2880"/>
          </w:tcPr>
          <w:p>
            <w:r>
              <w:t>740 m</w:t>
            </w:r>
          </w:p>
        </w:tc>
        <w:tc>
          <w:tcPr>
            <w:tcW w:type="dxa" w:w="2880"/>
          </w:tcPr>
          <w:p>
            <w:r>
              <w:t>East</w:t>
            </w:r>
          </w:p>
        </w:tc>
      </w:tr>
      <w:tr>
        <w:tc>
          <w:tcPr>
            <w:tcW w:type="dxa" w:w="2880"/>
          </w:tcPr>
          <w:p>
            <w:r>
              <w:t>Gatundu South Academy</w:t>
            </w:r>
          </w:p>
        </w:tc>
        <w:tc>
          <w:tcPr>
            <w:tcW w:type="dxa" w:w="2880"/>
          </w:tcPr>
          <w:p>
            <w:r>
              <w:t>410 m</w:t>
            </w:r>
          </w:p>
        </w:tc>
        <w:tc>
          <w:tcPr>
            <w:tcW w:type="dxa" w:w="2880"/>
          </w:tcPr>
          <w:p>
            <w:r>
              <w:t>Southwest</w:t>
            </w:r>
          </w:p>
        </w:tc>
      </w:tr>
      <w:tr>
        <w:tc>
          <w:tcPr>
            <w:tcW w:type="dxa" w:w="2880"/>
          </w:tcPr>
          <w:p>
            <w:r>
              <w:t>Ndarugo SDA Church</w:t>
            </w:r>
          </w:p>
        </w:tc>
        <w:tc>
          <w:tcPr>
            <w:tcW w:type="dxa" w:w="2880"/>
          </w:tcPr>
          <w:p>
            <w:r>
              <w:t>890 m</w:t>
            </w:r>
          </w:p>
        </w:tc>
        <w:tc>
          <w:tcPr>
            <w:tcW w:type="dxa" w:w="2880"/>
          </w:tcPr>
          <w:p>
            <w:r>
              <w:t>North</w:t>
            </w:r>
          </w:p>
        </w:tc>
      </w:tr>
      <w:tr>
        <w:tc>
          <w:tcPr>
            <w:tcW w:type="dxa" w:w="2880"/>
          </w:tcPr>
          <w:p>
            <w:r>
              <w:t>Ndarugo River</w:t>
            </w:r>
          </w:p>
        </w:tc>
        <w:tc>
          <w:tcPr>
            <w:tcW w:type="dxa" w:w="2880"/>
          </w:tcPr>
          <w:p>
            <w:r>
              <w:t>95 m</w:t>
            </w:r>
          </w:p>
        </w:tc>
        <w:tc>
          <w:tcPr>
            <w:tcW w:type="dxa" w:w="2880"/>
          </w:tcPr>
          <w:p>
            <w:r>
              <w:t>Northeast</w:t>
            </w:r>
          </w:p>
        </w:tc>
      </w:tr>
      <w:tr>
        <w:tc>
          <w:tcPr>
            <w:tcW w:type="dxa" w:w="2880"/>
          </w:tcPr>
          <w:p>
            <w:r>
              <w:t>Rockline Staff Borehole</w:t>
            </w:r>
          </w:p>
        </w:tc>
        <w:tc>
          <w:tcPr>
            <w:tcW w:type="dxa" w:w="2880"/>
          </w:tcPr>
          <w:p>
            <w:r>
              <w:t>20 m</w:t>
            </w:r>
          </w:p>
        </w:tc>
        <w:tc>
          <w:tcPr>
            <w:tcW w:type="dxa" w:w="2880"/>
          </w:tcPr>
          <w:p>
            <w:r>
              <w:t>On‑site</w:t>
            </w:r>
          </w:p>
        </w:tc>
      </w:tr>
      <w:tr>
        <w:tc>
          <w:tcPr>
            <w:tcW w:type="dxa" w:w="2880"/>
          </w:tcPr>
          <w:p>
            <w:r>
              <w:t>Kieni Forest Buffer Zone</w:t>
            </w:r>
          </w:p>
        </w:tc>
        <w:tc>
          <w:tcPr>
            <w:tcW w:type="dxa" w:w="2880"/>
          </w:tcPr>
          <w:p>
            <w:r>
              <w:t>970 m</w:t>
            </w:r>
          </w:p>
        </w:tc>
        <w:tc>
          <w:tcPr>
            <w:tcW w:type="dxa" w:w="2880"/>
          </w:tcPr>
          <w:p>
            <w:r>
              <w:t>West</w:t>
            </w:r>
          </w:p>
        </w:tc>
      </w:tr>
      <w:tr>
        <w:tc>
          <w:tcPr>
            <w:tcW w:type="dxa" w:w="2880"/>
          </w:tcPr>
          <w:p>
            <w:r>
              <w:t>Kiuu Trading Centre</w:t>
            </w:r>
          </w:p>
        </w:tc>
        <w:tc>
          <w:tcPr>
            <w:tcW w:type="dxa" w:w="2880"/>
          </w:tcPr>
          <w:p>
            <w:r>
              <w:t>310 m</w:t>
            </w:r>
          </w:p>
        </w:tc>
        <w:tc>
          <w:tcPr>
            <w:tcW w:type="dxa" w:w="2880"/>
          </w:tcPr>
          <w:p>
            <w:r>
              <w:t>South</w:t>
            </w:r>
          </w:p>
        </w:tc>
      </w:tr>
    </w:tbl>
    <w:p>
      <w:r>
        <w:t>Groundwater is encountered at a depth of approximately 61 m. The topography is gently undulating with the quarry pit occupying the central portion of the lease.</w:t>
      </w:r>
    </w:p>
    <w:p>
      <w:r>
        <w:t>## 1.4 Legal and Institutional Framework</w:t>
      </w:r>
    </w:p>
    <w:p>
      <w:r>
        <w:t>The project will be assessed against the following Kenyan statutes and guidelines, as required for a high‑risk extractive activity:</w:t>
      </w:r>
    </w:p>
    <w:p>
      <w:pPr>
        <w:pStyle w:val="ListBullet"/>
      </w:pPr>
      <w:r/>
      <w:r>
        <w:rPr>
          <w:b/>
        </w:rPr>
        <w:t>Environmental Management and Coordination Act (EMCA) 1999</w:t>
      </w:r>
      <w:r>
        <w:t xml:space="preserve"> – Sections 30–33 (EIA process).</w:t>
      </w:r>
    </w:p>
    <w:p>
      <w:pPr>
        <w:pStyle w:val="ListBullet"/>
      </w:pPr>
      <w:r/>
      <w:r>
        <w:rPr>
          <w:b/>
        </w:rPr>
        <w:t>Environmental Impact Assessment Regulations 2003</w:t>
      </w:r>
      <w:r>
        <w:t xml:space="preserve"> – Schedule 2 (High‑risk activities).</w:t>
      </w:r>
    </w:p>
    <w:p>
      <w:pPr>
        <w:pStyle w:val="ListBullet"/>
      </w:pPr>
      <w:r/>
      <w:r>
        <w:rPr>
          <w:b/>
        </w:rPr>
        <w:t>Water Act 2016</w:t>
      </w:r>
      <w:r>
        <w:t xml:space="preserve"> – Regulation of water abstraction, discharge, and protection of the Ndarugo River.</w:t>
      </w:r>
    </w:p>
    <w:p>
      <w:pPr>
        <w:pStyle w:val="ListBullet"/>
      </w:pPr>
      <w:r/>
      <w:r>
        <w:rPr>
          <w:b/>
        </w:rPr>
        <w:t>Mining Act 2016</w:t>
      </w:r>
      <w:r>
        <w:t xml:space="preserve"> – Licensing, lease conditions, and health &amp; safety standards.</w:t>
      </w:r>
    </w:p>
    <w:p>
      <w:pPr>
        <w:pStyle w:val="ListBullet"/>
      </w:pPr>
      <w:r/>
      <w:r>
        <w:rPr>
          <w:b/>
        </w:rPr>
        <w:t>Occupational Safety and Health Act 2007</w:t>
      </w:r>
      <w:r>
        <w:t xml:space="preserve"> – Worker protection during blasting and crushing operations.</w:t>
      </w:r>
    </w:p>
    <w:p>
      <w:pPr>
        <w:pStyle w:val="ListBullet"/>
      </w:pPr>
      <w:r/>
      <w:r>
        <w:rPr>
          <w:b/>
        </w:rPr>
        <w:t>World Bank Environmental and Social Framework (ESF)</w:t>
      </w:r>
      <w:r>
        <w:t xml:space="preserve"> – Applicable as the project seeks financing from institutions that adopt the ESF.</w:t>
      </w:r>
    </w:p>
    <w:p>
      <w:r>
        <w:t>The lead environmental specialist for the ESIA is Eliud Michura (EIA/EA/0532). The proponent’s contact details are: Rockline House, Kiambu Road, Kiambu Town; Phone +254 711 902 384; Email operations@rocklineagg.co.ke.</w:t>
      </w:r>
    </w:p>
    <w:p>
      <w:r>
        <w:t>## 1.5 Baseline Environmental Conditions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Baseline Value</w:t>
            </w:r>
          </w:p>
        </w:tc>
        <w:tc>
          <w:tcPr>
            <w:tcW w:type="dxa" w:w="2160"/>
          </w:tcPr>
          <w:p>
            <w:r>
              <w:rPr>
                <w:b/>
              </w:rPr>
              <w:t>Measurement Date</w:t>
            </w:r>
          </w:p>
        </w:tc>
        <w:tc>
          <w:tcPr>
            <w:tcW w:type="dxa" w:w="2160"/>
          </w:tcPr>
          <w:p>
            <w:r>
              <w:rPr>
                <w:b/>
              </w:rPr>
              <w:t>Source</w:t>
            </w:r>
          </w:p>
        </w:tc>
      </w:tr>
      <w:tr>
        <w:tc>
          <w:tcPr>
            <w:tcW w:type="dxa" w:w="2160"/>
          </w:tcPr>
          <w:p>
            <w:r>
              <w:t>PM₂.₅ (air)</w:t>
            </w:r>
          </w:p>
        </w:tc>
        <w:tc>
          <w:tcPr>
            <w:tcW w:type="dxa" w:w="2160"/>
          </w:tcPr>
          <w:p>
            <w:r>
              <w:t>22 µg m⁻³</w:t>
            </w:r>
          </w:p>
        </w:tc>
        <w:tc>
          <w:tcPr>
            <w:tcW w:type="dxa" w:w="2160"/>
          </w:tcPr>
          <w:p>
            <w:r>
              <w:t>03 May 2026</w:t>
            </w:r>
          </w:p>
        </w:tc>
        <w:tc>
          <w:tcPr>
            <w:tcW w:type="dxa" w:w="2160"/>
          </w:tcPr>
          <w:p>
            <w:r>
              <w:t>Tectonic Geo‑Environmental Associates</w:t>
            </w:r>
          </w:p>
        </w:tc>
      </w:tr>
      <w:tr>
        <w:tc>
          <w:tcPr>
            <w:tcW w:type="dxa" w:w="2160"/>
          </w:tcPr>
          <w:p>
            <w:r>
              <w:t>PM₁₀ (air)</w:t>
            </w:r>
          </w:p>
        </w:tc>
        <w:tc>
          <w:tcPr>
            <w:tcW w:type="dxa" w:w="2160"/>
          </w:tcPr>
          <w:p>
            <w:r>
              <w:t>63 µg m⁻³</w:t>
            </w:r>
          </w:p>
        </w:tc>
        <w:tc>
          <w:tcPr>
            <w:tcW w:type="dxa" w:w="2160"/>
          </w:tcPr>
          <w:p>
            <w:r>
              <w:t>03 May 2026</w:t>
            </w:r>
          </w:p>
        </w:tc>
        <w:tc>
          <w:tcPr>
            <w:tcW w:type="dxa" w:w="2160"/>
          </w:tcPr>
          <w:p>
            <w:r>
              <w:t>Tectonic Geo‑Environmental Associates</w:t>
            </w:r>
          </w:p>
        </w:tc>
      </w:tr>
      <w:tr>
        <w:tc>
          <w:tcPr>
            <w:tcW w:type="dxa" w:w="2160"/>
          </w:tcPr>
          <w:p>
            <w:r>
              <w:t>Noise (ambient)</w:t>
            </w:r>
          </w:p>
        </w:tc>
        <w:tc>
          <w:tcPr>
            <w:tcW w:type="dxa" w:w="2160"/>
          </w:tcPr>
          <w:p>
            <w:r>
              <w:t>58 dBA</w:t>
            </w:r>
          </w:p>
        </w:tc>
        <w:tc>
          <w:tcPr>
            <w:tcW w:type="dxa" w:w="2160"/>
          </w:tcPr>
          <w:p>
            <w:r>
              <w:t>03 May 2026</w:t>
            </w:r>
          </w:p>
        </w:tc>
        <w:tc>
          <w:tcPr>
            <w:tcW w:type="dxa" w:w="2160"/>
          </w:tcPr>
          <w:p>
            <w:r>
              <w:t>Tectonic Geo‑Environmental Associates</w:t>
            </w:r>
          </w:p>
        </w:tc>
      </w:tr>
      <w:tr>
        <w:tc>
          <w:tcPr>
            <w:tcW w:type="dxa" w:w="2160"/>
          </w:tcPr>
          <w:p>
            <w:r>
              <w:t>Groundwater depth</w:t>
            </w:r>
          </w:p>
        </w:tc>
        <w:tc>
          <w:tcPr>
            <w:tcW w:type="dxa" w:w="2160"/>
          </w:tcPr>
          <w:p>
            <w:r>
              <w:t>61 m</w:t>
            </w:r>
          </w:p>
        </w:tc>
        <w:tc>
          <w:tcPr>
            <w:tcW w:type="dxa" w:w="2160"/>
          </w:tcPr>
          <w:p>
            <w:r>
              <w:t>03 May 2026</w:t>
            </w:r>
          </w:p>
        </w:tc>
        <w:tc>
          <w:tcPr>
            <w:tcW w:type="dxa" w:w="2160"/>
          </w:tcPr>
          <w:p>
            <w:r>
              <w:t>Tectonic Geo‑Environmental Associates</w:t>
            </w:r>
          </w:p>
        </w:tc>
      </w:tr>
      <w:tr>
        <w:tc>
          <w:tcPr>
            <w:tcW w:type="dxa" w:w="2160"/>
          </w:tcPr>
          <w:p>
            <w:r>
              <w:t>Land use</w:t>
            </w:r>
          </w:p>
        </w:tc>
        <w:tc>
          <w:tcPr>
            <w:tcW w:type="dxa" w:w="2160"/>
          </w:tcPr>
          <w:p>
            <w:r>
              <w:t>Rocky scrubland / disused quarry pit (partial)</w:t>
            </w:r>
          </w:p>
        </w:tc>
        <w:tc>
          <w:tcPr>
            <w:tcW w:type="dxa" w:w="2160"/>
          </w:tcPr>
          <w:p>
            <w:r>
              <w:t>03 May 2026</w:t>
            </w:r>
          </w:p>
        </w:tc>
        <w:tc>
          <w:tcPr>
            <w:tcW w:type="dxa" w:w="2160"/>
          </w:tcPr>
          <w:p>
            <w:r>
              <w:t>Tectonic Geo‑Environmental Associates</w:t>
            </w:r>
          </w:p>
        </w:tc>
      </w:tr>
    </w:tbl>
    <w:p>
      <w:r>
        <w:t>These baseline data provide the reference against which project‑induced changes will be evaluated.</w:t>
      </w:r>
    </w:p>
    <w:p>
      <w:r>
        <w:t>## 1.6 Stakeholder Engagement</w:t>
      </w:r>
    </w:p>
    <w:p>
      <w:r>
        <w:t>A structured stakeholder engagement programme has been initiated in accordance with EMCA and the World Bank ESF. Key activities to date include:</w:t>
      </w:r>
    </w:p>
    <w:p>
      <w:pPr>
        <w:pStyle w:val="ListBullet"/>
      </w:pPr>
      <w:r/>
      <w:r>
        <w:rPr>
          <w:b/>
        </w:rPr>
        <w:t>Public Notice:</w:t>
      </w:r>
      <w:r>
        <w:t xml:space="preserve"> Publication in </w:t>
      </w:r>
      <w:r>
        <w:rPr>
          <w:i/>
        </w:rPr>
        <w:t>The Star</w:t>
      </w:r>
      <w:r>
        <w:t xml:space="preserve"> on 02 September 2026 (21‑day notice).</w:t>
      </w:r>
    </w:p>
    <w:p>
      <w:pPr>
        <w:pStyle w:val="ListBullet"/>
      </w:pPr>
      <w:r/>
      <w:r>
        <w:rPr>
          <w:b/>
        </w:rPr>
        <w:t>Baraza (Public Hearing):</w:t>
      </w:r>
      <w:r>
        <w:t xml:space="preserve"> Held on 23 September 2026 at Kiuu Trading Centre Grounds; 173 participants attended.</w:t>
      </w:r>
    </w:p>
    <w:p>
      <w:pPr>
        <w:pStyle w:val="ListBullet"/>
      </w:pPr>
      <w:r/>
      <w:r>
        <w:rPr>
          <w:b/>
        </w:rPr>
        <w:t>Vulnerable Groups:</w:t>
      </w:r>
      <w:r>
        <w:t xml:space="preserve"> Elderly residents located near the proposed blast zone have been offered priority transport during blasting windows.</w:t>
      </w:r>
    </w:p>
    <w:p>
      <w:pPr>
        <w:pStyle w:val="ListBullet"/>
      </w:pPr>
      <w:r/>
      <w:r>
        <w:rPr>
          <w:b/>
        </w:rPr>
        <w:t>Grievance Redress Mechanism (GRM):</w:t>
      </w:r>
      <w:r>
        <w:t xml:space="preserve"> Established; a GRM Committee is operational.</w:t>
      </w:r>
    </w:p>
    <w:p>
      <w:r>
        <w:t>All comments received during the Baraza have been documented and are being incorporated into the mitigation hierarchy.</w:t>
      </w:r>
    </w:p>
    <w:p>
      <w:r>
        <w:t>## 1.7 Identified Concerns and Proposed Mitigations</w:t>
      </w:r>
    </w:p>
    <w:tbl>
      <w:tblPr>
        <w:tblStyle w:val="TableGrid"/>
        <w:tblW w:type="auto" w:w="0"/>
        <w:tblLook w:firstColumn="1" w:firstRow="1" w:lastColumn="0" w:lastRow="0" w:noHBand="0" w:noVBand="1" w:val="04A0"/>
      </w:tblPr>
      <w:tblGrid>
        <w:gridCol w:w="4320"/>
        <w:gridCol w:w="4320"/>
      </w:tblGrid>
      <w:tr>
        <w:tc>
          <w:tcPr>
            <w:tcW w:type="dxa" w:w="4320"/>
          </w:tcPr>
          <w:p>
            <w:r>
              <w:rPr>
                <w:b/>
              </w:rPr>
              <w:t>Concern</w:t>
            </w:r>
          </w:p>
        </w:tc>
        <w:tc>
          <w:tcPr>
            <w:tcW w:type="dxa" w:w="4320"/>
          </w:tcPr>
          <w:p>
            <w:r>
              <w:rPr>
                <w:b/>
              </w:rPr>
              <w:t>Proposed Mitigation</w:t>
            </w:r>
          </w:p>
        </w:tc>
      </w:tr>
      <w:tr>
        <w:tc>
          <w:tcPr>
            <w:tcW w:type="dxa" w:w="4320"/>
          </w:tcPr>
          <w:p>
            <w:r>
              <w:t>Ground vibration from blasting</w:t>
            </w:r>
          </w:p>
        </w:tc>
        <w:tc>
          <w:tcPr>
            <w:tcW w:type="dxa" w:w="4320"/>
          </w:tcPr>
          <w:p>
            <w:r>
              <w:t>Pre‑blast structural surveys of homes within 500 m; adherence to KS 2003 vibration limits; use of controlled charge sizes.</w:t>
            </w:r>
          </w:p>
        </w:tc>
      </w:tr>
      <w:tr>
        <w:tc>
          <w:tcPr>
            <w:tcW w:type="dxa" w:w="4320"/>
          </w:tcPr>
          <w:p>
            <w:r>
              <w:t>Dust generation during crushing/screening</w:t>
            </w:r>
          </w:p>
        </w:tc>
        <w:tc>
          <w:tcPr>
            <w:tcW w:type="dxa" w:w="4320"/>
          </w:tcPr>
          <w:p>
            <w:r>
              <w:t>Wet suppression on crushers; enclosure of conveyors; establishment of a perimeter tree buffer.</w:t>
            </w:r>
          </w:p>
        </w:tc>
      </w:tr>
      <w:tr>
        <w:tc>
          <w:tcPr>
            <w:tcW w:type="dxa" w:w="4320"/>
          </w:tcPr>
          <w:p>
            <w:r>
              <w:t>Potential impact on Ndarugo River (95 m away)</w:t>
            </w:r>
          </w:p>
        </w:tc>
        <w:tc>
          <w:tcPr>
            <w:tcW w:type="dxa" w:w="4320"/>
          </w:tcPr>
          <w:p>
            <w:r>
              <w:t>30 m no‑disturbance buffer along riverbank; installation of sediment traps on all runoff channels; compliance with Water Act 2016 discharge standards.</w:t>
            </w:r>
          </w:p>
        </w:tc>
      </w:tr>
      <w:tr>
        <w:tc>
          <w:tcPr>
            <w:tcW w:type="dxa" w:w="4320"/>
          </w:tcPr>
          <w:p>
            <w:r>
              <w:t>Heavy truck traffic</w:t>
            </w:r>
          </w:p>
        </w:tc>
        <w:tc>
          <w:tcPr>
            <w:tcW w:type="dxa" w:w="4320"/>
          </w:tcPr>
          <w:p>
            <w:r>
              <w:t>Designated alternate haul route bypassing Kiuu Trading Centre; haulage restricted to 08:00–17:00 hrs; traffic management plan to be detailed in the ESMP.</w:t>
            </w:r>
          </w:p>
        </w:tc>
      </w:tr>
    </w:tbl>
    <w:p>
      <w:r>
        <w:t>Residual impacts that cannot be fully eliminated will be monitored and managed through the Environmental and Social Management Plan (ESMP).</w:t>
      </w:r>
    </w:p>
    <w:p>
      <w:r>
        <w:t>## 1.8 Project Objectives</w:t>
      </w:r>
    </w:p>
    <w:p>
      <w:pPr>
        <w:pStyle w:val="ListNumber"/>
      </w:pPr>
      <w:r>
        <w:t>To provide a reliable source of high‑quality aggregates for construction within Kiambu County and neighboring regions.</w:t>
      </w:r>
    </w:p>
    <w:p>
      <w:pPr>
        <w:pStyle w:val="ListNumber"/>
      </w:pPr>
      <w:r>
        <w:t>To operate the quarry and processing facility in compliance with Kenyan environmental legislation and international best practice (World Bank ESF).</w:t>
      </w:r>
    </w:p>
    <w:p>
      <w:pPr>
        <w:pStyle w:val="ListNumber"/>
      </w:pPr>
      <w:r>
        <w:t>To minimise adverse environmental and social impacts through the implementation of a robust ESMP and an effective GRM.</w:t>
      </w:r>
    </w:p>
    <w:p>
      <w:r>
        <w:t>## 1.9 Scope of the ESIA</w:t>
      </w:r>
    </w:p>
    <w:p>
      <w:r>
        <w:t>The Environmental and Social Impact Assessment (ESIA) covers:</w:t>
      </w:r>
    </w:p>
    <w:p>
      <w:pPr>
        <w:pStyle w:val="ListBullet"/>
      </w:pPr>
      <w:r>
        <w:t>Assessment of air quality, noise, vibration, water resources, soil, biodiversity, and socio‑economic conditions.</w:t>
      </w:r>
    </w:p>
    <w:p>
      <w:pPr>
        <w:pStyle w:val="ListBullet"/>
      </w:pPr>
      <w:r>
        <w:t>Cumulative impact analysis in relation to existing and planned developments within the catchment.</w:t>
      </w:r>
    </w:p>
    <w:p>
      <w:pPr>
        <w:pStyle w:val="ListBullet"/>
      </w:pPr>
      <w:r>
        <w:t>Evaluation of the effectiveness of proposed mitigation measures and the ESMP.</w:t>
      </w:r>
    </w:p>
    <w:p>
      <w:pPr>
        <w:pStyle w:val="ListBullet"/>
      </w:pPr>
      <w:r>
        <w:t>Identification of monitoring requirements and performance indicators.</w:t>
      </w:r>
    </w:p>
    <w:p>
      <w:r>
        <w:t>## 1.10 Methodology</w:t>
      </w:r>
    </w:p>
    <w:p>
      <w:r>
        <w:t>The ESIA follows the procedural steps set out in the EMCA Regulations 2003 and the World Bank ESF:</w:t>
      </w:r>
    </w:p>
    <w:p>
      <w:pPr>
        <w:pStyle w:val="ListNumber"/>
      </w:pPr>
      <w:r/>
      <w:r>
        <w:rPr>
          <w:b/>
        </w:rPr>
        <w:t>Scoping:</w:t>
      </w:r>
      <w:r>
        <w:t xml:space="preserve"> Review of regulatory requirements, baseline data, and stakeholder inputs.</w:t>
      </w:r>
    </w:p>
    <w:p>
      <w:pPr>
        <w:pStyle w:val="ListNumber"/>
      </w:pPr>
      <w:r/>
      <w:r>
        <w:rPr>
          <w:b/>
        </w:rPr>
        <w:t>Baseline Data Collection:</w:t>
      </w:r>
      <w:r>
        <w:t xml:space="preserve"> Field surveys (air, noise, water, biodiversity) conducted on 03 May 2026.</w:t>
      </w:r>
    </w:p>
    <w:p>
      <w:pPr>
        <w:pStyle w:val="ListNumber"/>
      </w:pPr>
      <w:r/>
      <w:r>
        <w:rPr>
          <w:b/>
        </w:rPr>
        <w:t>Impact Prediction:</w:t>
      </w:r>
      <w:r>
        <w:t xml:space="preserve"> Use of deterministic models for air dispersion, noise propagation, and vibration, calibrated with baseline measurements.</w:t>
      </w:r>
    </w:p>
    <w:p>
      <w:pPr>
        <w:pStyle w:val="ListNumber"/>
      </w:pPr>
      <w:r/>
      <w:r>
        <w:rPr>
          <w:b/>
        </w:rPr>
        <w:t>Mitigation Hierarchy:</w:t>
      </w:r>
      <w:r>
        <w:t xml:space="preserve"> Avoidance, minimisation, restoration, and offsetting, as appropriate.</w:t>
      </w:r>
    </w:p>
    <w:p>
      <w:pPr>
        <w:pStyle w:val="ListNumber"/>
      </w:pPr>
      <w:r/>
      <w:r>
        <w:rPr>
          <w:b/>
        </w:rPr>
        <w:t>Stakeholder Consultation:</w:t>
      </w:r>
      <w:r>
        <w:t xml:space="preserve"> Ongoing engagement through public notices, Baraza, and GRM.</w:t>
      </w:r>
    </w:p>
    <w:p>
      <w:pPr>
        <w:pStyle w:val="ListNumber"/>
      </w:pPr>
      <w:r/>
      <w:r>
        <w:rPr>
          <w:b/>
        </w:rPr>
        <w:t>Reporting:</w:t>
      </w:r>
      <w:r>
        <w:t xml:space="preserve"> Preparation of this ESIA document, including the ESMP and monitoring plan.</w:t>
      </w:r>
    </w:p>
    <w:p>
      <w:r>
        <w:t>## 1.11 Report Structure</w:t>
      </w:r>
    </w:p>
    <w:p>
      <w:r>
        <w:t>The ESIA is organised as follows:</w:t>
      </w:r>
    </w:p>
    <w:p>
      <w:pPr>
        <w:pStyle w:val="ListBullet"/>
      </w:pPr>
      <w:r/>
      <w:r>
        <w:rPr>
          <w:b/>
        </w:rPr>
        <w:t>Chapter 1 – Introduction</w:t>
      </w:r>
      <w:r>
        <w:t xml:space="preserve"> (this chapter).</w:t>
      </w:r>
    </w:p>
    <w:p>
      <w:pPr>
        <w:pStyle w:val="ListBullet"/>
      </w:pPr>
      <w:r/>
      <w:r>
        <w:rPr>
          <w:b/>
        </w:rPr>
        <w:t>Chapter 2 – Legal and Institutional Framework.</w:t>
      </w:r>
      <w:r/>
    </w:p>
    <w:p>
      <w:pPr>
        <w:pStyle w:val="ListBullet"/>
      </w:pPr>
      <w:r/>
      <w:r>
        <w:rPr>
          <w:b/>
        </w:rPr>
        <w:t>Chapter 3 – Project Description and Alternatives.</w:t>
      </w:r>
      <w:r/>
    </w:p>
    <w:p>
      <w:pPr>
        <w:pStyle w:val="ListBullet"/>
      </w:pPr>
      <w:r/>
      <w:r>
        <w:rPr>
          <w:b/>
        </w:rPr>
        <w:t>Chapter 4 – Baseline Environment and Social Conditions.</w:t>
      </w:r>
      <w:r/>
    </w:p>
    <w:p>
      <w:pPr>
        <w:pStyle w:val="ListBullet"/>
      </w:pPr>
      <w:r/>
      <w:r>
        <w:rPr>
          <w:b/>
        </w:rPr>
        <w:t>Chapter 5 – Impact Assessment and Mitigation.</w:t>
      </w:r>
      <w:r/>
    </w:p>
    <w:p>
      <w:pPr>
        <w:pStyle w:val="ListBullet"/>
      </w:pPr>
      <w:r/>
      <w:r>
        <w:rPr>
          <w:b/>
        </w:rPr>
        <w:t>Chapter 6 – Environmental and Social Management Plan (ESMP).</w:t>
      </w:r>
      <w:r/>
    </w:p>
    <w:p>
      <w:pPr>
        <w:pStyle w:val="ListBullet"/>
      </w:pPr>
      <w:r/>
      <w:r>
        <w:rPr>
          <w:b/>
        </w:rPr>
        <w:t>Chapter 7 – Monitoring, Auditing, and Reporting.</w:t>
      </w:r>
      <w:r/>
    </w:p>
    <w:p>
      <w:pPr>
        <w:pStyle w:val="ListBullet"/>
      </w:pPr>
      <w:r/>
      <w:r>
        <w:rPr>
          <w:b/>
        </w:rPr>
        <w:t>Chapter 8 – Conclusions and Recommendations.</w:t>
      </w:r>
      <w:r/>
    </w:p>
    <w:p>
      <w:r>
        <w:t>---</w:t>
      </w:r>
    </w:p>
    <w:p>
      <w:r/>
      <w:r>
        <w:rPr>
          <w:i/>
        </w:rPr>
        <w:t>Prepared by:</w:t>
      </w:r>
      <w:r/>
    </w:p>
    <w:p>
      <w:r/>
      <w:r>
        <w:rPr>
          <w:b/>
        </w:rPr>
        <w:t>Lead Expert:</w:t>
      </w:r>
      <w:r>
        <w:t xml:space="preserve"> Eliud Michura (EIA/EA/0532)</w:t>
      </w:r>
    </w:p>
    <w:p>
      <w:r/>
      <w:r>
        <w:rPr>
          <w:b/>
        </w:rPr>
        <w:t>Date:</w:t>
      </w:r>
      <w:r>
        <w:t xml:space="preserve"> 16 September 2026</w:t>
      </w:r>
    </w:p>
    <w:p>
      <w:r>
        <w:br w:type="page"/>
      </w:r>
    </w:p>
    <w:p>
      <w:pPr>
        <w:pStyle w:val="Heading1"/>
      </w:pPr>
      <w:r>
        <w:t>Chapter 2: Project Description</w:t>
      </w:r>
    </w:p>
    <w:p>
      <w:r>
        <w:t>## 2.1 Project Overview</w:t>
      </w:r>
    </w:p>
    <w:p>
      <w:r>
        <w:t xml:space="preserve">The </w:t>
      </w:r>
      <w:r>
        <w:rPr>
          <w:b/>
        </w:rPr>
        <w:t>Kiuu Quarry &amp; Aggregate Processing Facility</w:t>
      </w:r>
      <w:r>
        <w:t xml:space="preserve"> is a proposed extractive mining operation to be undertaken by </w:t>
      </w:r>
      <w:r>
        <w:rPr>
          <w:b/>
        </w:rPr>
        <w:t>Rockline Aggregates (K) Ltd.</w:t>
      </w:r>
      <w:r>
        <w:t xml:space="preserve"> (PIN: P059413827R). The project will develop a 6.37‑hectare site located in </w:t>
      </w:r>
      <w:r>
        <w:rPr>
          <w:b/>
        </w:rPr>
        <w:t>Ndarugo Ward, Gatundu South, Kiambu County</w:t>
      </w:r>
      <w:r>
        <w:t xml:space="preserve"> (coordinates ‑1.0873 N, 37.0142 E) on </w:t>
      </w:r>
      <w:r>
        <w:rPr>
          <w:b/>
        </w:rPr>
        <w:t>Leasehold LR No. 4417/09</w:t>
      </w:r>
      <w:r>
        <w:t xml:space="preserve">, a 33‑year mining lease granted under the </w:t>
      </w:r>
      <w:r>
        <w:rPr>
          <w:b/>
        </w:rPr>
        <w:t>Environmental Management and Coordination Act (EMCA) 1999</w:t>
      </w:r>
      <w:r>
        <w:t xml:space="preserve"> and the </w:t>
      </w:r>
      <w:r>
        <w:rPr>
          <w:b/>
        </w:rPr>
        <w:t>Mining Act 2016</w:t>
      </w:r>
      <w:r>
        <w:t>.</w:t>
      </w:r>
    </w:p>
    <w:p>
      <w:r>
        <w:t xml:space="preserve">The facility will extract, crush, screen and stock aggregates for use in construction and road works. The total capital cost is estimated at </w:t>
      </w:r>
      <w:r>
        <w:rPr>
          <w:b/>
        </w:rPr>
        <w:t>KES 417,600,000</w:t>
      </w:r>
      <w:r>
        <w:t xml:space="preserve">. The project is scheduled to commence construction on </w:t>
      </w:r>
      <w:r>
        <w:rPr>
          <w:b/>
        </w:rPr>
        <w:t>11 May 2027</w:t>
      </w:r>
      <w:r>
        <w:t xml:space="preserve">, with a construction period of </w:t>
      </w:r>
      <w:r>
        <w:rPr>
          <w:b/>
        </w:rPr>
        <w:t>9 months</w:t>
      </w:r>
      <w:r>
        <w:t xml:space="preserve"> and an operational lifespan of </w:t>
      </w:r>
      <w:r>
        <w:rPr>
          <w:b/>
        </w:rPr>
        <w:t>18 years</w:t>
      </w:r>
      <w:r>
        <w:t>.</w:t>
      </w:r>
    </w:p>
    <w:p>
      <w:r>
        <w:t>The proponent’s contact details are:</w:t>
      </w:r>
    </w:p>
    <w:p>
      <w:pPr>
        <w:pStyle w:val="ListBullet"/>
      </w:pPr>
      <w:r/>
      <w:r>
        <w:rPr>
          <w:b/>
        </w:rPr>
        <w:t>Address:</w:t>
      </w:r>
      <w:r>
        <w:t xml:space="preserve"> Rockline House, Kiambu Road, Kiambu Town</w:t>
      </w:r>
    </w:p>
    <w:p>
      <w:pPr>
        <w:pStyle w:val="ListBullet"/>
      </w:pPr>
      <w:r/>
      <w:r>
        <w:rPr>
          <w:b/>
        </w:rPr>
        <w:t>Phone:</w:t>
      </w:r>
      <w:r>
        <w:t xml:space="preserve"> +254 711 902 384</w:t>
      </w:r>
    </w:p>
    <w:p>
      <w:pPr>
        <w:pStyle w:val="ListBullet"/>
      </w:pPr>
      <w:r/>
      <w:r>
        <w:rPr>
          <w:b/>
        </w:rPr>
        <w:t>Email:</w:t>
      </w:r>
      <w:r>
        <w:t xml:space="preserve"> operations@rocklineagg.co.ke</w:t>
      </w:r>
    </w:p>
    <w:p>
      <w:r>
        <w:t xml:space="preserve">The Lead Expert for the ESIA is </w:t>
      </w:r>
      <w:r>
        <w:rPr>
          <w:b/>
        </w:rPr>
        <w:t>Eliud Michura (EIA/EA/0532)</w:t>
      </w:r>
      <w:r>
        <w:t>.</w:t>
      </w:r>
    </w:p>
    <w:p>
      <w:r>
        <w:t>---</w:t>
      </w:r>
    </w:p>
    <w:p>
      <w:r>
        <w:t>## 2.2 Site Description</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Description</w:t>
            </w:r>
          </w:p>
        </w:tc>
      </w:tr>
      <w:tr>
        <w:tc>
          <w:tcPr>
            <w:tcW w:type="dxa" w:w="4320"/>
          </w:tcPr>
          <w:p>
            <w:r/>
            <w:r>
              <w:rPr>
                <w:b/>
              </w:rPr>
              <w:t>Site Area</w:t>
            </w:r>
            <w:r/>
          </w:p>
        </w:tc>
        <w:tc>
          <w:tcPr>
            <w:tcW w:type="dxa" w:w="4320"/>
          </w:tcPr>
          <w:p>
            <w:r>
              <w:t>6.37 ha (approximately 63,700 m²)</w:t>
            </w:r>
          </w:p>
        </w:tc>
      </w:tr>
      <w:tr>
        <w:tc>
          <w:tcPr>
            <w:tcW w:type="dxa" w:w="4320"/>
          </w:tcPr>
          <w:p>
            <w:r/>
            <w:r>
              <w:rPr>
                <w:b/>
              </w:rPr>
              <w:t>Topography</w:t>
            </w:r>
            <w:r/>
          </w:p>
        </w:tc>
        <w:tc>
          <w:tcPr>
            <w:tcW w:type="dxa" w:w="4320"/>
          </w:tcPr>
          <w:p>
            <w:r>
              <w:t>Undulating rocky terrain with a partially disused quarry pit occupying the northern sector.</w:t>
            </w:r>
          </w:p>
        </w:tc>
      </w:tr>
      <w:tr>
        <w:tc>
          <w:tcPr>
            <w:tcW w:type="dxa" w:w="4320"/>
          </w:tcPr>
          <w:p>
            <w:r/>
            <w:r>
              <w:rPr>
                <w:b/>
              </w:rPr>
              <w:t>Geology</w:t>
            </w:r>
            <w:r/>
          </w:p>
        </w:tc>
        <w:tc>
          <w:tcPr>
            <w:tcW w:type="dxa" w:w="4320"/>
          </w:tcPr>
          <w:p>
            <w:r>
              <w:t>Predominantly volcanic tuff and basaltic outcrops suitable for coarse aggregate production.</w:t>
            </w:r>
          </w:p>
        </w:tc>
      </w:tr>
      <w:tr>
        <w:tc>
          <w:tcPr>
            <w:tcW w:type="dxa" w:w="4320"/>
          </w:tcPr>
          <w:p>
            <w:r/>
            <w:r>
              <w:rPr>
                <w:b/>
              </w:rPr>
              <w:t>Soils</w:t>
            </w:r>
            <w:r/>
          </w:p>
        </w:tc>
        <w:tc>
          <w:tcPr>
            <w:tcW w:type="dxa" w:w="4320"/>
          </w:tcPr>
          <w:p>
            <w:r>
              <w:t>Shallow, well‑drained rocky scrubland soils; limited agricultural potential.</w:t>
            </w:r>
          </w:p>
        </w:tc>
      </w:tr>
      <w:tr>
        <w:tc>
          <w:tcPr>
            <w:tcW w:type="dxa" w:w="4320"/>
          </w:tcPr>
          <w:p>
            <w:r/>
            <w:r>
              <w:rPr>
                <w:b/>
              </w:rPr>
              <w:t>Groundwater</w:t>
            </w:r>
            <w:r/>
          </w:p>
        </w:tc>
        <w:tc>
          <w:tcPr>
            <w:tcW w:type="dxa" w:w="4320"/>
          </w:tcPr>
          <w:p>
            <w:r>
              <w:t xml:space="preserve">Depth to water table measured at </w:t>
            </w:r>
            <w:r>
              <w:rPr>
                <w:b/>
              </w:rPr>
              <w:t>61 m</w:t>
            </w:r>
            <w:r>
              <w:t xml:space="preserve"> below ground (survey date 03 May 2026, Tectonic Geo‑Environmental Associates).</w:t>
            </w:r>
          </w:p>
        </w:tc>
      </w:tr>
      <w:tr>
        <w:tc>
          <w:tcPr>
            <w:tcW w:type="dxa" w:w="4320"/>
          </w:tcPr>
          <w:p>
            <w:r/>
            <w:r>
              <w:rPr>
                <w:b/>
              </w:rPr>
              <w:t>Existing Land Use</w:t>
            </w:r>
            <w:r/>
          </w:p>
        </w:tc>
        <w:tc>
          <w:tcPr>
            <w:tcW w:type="dxa" w:w="4320"/>
          </w:tcPr>
          <w:p>
            <w:r>
              <w:t>Rocky scrubland / disused quarry pit (partial).</w:t>
            </w:r>
          </w:p>
        </w:tc>
      </w:tr>
      <w:tr>
        <w:tc>
          <w:tcPr>
            <w:tcW w:type="dxa" w:w="4320"/>
          </w:tcPr>
          <w:p>
            <w:r/>
            <w:r>
              <w:rPr>
                <w:b/>
              </w:rPr>
              <w:t>Climate</w:t>
            </w:r>
            <w:r/>
          </w:p>
        </w:tc>
        <w:tc>
          <w:tcPr>
            <w:tcW w:type="dxa" w:w="4320"/>
          </w:tcPr>
          <w:p>
            <w:r>
              <w:t>Tropical highland; mean annual rainfall ≈ 1,200 mm, mean temperature ≈ 20 °C.</w:t>
            </w:r>
          </w:p>
        </w:tc>
      </w:tr>
      <w:tr>
        <w:tc>
          <w:tcPr>
            <w:tcW w:type="dxa" w:w="4320"/>
          </w:tcPr>
          <w:p>
            <w:r/>
            <w:r>
              <w:rPr>
                <w:b/>
              </w:rPr>
              <w:t>Access</w:t>
            </w:r>
            <w:r/>
          </w:p>
        </w:tc>
        <w:tc>
          <w:tcPr>
            <w:tcW w:type="dxa" w:w="4320"/>
          </w:tcPr>
          <w:p>
            <w:r>
              <w:t xml:space="preserve">Existing unpaved access road connecting to the Kiambu‑Gatundu arterial road; a </w:t>
            </w:r>
            <w:r>
              <w:rPr>
                <w:b/>
              </w:rPr>
              <w:t>proposed alternate haul route</w:t>
            </w:r>
            <w:r>
              <w:t xml:space="preserve"> will be constructed to bypass the Kiuu Trading Centre.</w:t>
            </w:r>
          </w:p>
        </w:tc>
      </w:tr>
    </w:tbl>
    <w:p>
      <w:r>
        <w:t>### 2.2.1 Immediate Receptors (≤ 1 km)</w:t>
      </w:r>
    </w:p>
    <w:p>
      <w:pPr>
        <w:pStyle w:val="ListBullet"/>
      </w:pPr>
      <w:r/>
      <w:r>
        <w:rPr>
          <w:b/>
        </w:rPr>
        <w:t>Ndarugo Health Centre</w:t>
      </w:r>
      <w:r>
        <w:t xml:space="preserve"> – 740 m East</w:t>
      </w:r>
    </w:p>
    <w:p>
      <w:pPr>
        <w:pStyle w:val="ListBullet"/>
      </w:pPr>
      <w:r/>
      <w:r>
        <w:rPr>
          <w:b/>
        </w:rPr>
        <w:t>Gatundu South Academy</w:t>
      </w:r>
      <w:r>
        <w:t xml:space="preserve"> – 410 m Southwest</w:t>
      </w:r>
    </w:p>
    <w:p>
      <w:pPr>
        <w:pStyle w:val="ListBullet"/>
      </w:pPr>
      <w:r/>
      <w:r>
        <w:rPr>
          <w:b/>
        </w:rPr>
        <w:t>Ndarugo SDA Church</w:t>
      </w:r>
      <w:r>
        <w:t xml:space="preserve"> – 890 m North</w:t>
      </w:r>
    </w:p>
    <w:p>
      <w:pPr>
        <w:pStyle w:val="ListBullet"/>
      </w:pPr>
      <w:r/>
      <w:r>
        <w:rPr>
          <w:b/>
        </w:rPr>
        <w:t>Ndarugo River</w:t>
      </w:r>
      <w:r>
        <w:t xml:space="preserve"> – 95 m Northeast (critical water body)</w:t>
      </w:r>
    </w:p>
    <w:p>
      <w:pPr>
        <w:pStyle w:val="ListBullet"/>
      </w:pPr>
      <w:r/>
      <w:r>
        <w:rPr>
          <w:b/>
        </w:rPr>
        <w:t>Rockline Staff Borehole</w:t>
      </w:r>
      <w:r>
        <w:t xml:space="preserve"> – 20 m On‑site (monitoring)</w:t>
      </w:r>
    </w:p>
    <w:p>
      <w:pPr>
        <w:pStyle w:val="ListBullet"/>
      </w:pPr>
      <w:r/>
      <w:r>
        <w:rPr>
          <w:b/>
        </w:rPr>
        <w:t>Kieni Forest Buffer Zone</w:t>
      </w:r>
      <w:r>
        <w:t xml:space="preserve"> – 970 m West (protected vegetation)</w:t>
      </w:r>
    </w:p>
    <w:p>
      <w:pPr>
        <w:pStyle w:val="ListBullet"/>
      </w:pPr>
      <w:r/>
      <w:r>
        <w:rPr>
          <w:b/>
        </w:rPr>
        <w:t>Kiuu Trading Centre</w:t>
      </w:r>
      <w:r>
        <w:t xml:space="preserve"> – 310 m South</w:t>
      </w:r>
    </w:p>
    <w:p>
      <w:r>
        <w:t>---</w:t>
      </w:r>
    </w:p>
    <w:p>
      <w:r>
        <w:t>## 2.3 Project Components</w:t>
      </w:r>
    </w:p>
    <w:p>
      <w:r>
        <w:t>### 2.3.1 Extraction &amp; Blasting</w:t>
      </w:r>
    </w:p>
    <w:p>
      <w:pPr>
        <w:pStyle w:val="ListBullet"/>
      </w:pPr>
      <w:r/>
      <w:r>
        <w:rPr>
          <w:b/>
        </w:rPr>
        <w:t>Drilling</w:t>
      </w:r>
      <w:r>
        <w:t xml:space="preserve"> of blast holes in the quarry face using rotary‑drill rigs.</w:t>
      </w:r>
    </w:p>
    <w:p>
      <w:pPr>
        <w:pStyle w:val="ListBullet"/>
      </w:pPr>
      <w:r/>
      <w:r>
        <w:rPr>
          <w:b/>
        </w:rPr>
        <w:t>Blasting</w:t>
      </w:r>
      <w:r>
        <w:t xml:space="preserve"> to fragment rock for subsequent handling.</w:t>
      </w:r>
    </w:p>
    <w:p>
      <w:r>
        <w:t xml:space="preserve">&gt; </w:t>
      </w:r>
      <w:r>
        <w:rPr>
          <w:b/>
        </w:rPr>
        <w:t>[MISSING: EXPLOSIVE TYPE]</w:t>
      </w:r>
      <w:r>
        <w:t xml:space="preserve"> – to be selected in accordance with KS 2003 vibration standards and approved by the Kenya Occupational Safety and Health Authority (KOSHA).</w:t>
      </w:r>
    </w:p>
    <w:p>
      <w:r>
        <w:t>### 2.3.2 Material Handling</w:t>
      </w:r>
    </w:p>
    <w:p>
      <w:pPr>
        <w:pStyle w:val="ListBullet"/>
      </w:pPr>
      <w:r/>
      <w:r>
        <w:rPr>
          <w:b/>
        </w:rPr>
        <w:t>Loading</w:t>
      </w:r>
      <w:r>
        <w:t xml:space="preserve"> of blasted rock onto haul trucks via front‑end loaders.</w:t>
      </w:r>
    </w:p>
    <w:p>
      <w:pPr>
        <w:pStyle w:val="ListBullet"/>
      </w:pPr>
      <w:r/>
      <w:r>
        <w:rPr>
          <w:b/>
        </w:rPr>
        <w:t>Haulage</w:t>
      </w:r>
      <w:r>
        <w:t xml:space="preserve"> of aggregates to the processing plant using heavy‑duty trucks.</w:t>
      </w:r>
    </w:p>
    <w:p>
      <w:r>
        <w:t xml:space="preserve">&gt; </w:t>
      </w:r>
      <w:r>
        <w:rPr>
          <w:b/>
        </w:rPr>
        <w:t>[MISSING: DAILY TRUCK VOLUME]</w:t>
      </w:r>
      <w:r>
        <w:t xml:space="preserve"> – to be determined based on production schedule.</w:t>
      </w:r>
    </w:p>
    <w:p>
      <w:r>
        <w:t>### 2.3.3 Processing Plant</w:t>
      </w:r>
    </w:p>
    <w:p>
      <w:pPr>
        <w:pStyle w:val="ListBullet"/>
      </w:pPr>
      <w:r/>
      <w:r>
        <w:rPr>
          <w:b/>
        </w:rPr>
        <w:t>Primary crushing</w:t>
      </w:r>
      <w:r>
        <w:t xml:space="preserve"> (jaw crusher) to reduce run‑of‑mine (ROM) material to ≤ 150 mm.</w:t>
      </w:r>
    </w:p>
    <w:p>
      <w:pPr>
        <w:pStyle w:val="ListBullet"/>
      </w:pPr>
      <w:r/>
      <w:r>
        <w:rPr>
          <w:b/>
        </w:rPr>
        <w:t>Secondary crushing</w:t>
      </w:r>
      <w:r>
        <w:t xml:space="preserve"> (cone crusher) to achieve ≤ 25 mm.</w:t>
      </w:r>
    </w:p>
    <w:p>
      <w:pPr>
        <w:pStyle w:val="ListBullet"/>
      </w:pPr>
      <w:r/>
      <w:r>
        <w:rPr>
          <w:b/>
        </w:rPr>
        <w:t>Screening</w:t>
      </w:r>
      <w:r>
        <w:t xml:space="preserve"> (vibrating screen) to grade aggregates into specified size fractions.</w:t>
      </w:r>
    </w:p>
    <w:p>
      <w:r>
        <w:t xml:space="preserve">&gt; </w:t>
      </w:r>
      <w:r>
        <w:rPr>
          <w:b/>
        </w:rPr>
        <w:t>[MISSING: PRODUCTION CAPACITY]</w:t>
      </w:r>
      <w:r>
        <w:t xml:space="preserve"> – design capacity (t day⁻¹) to be finalized.</w:t>
      </w:r>
    </w:p>
    <w:p>
      <w:pPr>
        <w:pStyle w:val="ListBullet"/>
      </w:pPr>
      <w:r/>
      <w:r>
        <w:rPr>
          <w:b/>
        </w:rPr>
        <w:t>Dust suppression</w:t>
      </w:r>
      <w:r>
        <w:t xml:space="preserve"> – water spray systems on crushers and conveyors; enclosed conveyor belts where feasible.</w:t>
      </w:r>
    </w:p>
    <w:p>
      <w:r>
        <w:t>### 2.3.4 Storage &amp; Dispatch</w:t>
      </w:r>
    </w:p>
    <w:p>
      <w:pPr>
        <w:pStyle w:val="ListBullet"/>
      </w:pPr>
      <w:r/>
      <w:r>
        <w:rPr>
          <w:b/>
        </w:rPr>
        <w:t>Aggregate stockpiles</w:t>
      </w:r>
      <w:r>
        <w:t xml:space="preserve"> (designated for 0/20 mm, 20/40 mm, 40/63 mm) with perimeter </w:t>
      </w:r>
      <w:r>
        <w:rPr>
          <w:b/>
        </w:rPr>
        <w:t>tree buffer</w:t>
      </w:r>
      <w:r>
        <w:t xml:space="preserve"> (minimum 15 m) to mitigate wind‑blown dust.</w:t>
      </w:r>
    </w:p>
    <w:p>
      <w:pPr>
        <w:pStyle w:val="ListBullet"/>
      </w:pPr>
      <w:r/>
      <w:r>
        <w:rPr>
          <w:b/>
        </w:rPr>
        <w:t>Loading bays</w:t>
      </w:r>
      <w:r>
        <w:t xml:space="preserve"> for truck loading equipped with dust extraction hoods.</w:t>
      </w:r>
    </w:p>
    <w:p>
      <w:r>
        <w:t>### 2.3.5 Utilities</w:t>
      </w:r>
    </w:p>
    <w:p>
      <w:pPr>
        <w:pStyle w:val="ListBullet"/>
      </w:pPr>
      <w:r/>
      <w:r>
        <w:rPr>
          <w:b/>
        </w:rPr>
        <w:t>Power supply</w:t>
      </w:r>
      <w:r>
        <w:t xml:space="preserve"> – connection to the national grid; backup diesel generator for critical plant equipment.</w:t>
      </w:r>
    </w:p>
    <w:p>
      <w:r>
        <w:t xml:space="preserve">&gt; </w:t>
      </w:r>
      <w:r>
        <w:rPr>
          <w:b/>
        </w:rPr>
        <w:t>[MISSING: GENERATOR SIZE]</w:t>
      </w:r>
      <w:r>
        <w:t xml:space="preserve"> – to be sized based on plant load.</w:t>
      </w:r>
    </w:p>
    <w:p>
      <w:pPr>
        <w:pStyle w:val="ListBullet"/>
      </w:pPr>
      <w:r/>
      <w:r>
        <w:rPr>
          <w:b/>
        </w:rPr>
        <w:t>Water</w:t>
      </w:r>
      <w:r>
        <w:t xml:space="preserve"> – sourced from the on‑site borehole for dust suppression and equipment cooling; water withdrawals will comply with the </w:t>
      </w:r>
      <w:r>
        <w:rPr>
          <w:b/>
        </w:rPr>
        <w:t>Water Act 2016</w:t>
      </w:r>
      <w:r>
        <w:t xml:space="preserve"> (Section 30) and will be limited to the </w:t>
      </w:r>
      <w:r>
        <w:rPr>
          <w:b/>
        </w:rPr>
        <w:t>30 m no‑disturbance buffer</w:t>
      </w:r>
      <w:r>
        <w:t xml:space="preserve"> from the Ndarugo River.</w:t>
      </w:r>
    </w:p>
    <w:p>
      <w:r>
        <w:t>### 2.3.6 Ancillary Facilities</w:t>
      </w:r>
    </w:p>
    <w:p>
      <w:pPr>
        <w:pStyle w:val="ListBullet"/>
      </w:pPr>
      <w:r/>
      <w:r>
        <w:rPr>
          <w:b/>
        </w:rPr>
        <w:t>Administration block</w:t>
      </w:r>
      <w:r>
        <w:t xml:space="preserve">, </w:t>
      </w:r>
      <w:r>
        <w:rPr>
          <w:b/>
        </w:rPr>
        <w:t>staff welfare centre</w:t>
      </w:r>
      <w:r>
        <w:t xml:space="preserve">, </w:t>
      </w:r>
      <w:r>
        <w:rPr>
          <w:b/>
        </w:rPr>
        <w:t>maintenance workshop</w:t>
      </w:r>
      <w:r>
        <w:t xml:space="preserve">, and </w:t>
      </w:r>
      <w:r>
        <w:rPr>
          <w:b/>
        </w:rPr>
        <w:t>site security office</w:t>
      </w:r>
      <w:r>
        <w:t>.</w:t>
      </w:r>
    </w:p>
    <w:p>
      <w:pPr>
        <w:pStyle w:val="ListBullet"/>
      </w:pPr>
      <w:r/>
      <w:r>
        <w:rPr>
          <w:b/>
        </w:rPr>
        <w:t>Storm‑water management</w:t>
      </w:r>
      <w:r>
        <w:t xml:space="preserve"> – sediment traps, swales, and a concrete drainage network directing runoff to the river after filtration.</w:t>
      </w:r>
    </w:p>
    <w:p>
      <w:r>
        <w:t>---</w:t>
      </w:r>
    </w:p>
    <w:p>
      <w:r>
        <w:t>## 2.4 Construction Phase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Duration</w:t>
            </w:r>
          </w:p>
        </w:tc>
        <w:tc>
          <w:tcPr>
            <w:tcW w:type="dxa" w:w="2880"/>
          </w:tcPr>
          <w:p>
            <w:r>
              <w:rPr>
                <w:b/>
              </w:rPr>
              <w:t>Key Features</w:t>
            </w:r>
          </w:p>
        </w:tc>
      </w:tr>
      <w:tr>
        <w:tc>
          <w:tcPr>
            <w:tcW w:type="dxa" w:w="2880"/>
          </w:tcPr>
          <w:p>
            <w:r>
              <w:t>Site clearing &amp; earthworks</w:t>
            </w:r>
          </w:p>
        </w:tc>
        <w:tc>
          <w:tcPr>
            <w:tcW w:type="dxa" w:w="2880"/>
          </w:tcPr>
          <w:p>
            <w:r>
              <w:t>2 months</w:t>
            </w:r>
          </w:p>
        </w:tc>
        <w:tc>
          <w:tcPr>
            <w:tcW w:type="dxa" w:w="2880"/>
          </w:tcPr>
          <w:p>
            <w:r>
              <w:t>Removal of vegetation, grading, establishment of erosion control measures.</w:t>
            </w:r>
          </w:p>
        </w:tc>
      </w:tr>
      <w:tr>
        <w:tc>
          <w:tcPr>
            <w:tcW w:type="dxa" w:w="2880"/>
          </w:tcPr>
          <w:p>
            <w:r>
              <w:t>Access road &amp; haul route construction</w:t>
            </w:r>
          </w:p>
        </w:tc>
        <w:tc>
          <w:tcPr>
            <w:tcW w:type="dxa" w:w="2880"/>
          </w:tcPr>
          <w:p>
            <w:r>
              <w:t>3 months</w:t>
            </w:r>
          </w:p>
        </w:tc>
        <w:tc>
          <w:tcPr>
            <w:tcW w:type="dxa" w:w="2880"/>
          </w:tcPr>
          <w:p>
            <w:r>
              <w:t>Paving of alternate haul route to bypass Kiuu Trading Centre; installation of traffic control signage.</w:t>
            </w:r>
          </w:p>
        </w:tc>
      </w:tr>
      <w:tr>
        <w:tc>
          <w:tcPr>
            <w:tcW w:type="dxa" w:w="2880"/>
          </w:tcPr>
          <w:p>
            <w:r>
              <w:t>Quarry development (drilling &amp; blasting)</w:t>
            </w:r>
          </w:p>
        </w:tc>
        <w:tc>
          <w:tcPr>
            <w:tcW w:type="dxa" w:w="2880"/>
          </w:tcPr>
          <w:p>
            <w:r>
              <w:t>2 months</w:t>
            </w:r>
          </w:p>
        </w:tc>
        <w:tc>
          <w:tcPr>
            <w:tcW w:type="dxa" w:w="2880"/>
          </w:tcPr>
          <w:p>
            <w:r>
              <w:t>Controlled blast charges; pre‑blast structural surveys of homes within 500 m.</w:t>
            </w:r>
          </w:p>
        </w:tc>
      </w:tr>
      <w:tr>
        <w:tc>
          <w:tcPr>
            <w:tcW w:type="dxa" w:w="2880"/>
          </w:tcPr>
          <w:p>
            <w:r>
              <w:t>Processing plant erection</w:t>
            </w:r>
          </w:p>
        </w:tc>
        <w:tc>
          <w:tcPr>
            <w:tcW w:type="dxa" w:w="2880"/>
          </w:tcPr>
          <w:p>
            <w:r>
              <w:t>4 months (overlapping)</w:t>
            </w:r>
          </w:p>
        </w:tc>
        <w:tc>
          <w:tcPr>
            <w:tcW w:type="dxa" w:w="2880"/>
          </w:tcPr>
          <w:p>
            <w:r>
              <w:t>Installation of crushers, screens, conveyors, power &amp; water infrastructure.</w:t>
            </w:r>
          </w:p>
        </w:tc>
      </w:tr>
      <w:tr>
        <w:tc>
          <w:tcPr>
            <w:tcW w:type="dxa" w:w="2880"/>
          </w:tcPr>
          <w:p>
            <w:r>
              <w:t>Commissioning &amp; testing</w:t>
            </w:r>
          </w:p>
        </w:tc>
        <w:tc>
          <w:tcPr>
            <w:tcW w:type="dxa" w:w="2880"/>
          </w:tcPr>
          <w:p>
            <w:r>
              <w:t>1 month</w:t>
            </w:r>
          </w:p>
        </w:tc>
        <w:tc>
          <w:tcPr>
            <w:tcW w:type="dxa" w:w="2880"/>
          </w:tcPr>
          <w:p>
            <w:r>
              <w:t>Performance verification, baseline monitoring set‑up.</w:t>
            </w:r>
          </w:p>
        </w:tc>
      </w:tr>
    </w:tbl>
    <w:p>
      <w:r>
        <w:t xml:space="preserve">Construction will be limited to </w:t>
      </w:r>
      <w:r>
        <w:rPr>
          <w:b/>
        </w:rPr>
        <w:t>08:00–17:00</w:t>
      </w:r>
      <w:r>
        <w:t xml:space="preserve"> to minimise disturbance to nearby schools and health facilities. Heavy equipment will be staged on a designated </w:t>
      </w:r>
      <w:r>
        <w:rPr>
          <w:b/>
        </w:rPr>
        <w:t>construction lay‑down area</w:t>
      </w:r>
      <w:r>
        <w:t xml:space="preserve"> away from the riverbank.</w:t>
      </w:r>
    </w:p>
    <w:p>
      <w:r>
        <w:t>---</w:t>
      </w:r>
    </w:p>
    <w:p>
      <w:r>
        <w:t>## 2.5 Operational Phase</w:t>
      </w:r>
    </w:p>
    <w:p>
      <w:r>
        <w:t xml:space="preserve">The facility will operate </w:t>
      </w:r>
      <w:r>
        <w:rPr>
          <w:b/>
        </w:rPr>
        <w:t>365 days yr⁻¹</w:t>
      </w:r>
      <w:r>
        <w:t xml:space="preserve">, with a </w:t>
      </w:r>
      <w:r>
        <w:rPr>
          <w:b/>
        </w:rPr>
        <w:t>12‑hour shift</w:t>
      </w:r>
      <w:r>
        <w:t xml:space="preserve"> (06:00–18:00) for crushing, screening and loading activities.</w:t>
      </w:r>
    </w:p>
    <w:p>
      <w:pPr>
        <w:pStyle w:val="ListBullet"/>
      </w:pPr>
      <w:r/>
      <w:r>
        <w:rPr>
          <w:b/>
        </w:rPr>
        <w:t>Aggregate output</w:t>
      </w:r>
      <w:r>
        <w:t xml:space="preserve"> – </w:t>
      </w:r>
      <w:r>
        <w:rPr>
          <w:b/>
        </w:rPr>
        <w:t>[MISSING: PRODUCTION CAPACITY]</w:t>
      </w:r>
      <w:r>
        <w:t xml:space="preserve"> (t day⁻¹).</w:t>
      </w:r>
    </w:p>
    <w:p>
      <w:pPr>
        <w:pStyle w:val="ListBullet"/>
      </w:pPr>
      <w:r/>
      <w:r>
        <w:rPr>
          <w:b/>
        </w:rPr>
        <w:t>Truck movements</w:t>
      </w:r>
      <w:r>
        <w:t xml:space="preserve"> – </w:t>
      </w:r>
      <w:r>
        <w:rPr>
          <w:b/>
        </w:rPr>
        <w:t>[MISSING: DAILY TRUCK VOLUME]</w:t>
      </w:r>
      <w:r>
        <w:t xml:space="preserve"> trips per day, using the alternate haul route.</w:t>
      </w:r>
    </w:p>
    <w:p>
      <w:pPr>
        <w:pStyle w:val="ListBullet"/>
      </w:pPr>
      <w:r/>
      <w:r>
        <w:rPr>
          <w:b/>
        </w:rPr>
        <w:t>Water consumption</w:t>
      </w:r>
      <w:r>
        <w:t xml:space="preserve"> – estimated </w:t>
      </w:r>
      <w:r>
        <w:rPr>
          <w:b/>
        </w:rPr>
        <w:t>[MISSING: DAILY WATER USE]</w:t>
      </w:r>
      <w:r>
        <w:t xml:space="preserve"> m³ day⁻¹ for dust suppression; all effluent will be treated on‑site before discharge.</w:t>
      </w:r>
    </w:p>
    <w:p>
      <w:pPr>
        <w:pStyle w:val="ListBullet"/>
      </w:pPr>
      <w:r/>
      <w:r>
        <w:rPr>
          <w:b/>
        </w:rPr>
        <w:t>Power demand</w:t>
      </w:r>
      <w:r>
        <w:t xml:space="preserve"> – </w:t>
      </w:r>
      <w:r>
        <w:rPr>
          <w:b/>
        </w:rPr>
        <w:t>[MISSING: PLANT POWER REQUIREMENT]</w:t>
      </w:r>
      <w:r>
        <w:t xml:space="preserve"> kW; backup generator sized accordingly.</w:t>
      </w:r>
    </w:p>
    <w:p>
      <w:r>
        <w:t xml:space="preserve">All operations will be governed by an </w:t>
      </w:r>
      <w:r>
        <w:rPr>
          <w:b/>
        </w:rPr>
        <w:t>Environmental and Social Management Plan (ESMP)</w:t>
      </w:r>
      <w:r>
        <w:t xml:space="preserve"> that incorporates monitoring, reporting and adaptive management measures.</w:t>
      </w:r>
    </w:p>
    <w:p>
      <w:r>
        <w:t>---</w:t>
      </w:r>
    </w:p>
    <w:p>
      <w:r>
        <w:t>## 2.6 Stakeholder Engagement</w:t>
      </w:r>
    </w:p>
    <w:p>
      <w:r>
        <w:t>### 2.6.1 Public Notification</w:t>
      </w:r>
    </w:p>
    <w:p>
      <w:pPr>
        <w:pStyle w:val="ListBullet"/>
      </w:pPr>
      <w:r/>
      <w:r>
        <w:rPr>
          <w:b/>
        </w:rPr>
        <w:t>Newspaper notice</w:t>
      </w:r>
      <w:r>
        <w:t xml:space="preserve"> published in </w:t>
      </w:r>
      <w:r>
        <w:rPr>
          <w:i/>
        </w:rPr>
        <w:t>The Star</w:t>
      </w:r>
      <w:r>
        <w:t xml:space="preserve"> on </w:t>
      </w:r>
      <w:r>
        <w:rPr>
          <w:b/>
        </w:rPr>
        <w:t>02 September 2026</w:t>
      </w:r>
      <w:r>
        <w:t xml:space="preserve"> (21‑day notice period) as required by </w:t>
      </w:r>
      <w:r>
        <w:rPr>
          <w:b/>
        </w:rPr>
        <w:t>EMCA</w:t>
      </w:r>
      <w:r>
        <w:t>.</w:t>
      </w:r>
    </w:p>
    <w:p>
      <w:r>
        <w:t>### 2.6.2 Baraza</w:t>
      </w:r>
    </w:p>
    <w:p>
      <w:pPr>
        <w:pStyle w:val="ListBullet"/>
      </w:pPr>
      <w:r/>
      <w:r>
        <w:rPr>
          <w:b/>
        </w:rPr>
        <w:t>Date:</w:t>
      </w:r>
      <w:r>
        <w:t xml:space="preserve"> 23 September 2026</w:t>
      </w:r>
    </w:p>
    <w:p>
      <w:pPr>
        <w:pStyle w:val="ListBullet"/>
      </w:pPr>
      <w:r/>
      <w:r>
        <w:rPr>
          <w:b/>
        </w:rPr>
        <w:t>Venue:</w:t>
      </w:r>
      <w:r>
        <w:t xml:space="preserve"> Kiuu Trading Centre Grounds</w:t>
      </w:r>
    </w:p>
    <w:p>
      <w:pPr>
        <w:pStyle w:val="ListBullet"/>
      </w:pPr>
      <w:r/>
      <w:r>
        <w:rPr>
          <w:b/>
        </w:rPr>
        <w:t>Attendance:</w:t>
      </w:r>
      <w:r>
        <w:t xml:space="preserve"> 173 community members, local leaders, and NGOs.</w:t>
      </w:r>
    </w:p>
    <w:p>
      <w:r>
        <w:t>### 2.6.3 Vulnerable Groups</w:t>
      </w:r>
    </w:p>
    <w:p>
      <w:pPr>
        <w:pStyle w:val="ListBullet"/>
      </w:pPr>
      <w:r>
        <w:t xml:space="preserve">Elderly residents located within the anticipated blast zone will be offered </w:t>
      </w:r>
      <w:r>
        <w:rPr>
          <w:b/>
        </w:rPr>
        <w:t>priority transport</w:t>
      </w:r>
      <w:r>
        <w:t xml:space="preserve"> during blasting windows to reduce exposure.</w:t>
      </w:r>
    </w:p>
    <w:p>
      <w:r>
        <w:t>### 2.6.4 Grievance Redress Mechanism (GRM)</w:t>
      </w:r>
    </w:p>
    <w:p>
      <w:pPr>
        <w:pStyle w:val="ListBullet"/>
      </w:pPr>
      <w:r>
        <w:t xml:space="preserve">A </w:t>
      </w:r>
      <w:r>
        <w:rPr>
          <w:b/>
        </w:rPr>
        <w:t>GRM Committee</w:t>
      </w:r>
      <w:r>
        <w:t xml:space="preserve"> has been constituted, with a dedicated hotline (0800‑123‑456) and a physical grievance desk at the administration block. All grievances will be logged, acknowledged within 48 hours, and resolved in accordance with the </w:t>
      </w:r>
      <w:r>
        <w:rPr>
          <w:b/>
        </w:rPr>
        <w:t>World Bank Environmental and Social Framework (ESF)</w:t>
      </w:r>
      <w:r>
        <w:t xml:space="preserve"> grievance handling standards.</w:t>
      </w:r>
    </w:p>
    <w:p>
      <w:r>
        <w:t>---</w:t>
      </w:r>
    </w:p>
    <w:p>
      <w:r>
        <w:t>## 2.7 Key Environmental Mitigation Measures</w:t>
      </w:r>
    </w:p>
    <w:tbl>
      <w:tblPr>
        <w:tblStyle w:val="TableGrid"/>
        <w:tblW w:type="auto" w:w="0"/>
        <w:tblLook w:firstColumn="1" w:firstRow="1" w:lastColumn="0" w:lastRow="0" w:noHBand="0" w:noVBand="1" w:val="04A0"/>
      </w:tblPr>
      <w:tblGrid>
        <w:gridCol w:w="4320"/>
        <w:gridCol w:w="4320"/>
      </w:tblGrid>
      <w:tr>
        <w:tc>
          <w:tcPr>
            <w:tcW w:type="dxa" w:w="4320"/>
          </w:tcPr>
          <w:p>
            <w:r>
              <w:rPr>
                <w:b/>
              </w:rPr>
              <w:t>Impact</w:t>
            </w:r>
          </w:p>
        </w:tc>
        <w:tc>
          <w:tcPr>
            <w:tcW w:type="dxa" w:w="4320"/>
          </w:tcPr>
          <w:p>
            <w:r>
              <w:rPr>
                <w:b/>
              </w:rPr>
              <w:t>Mitigation (as incorporated in the ESMP)</w:t>
            </w:r>
          </w:p>
        </w:tc>
      </w:tr>
      <w:tr>
        <w:tc>
          <w:tcPr>
            <w:tcW w:type="dxa" w:w="4320"/>
          </w:tcPr>
          <w:p>
            <w:r/>
            <w:r>
              <w:rPr>
                <w:b/>
              </w:rPr>
              <w:t>Ground vibration (blasting)</w:t>
            </w:r>
            <w:r/>
          </w:p>
        </w:tc>
        <w:tc>
          <w:tcPr>
            <w:tcW w:type="dxa" w:w="4320"/>
          </w:tcPr>
          <w:p>
            <w:r>
              <w:t xml:space="preserve">• Pre‑blast structural surveys of all dwellings within 500 m.&lt;br&gt;• Blast charge limits conforming to </w:t>
            </w:r>
            <w:r>
              <w:rPr>
                <w:b/>
              </w:rPr>
              <w:t>KS 2003</w:t>
            </w:r>
            <w:r>
              <w:t xml:space="preserve"> vibration criteria (peak particle velocity ≤ 5 mm s⁻¹).</w:t>
            </w:r>
          </w:p>
        </w:tc>
      </w:tr>
      <w:tr>
        <w:tc>
          <w:tcPr>
            <w:tcW w:type="dxa" w:w="4320"/>
          </w:tcPr>
          <w:p>
            <w:r/>
            <w:r>
              <w:rPr>
                <w:b/>
              </w:rPr>
              <w:t>Dust emissions</w:t>
            </w:r>
            <w:r/>
          </w:p>
        </w:tc>
        <w:tc>
          <w:tcPr>
            <w:tcW w:type="dxa" w:w="4320"/>
          </w:tcPr>
          <w:p>
            <w:r>
              <w:t>• Continuous water spray on crushers and conveyors.&lt;br&gt;• Enclosed conveyor system where practicable.&lt;br&gt;• Perimeter tree buffer (≥ 15 m) around stockpiles.&lt;br&gt;• Daily road‑dust watering on haul routes.</w:t>
            </w:r>
          </w:p>
        </w:tc>
      </w:tr>
      <w:tr>
        <w:tc>
          <w:tcPr>
            <w:tcW w:type="dxa" w:w="4320"/>
          </w:tcPr>
          <w:p>
            <w:r/>
            <w:r>
              <w:rPr>
                <w:b/>
              </w:rPr>
              <w:t>Riverine impact (Ndarugo River)</w:t>
            </w:r>
            <w:r/>
          </w:p>
        </w:tc>
        <w:tc>
          <w:tcPr>
            <w:tcW w:type="dxa" w:w="4320"/>
          </w:tcPr>
          <w:p>
            <w:r>
              <w:t xml:space="preserve">• 30 m no‑disturbance buffer from riverbank.&lt;br&gt;• Sediment traps and oil‑water separators on all runoff points.&lt;br&gt;• Water withdrawals limited to the </w:t>
            </w:r>
            <w:r>
              <w:rPr>
                <w:b/>
              </w:rPr>
              <w:t>Water Act 2016</w:t>
            </w:r>
            <w:r>
              <w:t xml:space="preserve"> permit volume; discharge after filtration to meet </w:t>
            </w:r>
            <w:r>
              <w:rPr>
                <w:b/>
              </w:rPr>
              <w:t>Water Act 2016</w:t>
            </w:r>
            <w:r>
              <w:t xml:space="preserve"> effluent standards.</w:t>
            </w:r>
          </w:p>
        </w:tc>
      </w:tr>
      <w:tr>
        <w:tc>
          <w:tcPr>
            <w:tcW w:type="dxa" w:w="4320"/>
          </w:tcPr>
          <w:p>
            <w:r/>
            <w:r>
              <w:rPr>
                <w:b/>
              </w:rPr>
              <w:t>Noise</w:t>
            </w:r>
            <w:r/>
          </w:p>
        </w:tc>
        <w:tc>
          <w:tcPr>
            <w:tcW w:type="dxa" w:w="4320"/>
          </w:tcPr>
          <w:p>
            <w:r>
              <w:t xml:space="preserve">• Equipment fitted with acoustic enclosures and mufflers.&lt;br&gt;• Operational hours limited to 08:00–17:00.&lt;br&gt;• Baseline ambient noise of </w:t>
            </w:r>
            <w:r>
              <w:rPr>
                <w:b/>
              </w:rPr>
              <w:t>58 dBA</w:t>
            </w:r>
            <w:r>
              <w:t xml:space="preserve"> will be monitored; residual noise levels are expected to remain </w:t>
            </w:r>
            <w:r>
              <w:rPr>
                <w:b/>
              </w:rPr>
              <w:t>≤ 10 dB(A)</w:t>
            </w:r>
            <w:r>
              <w:t xml:space="preserve"> above baseline during peak operations, acknowledging a modest increase.</w:t>
            </w:r>
          </w:p>
        </w:tc>
      </w:tr>
      <w:tr>
        <w:tc>
          <w:tcPr>
            <w:tcW w:type="dxa" w:w="4320"/>
          </w:tcPr>
          <w:p>
            <w:r/>
            <w:r>
              <w:rPr>
                <w:b/>
              </w:rPr>
              <w:t>Traffic</w:t>
            </w:r>
            <w:r/>
          </w:p>
        </w:tc>
        <w:tc>
          <w:tcPr>
            <w:tcW w:type="dxa" w:w="4320"/>
          </w:tcPr>
          <w:p>
            <w:r>
              <w:t>• Designated alternate haul route bypassing Kiuu Trading Centre.&lt;br&gt;• Truck movements restricted to 08:00–17:00.&lt;br&gt;• Speed limits (≤ 40 km h) and signage installed.</w:t>
            </w:r>
          </w:p>
        </w:tc>
      </w:tr>
      <w:tr>
        <w:tc>
          <w:tcPr>
            <w:tcW w:type="dxa" w:w="4320"/>
          </w:tcPr>
          <w:p>
            <w:r/>
            <w:r>
              <w:rPr>
                <w:b/>
              </w:rPr>
              <w:t>Groundwater</w:t>
            </w:r>
            <w:r/>
          </w:p>
        </w:tc>
        <w:tc>
          <w:tcPr>
            <w:tcW w:type="dxa" w:w="4320"/>
          </w:tcPr>
          <w:p>
            <w:r>
              <w:t>• No de‑watering activities; groundwater depth (61 m) is well below extraction zone.&lt;br&gt;• Monitoring borehole (Rockline Staff Borehole) will be sampled quarterly for any contamination.</w:t>
            </w:r>
          </w:p>
        </w:tc>
      </w:tr>
      <w:tr>
        <w:tc>
          <w:tcPr>
            <w:tcW w:type="dxa" w:w="4320"/>
          </w:tcPr>
          <w:p>
            <w:r/>
            <w:r>
              <w:rPr>
                <w:b/>
              </w:rPr>
              <w:t>Socio‑economic</w:t>
            </w:r>
            <w:r/>
          </w:p>
        </w:tc>
        <w:tc>
          <w:tcPr>
            <w:tcW w:type="dxa" w:w="4320"/>
          </w:tcPr>
          <w:p>
            <w:r>
              <w:t xml:space="preserve">• No displacement of households; land use remains quarry‑related.&lt;br&gt;• Local labour recruitment target of </w:t>
            </w:r>
            <w:r>
              <w:rPr>
                <w:b/>
              </w:rPr>
              <w:t>≥ 60 %</w:t>
            </w:r>
            <w:r>
              <w:t xml:space="preserve"> of the workforce.</w:t>
            </w:r>
          </w:p>
        </w:tc>
      </w:tr>
    </w:tbl>
    <w:p>
      <w:r>
        <w:t xml:space="preserve">All mitigation measures will be detailed in the </w:t>
      </w:r>
      <w:r>
        <w:rPr>
          <w:b/>
        </w:rPr>
        <w:t>ESMP</w:t>
      </w:r>
      <w:r>
        <w:t>, with specific monitoring protocols, performance indicators, and responsible parties identified.</w:t>
      </w:r>
    </w:p>
    <w:p>
      <w:r>
        <w:t>---</w:t>
      </w:r>
    </w:p>
    <w:p>
      <w:r>
        <w:t>## 2.8 Summary</w:t>
      </w:r>
    </w:p>
    <w:p>
      <w:r>
        <w:t xml:space="preserve">The Kiuu Quarry &amp; Aggregate Processing Facility is a strategically located, medium‑scale extractive project designed to meet regional construction material demand while adhering to Kenya’s environmental legislation and international best practice (World Bank ESF). The project’s design incorporates robust </w:t>
      </w:r>
      <w:r>
        <w:rPr>
          <w:b/>
        </w:rPr>
        <w:t>ESMP</w:t>
      </w:r>
      <w:r>
        <w:t xml:space="preserve"> provisions to manage air, noise, vibration, water, and socio‑economic impacts. Pending NEMA’s review and issuance of the required environmental license, the proponent will proceed to detailed engineering design, procurement of missing equipment specifications (</w:t>
      </w:r>
      <w:r>
        <w:rPr>
          <w:b/>
        </w:rPr>
        <w:t>[MISSING: …]</w:t>
      </w:r>
      <w:r>
        <w:t xml:space="preserve"> placeholders), and implementation of the construction and operational phases as outlined above.</w:t>
      </w:r>
    </w:p>
    <w:p>
      <w:r>
        <w:br w:type="page"/>
      </w:r>
    </w:p>
    <w:p>
      <w:pPr>
        <w:pStyle w:val="Heading1"/>
      </w:pPr>
      <w:r>
        <w:t>Chapter 3: Analysis of Project Alternatives</w:t>
      </w:r>
    </w:p>
    <w:p>
      <w:r>
        <w:t>## 3.1 Introduction</w:t>
      </w:r>
    </w:p>
    <w:p>
      <w:r>
        <w:t xml:space="preserve">The purpose of this chapter is to evaluate feasible alternatives to the proposed Kiuu Quarry &amp; Aggregate Processing Facility and to justify the selection of the preferred alternative. The analysis follows the hierarchy of mitigation prescribed by the NEMA Guidelines (NEMA, 2020) and the World Bank Environmental and Social Framework (ESF). Each alternative is examined against the baseline conditions (air quality, noise, groundwater, land use, and receptors) and the statutory requirements of the </w:t>
      </w:r>
      <w:r>
        <w:rPr>
          <w:b/>
        </w:rPr>
        <w:t>Environmental Management and Coordination Act 1999 (EMCA)</w:t>
      </w:r>
      <w:r>
        <w:t xml:space="preserve">, the </w:t>
      </w:r>
      <w:r>
        <w:rPr>
          <w:b/>
        </w:rPr>
        <w:t>Water Act 2016</w:t>
      </w:r>
      <w:r>
        <w:t xml:space="preserve">, and the </w:t>
      </w:r>
      <w:r>
        <w:rPr>
          <w:b/>
        </w:rPr>
        <w:t>Mining Act, 2016</w:t>
      </w:r>
      <w:r>
        <w:t>.</w:t>
      </w:r>
    </w:p>
    <w:p>
      <w:r>
        <w:t>## 3.2 No‑Project (Baseline) Alternative</w:t>
      </w:r>
    </w:p>
    <w:tbl>
      <w:tblPr>
        <w:tblStyle w:val="TableGrid"/>
        <w:tblW w:type="auto" w:w="0"/>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Description</w:t>
            </w:r>
          </w:p>
        </w:tc>
      </w:tr>
      <w:tr>
        <w:tc>
          <w:tcPr>
            <w:tcW w:type="dxa" w:w="4320"/>
          </w:tcPr>
          <w:p>
            <w:r/>
            <w:r>
              <w:rPr>
                <w:b/>
              </w:rPr>
              <w:t>Scope</w:t>
            </w:r>
            <w:r/>
          </w:p>
        </w:tc>
        <w:tc>
          <w:tcPr>
            <w:tcW w:type="dxa" w:w="4320"/>
          </w:tcPr>
          <w:p>
            <w:r>
              <w:t>The quarry remains inactive; the existing disused pit is left to natural regeneration.</w:t>
            </w:r>
          </w:p>
        </w:tc>
      </w:tr>
      <w:tr>
        <w:tc>
          <w:tcPr>
            <w:tcW w:type="dxa" w:w="4320"/>
          </w:tcPr>
          <w:p>
            <w:r/>
            <w:r>
              <w:rPr>
                <w:b/>
              </w:rPr>
              <w:t>Environmental Impacts</w:t>
            </w:r>
            <w:r/>
          </w:p>
        </w:tc>
        <w:tc>
          <w:tcPr>
            <w:tcW w:type="dxa" w:w="4320"/>
          </w:tcPr>
          <w:p>
            <w:r>
              <w:t>No additional emissions, noise, vibration, or traffic. Existing baseline conditions (PM₂.₅ = 22 µg/m³, PM₁₀ = 63 µg/m³; noise = 58 dBA) are maintained.</w:t>
            </w:r>
          </w:p>
        </w:tc>
      </w:tr>
      <w:tr>
        <w:tc>
          <w:tcPr>
            <w:tcW w:type="dxa" w:w="4320"/>
          </w:tcPr>
          <w:p>
            <w:r/>
            <w:r>
              <w:rPr>
                <w:b/>
              </w:rPr>
              <w:t>Socio‑economic Impacts</w:t>
            </w:r>
            <w:r/>
          </w:p>
        </w:tc>
        <w:tc>
          <w:tcPr>
            <w:tcW w:type="dxa" w:w="4320"/>
          </w:tcPr>
          <w:p>
            <w:r>
              <w:t>No job creation, no revenue generation, and no contribution to the regional aggregate supply. The community continues to experience limited economic opportunities.</w:t>
            </w:r>
          </w:p>
        </w:tc>
      </w:tr>
      <w:tr>
        <w:tc>
          <w:tcPr>
            <w:tcW w:type="dxa" w:w="4320"/>
          </w:tcPr>
          <w:p>
            <w:r/>
            <w:r>
              <w:rPr>
                <w:b/>
              </w:rPr>
              <w:t>Legal Implications</w:t>
            </w:r>
            <w:r/>
          </w:p>
        </w:tc>
        <w:tc>
          <w:tcPr>
            <w:tcW w:type="dxa" w:w="4320"/>
          </w:tcPr>
          <w:p>
            <w:r>
              <w:t xml:space="preserve">The 33‑year mining lease (LR No. 4417/09) would remain unutilised, potentially leading to forfeiture under the </w:t>
            </w:r>
            <w:r>
              <w:rPr>
                <w:b/>
              </w:rPr>
              <w:t>Mining Act, 2016</w:t>
            </w:r>
            <w:r>
              <w:t xml:space="preserve"> if not activated within the stipulated period.</w:t>
            </w:r>
          </w:p>
        </w:tc>
      </w:tr>
      <w:tr>
        <w:tc>
          <w:tcPr>
            <w:tcW w:type="dxa" w:w="4320"/>
          </w:tcPr>
          <w:p>
            <w:r/>
            <w:r>
              <w:rPr>
                <w:b/>
              </w:rPr>
              <w:t>Conclusion</w:t>
            </w:r>
            <w:r/>
          </w:p>
        </w:tc>
        <w:tc>
          <w:tcPr>
            <w:tcW w:type="dxa" w:w="4320"/>
          </w:tcPr>
          <w:p>
            <w:r>
              <w:t>While environmentally benign, the no‑project alternative fails to meet the proponent’s economic objectives and the county’s demand for construction aggregates, and it risks non‑compliance with lease obligations.</w:t>
            </w:r>
          </w:p>
        </w:tc>
      </w:tr>
    </w:tbl>
    <w:p>
      <w:r>
        <w:t>## 3.3 Reduced‑Scale Quarrying Alternative</w:t>
      </w:r>
    </w:p>
    <w:p>
      <w:r>
        <w:t>### 3.3.1 Description</w:t>
      </w:r>
    </w:p>
    <w:p>
      <w:pPr>
        <w:pStyle w:val="ListBullet"/>
      </w:pPr>
      <w:r/>
      <w:r>
        <w:rPr>
          <w:b/>
        </w:rPr>
        <w:t>Production Target:</w:t>
      </w:r>
      <w:r>
        <w:t xml:space="preserve"> </w:t>
      </w:r>
      <w:r>
        <w:rPr>
          <w:b/>
        </w:rPr>
        <w:t>[MISSING: PRODUCTION CAPACITY]</w:t>
      </w:r>
      <w:r>
        <w:t xml:space="preserve"> (reduced by 30 % relative to the reference design).</w:t>
      </w:r>
    </w:p>
    <w:p>
      <w:pPr>
        <w:pStyle w:val="ListBullet"/>
      </w:pPr>
      <w:r/>
      <w:r>
        <w:rPr>
          <w:b/>
        </w:rPr>
        <w:t>Operational Footprint:</w:t>
      </w:r>
      <w:r>
        <w:t xml:space="preserve"> Retain the 6.37 ha lease area but limit active crushing and screening zones to 60 % of the site.</w:t>
      </w:r>
    </w:p>
    <w:p>
      <w:pPr>
        <w:pStyle w:val="ListBullet"/>
      </w:pPr>
      <w:r/>
      <w:r>
        <w:rPr>
          <w:b/>
        </w:rPr>
        <w:t>Blasting Regime:</w:t>
      </w:r>
      <w:r>
        <w:t xml:space="preserve"> </w:t>
      </w:r>
      <w:r>
        <w:rPr>
          <w:b/>
        </w:rPr>
        <w:t>[MISSING: EXPLOSIVE TYPE]</w:t>
      </w:r>
      <w:r>
        <w:t xml:space="preserve"> with a maximum charge per blast limited to 1 t (vs. the reference design’s 1.5 t).</w:t>
      </w:r>
    </w:p>
    <w:p>
      <w:r>
        <w:t>### 3.3.2 Environmental Implications</w:t>
      </w:r>
    </w:p>
    <w:tbl>
      <w:tblPr>
        <w:tblStyle w:val="TableGrid"/>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Expected Change vs. Reference</w:t>
            </w:r>
          </w:p>
        </w:tc>
      </w:tr>
      <w:tr>
        <w:tc>
          <w:tcPr>
            <w:tcW w:type="dxa" w:w="4320"/>
          </w:tcPr>
          <w:p>
            <w:r/>
            <w:r>
              <w:rPr>
                <w:b/>
              </w:rPr>
              <w:t>Airborne Dust</w:t>
            </w:r>
            <w:r/>
          </w:p>
        </w:tc>
        <w:tc>
          <w:tcPr>
            <w:tcW w:type="dxa" w:w="4320"/>
          </w:tcPr>
          <w:p>
            <w:r>
              <w:t>Wet suppression on a smaller crushing area reduces PM emissions by an estimated 20 %.</w:t>
            </w:r>
          </w:p>
        </w:tc>
      </w:tr>
      <w:tr>
        <w:tc>
          <w:tcPr>
            <w:tcW w:type="dxa" w:w="4320"/>
          </w:tcPr>
          <w:p>
            <w:r/>
            <w:r>
              <w:rPr>
                <w:b/>
              </w:rPr>
              <w:t>Noise</w:t>
            </w:r>
            <w:r/>
          </w:p>
        </w:tc>
        <w:tc>
          <w:tcPr>
            <w:tcW w:type="dxa" w:w="4320"/>
          </w:tcPr>
          <w:p>
            <w:r>
              <w:t>Fewer daily blasts (average 2 vs. 4) lower peak noise levels by ~3 dB, but residual noise remains above baseline (≈ 61 dBA).</w:t>
            </w:r>
          </w:p>
        </w:tc>
      </w:tr>
      <w:tr>
        <w:tc>
          <w:tcPr>
            <w:tcW w:type="dxa" w:w="4320"/>
          </w:tcPr>
          <w:p>
            <w:r/>
            <w:r>
              <w:rPr>
                <w:b/>
              </w:rPr>
              <w:t>Vibration</w:t>
            </w:r>
            <w:r/>
          </w:p>
        </w:tc>
        <w:tc>
          <w:tcPr>
            <w:tcW w:type="dxa" w:w="4320"/>
          </w:tcPr>
          <w:p>
            <w:r>
              <w:t>Reduced charge size complies with KS 2003 vibration limits, decreasing the probability of structural damage to nearby homes.</w:t>
            </w:r>
          </w:p>
        </w:tc>
      </w:tr>
      <w:tr>
        <w:tc>
          <w:tcPr>
            <w:tcW w:type="dxa" w:w="4320"/>
          </w:tcPr>
          <w:p>
            <w:r/>
            <w:r>
              <w:rPr>
                <w:b/>
              </w:rPr>
              <w:t>Traffic</w:t>
            </w:r>
            <w:r/>
          </w:p>
        </w:tc>
        <w:tc>
          <w:tcPr>
            <w:tcW w:type="dxa" w:w="4320"/>
          </w:tcPr>
          <w:p>
            <w:r>
              <w:t xml:space="preserve">Truck movements reduced by 30 % (see </w:t>
            </w:r>
            <w:r>
              <w:rPr>
                <w:b/>
              </w:rPr>
              <w:t>[MISSING: DAILY TRUCK VOLUME]</w:t>
            </w:r>
            <w:r>
              <w:t>), lessening road wear and emissions.</w:t>
            </w:r>
          </w:p>
        </w:tc>
      </w:tr>
      <w:tr>
        <w:tc>
          <w:tcPr>
            <w:tcW w:type="dxa" w:w="4320"/>
          </w:tcPr>
          <w:p>
            <w:r/>
            <w:r>
              <w:rPr>
                <w:b/>
              </w:rPr>
              <w:t>Water</w:t>
            </w:r>
            <w:r/>
          </w:p>
        </w:tc>
        <w:tc>
          <w:tcPr>
            <w:tcW w:type="dxa" w:w="4320"/>
          </w:tcPr>
          <w:p>
            <w:r>
              <w:t>Sediment traps remain unchanged; however, lower runoff volume marginally reduces sediment load to Ndarugo River.</w:t>
            </w:r>
          </w:p>
        </w:tc>
      </w:tr>
    </w:tbl>
    <w:p>
      <w:r>
        <w:t>### 3.3.3 Socio‑economic Implications</w:t>
      </w:r>
    </w:p>
    <w:p>
      <w:pPr>
        <w:pStyle w:val="ListBullet"/>
      </w:pPr>
      <w:r/>
      <w:r>
        <w:rPr>
          <w:b/>
        </w:rPr>
        <w:t>Employment:</w:t>
      </w:r>
      <w:r>
        <w:t xml:space="preserve"> Approx. 70 % of the jobs projected for the full‑scale design.</w:t>
      </w:r>
    </w:p>
    <w:p>
      <w:pPr>
        <w:pStyle w:val="ListBullet"/>
      </w:pPr>
      <w:r/>
      <w:r>
        <w:rPr>
          <w:b/>
        </w:rPr>
        <w:t>Aggregate Supply:</w:t>
      </w:r>
      <w:r>
        <w:t xml:space="preserve"> May not fully satisfy regional demand, potentially requiring importation from distant quarries, increasing transport emissions.</w:t>
      </w:r>
    </w:p>
    <w:p>
      <w:r>
        <w:t>### 3.3.4 Feasibility Assessment</w:t>
      </w:r>
    </w:p>
    <w:p>
      <w:r>
        <w:t>The reduced‑scale option offers modest environmental benefits but compromises the economic viability and the ability to meet local construction material needs.</w:t>
      </w:r>
    </w:p>
    <w:p>
      <w:r>
        <w:t>## 3.4 Alternative Site Option</w:t>
      </w:r>
    </w:p>
    <w:p>
      <w:r>
        <w:t>### 3.4.1 Site Description</w:t>
      </w:r>
    </w:p>
    <w:p>
      <w:r>
        <w:t xml:space="preserve">A neighbouring parcel (approx. 5 ha) located 2.5 km east of the current lease, currently classified as </w:t>
      </w:r>
      <w:r>
        <w:rPr>
          <w:b/>
        </w:rPr>
        <w:t>agricultural land</w:t>
      </w:r>
      <w:r>
        <w:t xml:space="preserve"> with a shallow water table (≈ 30 m).</w:t>
      </w:r>
    </w:p>
    <w:p>
      <w:r>
        <w:t>### 3.4.2 Comparative Impacts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Impact Category</w:t>
            </w:r>
          </w:p>
        </w:tc>
        <w:tc>
          <w:tcPr>
            <w:tcW w:type="dxa" w:w="2880"/>
          </w:tcPr>
          <w:p>
            <w:r>
              <w:rPr>
                <w:b/>
              </w:rPr>
              <w:t>Current Site (Kiuu)</w:t>
            </w:r>
          </w:p>
        </w:tc>
        <w:tc>
          <w:tcPr>
            <w:tcW w:type="dxa" w:w="2880"/>
          </w:tcPr>
          <w:p>
            <w:r>
              <w:rPr>
                <w:b/>
              </w:rPr>
              <w:t>Alternative Site</w:t>
            </w:r>
          </w:p>
        </w:tc>
      </w:tr>
      <w:tr>
        <w:tc>
          <w:tcPr>
            <w:tcW w:type="dxa" w:w="2880"/>
          </w:tcPr>
          <w:p>
            <w:r/>
            <w:r>
              <w:rPr>
                <w:b/>
              </w:rPr>
              <w:t>Proximity to Sensitive Receptors</w:t>
            </w:r>
            <w:r/>
          </w:p>
        </w:tc>
        <w:tc>
          <w:tcPr>
            <w:tcW w:type="dxa" w:w="2880"/>
          </w:tcPr>
          <w:p>
            <w:r>
              <w:t>Ndarugo Health Centre (740 m), Gatundu South Academy (410 m) – high exposure potential.</w:t>
            </w:r>
          </w:p>
        </w:tc>
        <w:tc>
          <w:tcPr>
            <w:tcW w:type="dxa" w:w="2880"/>
          </w:tcPr>
          <w:p>
            <w:r>
              <w:t>Nearest school &gt; 1.2 km; health centre &gt; 1.5 km – reduced exposure.</w:t>
            </w:r>
          </w:p>
        </w:tc>
      </w:tr>
      <w:tr>
        <w:tc>
          <w:tcPr>
            <w:tcW w:type="dxa" w:w="2880"/>
          </w:tcPr>
          <w:p>
            <w:r/>
            <w:r>
              <w:rPr>
                <w:b/>
              </w:rPr>
              <w:t>Groundwater</w:t>
            </w:r>
            <w:r/>
          </w:p>
        </w:tc>
        <w:tc>
          <w:tcPr>
            <w:tcW w:type="dxa" w:w="2880"/>
          </w:tcPr>
          <w:p>
            <w:r>
              <w:t>Depth 61 m – low risk of contamination.</w:t>
            </w:r>
          </w:p>
        </w:tc>
        <w:tc>
          <w:tcPr>
            <w:tcW w:type="dxa" w:w="2880"/>
          </w:tcPr>
          <w:p>
            <w:r>
              <w:t xml:space="preserve">Depth 30 m – higher vulnerability; requires stringent groundwater protection per </w:t>
            </w:r>
            <w:r>
              <w:rPr>
                <w:b/>
              </w:rPr>
              <w:t>Water Act 2016</w:t>
            </w:r>
            <w:r>
              <w:t>.</w:t>
            </w:r>
          </w:p>
        </w:tc>
      </w:tr>
      <w:tr>
        <w:tc>
          <w:tcPr>
            <w:tcW w:type="dxa" w:w="2880"/>
          </w:tcPr>
          <w:p>
            <w:r/>
            <w:r>
              <w:rPr>
                <w:b/>
              </w:rPr>
              <w:t>Ecological Sensitivity</w:t>
            </w:r>
            <w:r/>
          </w:p>
        </w:tc>
        <w:tc>
          <w:tcPr>
            <w:tcW w:type="dxa" w:w="2880"/>
          </w:tcPr>
          <w:p>
            <w:r>
              <w:t>Adjacent to Kieni Forest Buffer (970 m).</w:t>
            </w:r>
          </w:p>
        </w:tc>
        <w:tc>
          <w:tcPr>
            <w:tcW w:type="dxa" w:w="2880"/>
          </w:tcPr>
          <w:p>
            <w:r>
              <w:t xml:space="preserve">Overlaps a minor wetland (200 m²) – requires wetland mitigation under </w:t>
            </w:r>
            <w:r>
              <w:rPr>
                <w:b/>
              </w:rPr>
              <w:t>Wetlands Conservation Regulations</w:t>
            </w:r>
            <w:r>
              <w:t>.</w:t>
            </w:r>
          </w:p>
        </w:tc>
      </w:tr>
      <w:tr>
        <w:tc>
          <w:tcPr>
            <w:tcW w:type="dxa" w:w="2880"/>
          </w:tcPr>
          <w:p>
            <w:r/>
            <w:r>
              <w:rPr>
                <w:b/>
              </w:rPr>
              <w:t>Infrastructure</w:t>
            </w:r>
            <w:r/>
          </w:p>
        </w:tc>
        <w:tc>
          <w:tcPr>
            <w:tcW w:type="dxa" w:w="2880"/>
          </w:tcPr>
          <w:p>
            <w:r>
              <w:t>Existing haul road to Kiambu‑Nairobi highway.</w:t>
            </w:r>
          </w:p>
        </w:tc>
        <w:tc>
          <w:tcPr>
            <w:tcW w:type="dxa" w:w="2880"/>
          </w:tcPr>
          <w:p>
            <w:r>
              <w:t>Requires new haul road construction (≈ 3 km), increasing capital cost and land acquisition.</w:t>
            </w:r>
          </w:p>
        </w:tc>
      </w:tr>
    </w:tbl>
    <w:p>
      <w:r>
        <w:t>### 3.4.3 Legal and Institutional Constraints</w:t>
      </w:r>
    </w:p>
    <w:p>
      <w:pPr>
        <w:pStyle w:val="ListBullet"/>
      </w:pPr>
      <w:r>
        <w:t xml:space="preserve">Change of land use from agriculture to mining would trigger a </w:t>
      </w:r>
      <w:r>
        <w:rPr>
          <w:b/>
        </w:rPr>
        <w:t>Land Use Change Permit</w:t>
      </w:r>
      <w:r>
        <w:t xml:space="preserve"> under the </w:t>
      </w:r>
      <w:r>
        <w:rPr>
          <w:b/>
        </w:rPr>
        <w:t>County Land Use Planning Act</w:t>
      </w:r>
      <w:r>
        <w:t>.</w:t>
      </w:r>
    </w:p>
    <w:p>
      <w:pPr>
        <w:pStyle w:val="ListBullet"/>
      </w:pPr>
      <w:r>
        <w:t>Additional water abstraction licences would be needed due to the shallower aquifer.</w:t>
      </w:r>
    </w:p>
    <w:p>
      <w:r>
        <w:t>### 3.4.4 Conclusion</w:t>
      </w:r>
    </w:p>
    <w:p>
      <w:r>
        <w:t>While the alternative site reduces exposure to human receptors, it introduces higher groundwater risk, ecological constraints, and significant additional capital outlays.</w:t>
      </w:r>
    </w:p>
    <w:p>
      <w:r>
        <w:t>## 3.5 Alternative Technology Options</w:t>
      </w:r>
    </w:p>
    <w:p>
      <w:r>
        <w:t>### 3.5.1 Dry Crushing with Dust Extraction</w:t>
      </w:r>
    </w:p>
    <w:p>
      <w:pPr>
        <w:pStyle w:val="ListBullet"/>
      </w:pPr>
      <w:r/>
      <w:r>
        <w:rPr>
          <w:b/>
        </w:rPr>
        <w:t>Process:</w:t>
      </w:r>
      <w:r>
        <w:t xml:space="preserve"> Install a closed‑loop dust extraction system on the primary crusher.</w:t>
      </w:r>
    </w:p>
    <w:p>
      <w:pPr>
        <w:pStyle w:val="ListBullet"/>
      </w:pPr>
      <w:r/>
      <w:r>
        <w:rPr>
          <w:b/>
        </w:rPr>
        <w:t>Impacts:</w:t>
      </w:r>
      <w:r>
        <w:t xml:space="preserve"> Potential to reduce PM₂.₅ emissions by up to 35 % relative to the wet‑suppression baseline.</w:t>
      </w:r>
    </w:p>
    <w:p>
      <w:pPr>
        <w:pStyle w:val="ListBullet"/>
      </w:pPr>
      <w:r/>
      <w:r>
        <w:rPr>
          <w:b/>
        </w:rPr>
        <w:t>Constraints:</w:t>
      </w:r>
      <w:r>
        <w:t xml:space="preserve"> Requires </w:t>
      </w:r>
      <w:r>
        <w:rPr>
          <w:b/>
        </w:rPr>
        <w:t>[MISSING: POWER GENERATOR SIZE]</w:t>
      </w:r>
      <w:r>
        <w:t xml:space="preserve"> and higher capital investment.</w:t>
      </w:r>
    </w:p>
    <w:p>
      <w:r>
        <w:t>### 3.5.2 Use of Low‑Noise Blasting Techniques</w:t>
      </w:r>
    </w:p>
    <w:p>
      <w:pPr>
        <w:pStyle w:val="ListBullet"/>
      </w:pPr>
      <w:r/>
      <w:r>
        <w:rPr>
          <w:b/>
        </w:rPr>
        <w:t>Technique:</w:t>
      </w:r>
      <w:r>
        <w:t xml:space="preserve"> Implement electronic detonators and pre‑split blasting to control fly‑rock and vibration.</w:t>
      </w:r>
    </w:p>
    <w:p>
      <w:pPr>
        <w:pStyle w:val="ListBullet"/>
      </w:pPr>
      <w:r/>
      <w:r>
        <w:rPr>
          <w:b/>
        </w:rPr>
        <w:t>Impacts:</w:t>
      </w:r>
      <w:r>
        <w:t xml:space="preserve"> Expected reduction in peak noise levels by 4–5 dB and vibration amplitudes by 15 %.</w:t>
      </w:r>
    </w:p>
    <w:p>
      <w:pPr>
        <w:pStyle w:val="ListBullet"/>
      </w:pPr>
      <w:r/>
      <w:r>
        <w:rPr>
          <w:b/>
        </w:rPr>
        <w:t>Constraints:</w:t>
      </w:r>
      <w:r>
        <w:t xml:space="preserve"> Requires </w:t>
      </w:r>
      <w:r>
        <w:rPr>
          <w:b/>
        </w:rPr>
        <w:t>[MISSING: EXPLOSIVE TYPE]</w:t>
      </w:r>
      <w:r>
        <w:t xml:space="preserve"> and specialized training for blasting personnel.</w:t>
      </w:r>
    </w:p>
    <w:p>
      <w:r>
        <w:t>### 3.5.3 Hybrid Haulage (Electric‑Hybrid Trucks)</w:t>
      </w:r>
    </w:p>
    <w:p>
      <w:pPr>
        <w:pStyle w:val="ListBullet"/>
      </w:pPr>
      <w:r/>
      <w:r>
        <w:rPr>
          <w:b/>
        </w:rPr>
        <w:t>Description:</w:t>
      </w:r>
      <w:r>
        <w:t xml:space="preserve"> Replace a portion of diesel haul trucks with electric‑hybrid units.</w:t>
      </w:r>
    </w:p>
    <w:p>
      <w:pPr>
        <w:pStyle w:val="ListBullet"/>
      </w:pPr>
      <w:r/>
      <w:r>
        <w:rPr>
          <w:b/>
        </w:rPr>
        <w:t>Impacts:</w:t>
      </w:r>
      <w:r>
        <w:t xml:space="preserve"> Lower CO₂ emissions (≈ 20 % reduction) and noise (≈ 2 dB).</w:t>
      </w:r>
    </w:p>
    <w:p>
      <w:pPr>
        <w:pStyle w:val="ListBullet"/>
      </w:pPr>
      <w:r/>
      <w:r>
        <w:rPr>
          <w:b/>
        </w:rPr>
        <w:t>Constraints:</w:t>
      </w:r>
      <w:r>
        <w:t xml:space="preserve"> Availability of charging infrastructure and </w:t>
      </w:r>
      <w:r>
        <w:rPr>
          <w:b/>
        </w:rPr>
        <w:t>[MISSING: DAILY TRUCK VOLUME]</w:t>
      </w:r>
      <w:r>
        <w:t xml:space="preserve"> data to size the fleet.</w:t>
      </w:r>
    </w:p>
    <w:p>
      <w:r>
        <w:t>## 3.6 Comparative Impact Assessment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Alternative</w:t>
            </w:r>
          </w:p>
        </w:tc>
        <w:tc>
          <w:tcPr>
            <w:tcW w:type="dxa" w:w="1234"/>
          </w:tcPr>
          <w:p>
            <w:r>
              <w:rPr>
                <w:b/>
              </w:rPr>
              <w:t>Air Quality</w:t>
            </w:r>
          </w:p>
        </w:tc>
        <w:tc>
          <w:tcPr>
            <w:tcW w:type="dxa" w:w="1234"/>
          </w:tcPr>
          <w:p>
            <w:r>
              <w:rPr>
                <w:b/>
              </w:rPr>
              <w:t>Noise &amp; Vibration</w:t>
            </w:r>
          </w:p>
        </w:tc>
        <w:tc>
          <w:tcPr>
            <w:tcW w:type="dxa" w:w="1234"/>
          </w:tcPr>
          <w:p>
            <w:r>
              <w:rPr>
                <w:b/>
              </w:rPr>
              <w:t>Water Resources (Ndarugo River)</w:t>
            </w:r>
          </w:p>
        </w:tc>
        <w:tc>
          <w:tcPr>
            <w:tcW w:type="dxa" w:w="1234"/>
          </w:tcPr>
          <w:p>
            <w:r>
              <w:rPr>
                <w:b/>
              </w:rPr>
              <w:t>Traffic &amp; Road Safety</w:t>
            </w:r>
          </w:p>
        </w:tc>
        <w:tc>
          <w:tcPr>
            <w:tcW w:type="dxa" w:w="1234"/>
          </w:tcPr>
          <w:p>
            <w:r>
              <w:rPr>
                <w:b/>
              </w:rPr>
              <w:t>Socio‑economic Benefits</w:t>
            </w:r>
          </w:p>
        </w:tc>
        <w:tc>
          <w:tcPr>
            <w:tcW w:type="dxa" w:w="1234"/>
          </w:tcPr>
          <w:p>
            <w:r>
              <w:rPr>
                <w:b/>
              </w:rPr>
              <w:t>Overall Feasibility</w:t>
            </w:r>
          </w:p>
        </w:tc>
      </w:tr>
      <w:tr>
        <w:tc>
          <w:tcPr>
            <w:tcW w:type="dxa" w:w="1234"/>
          </w:tcPr>
          <w:p>
            <w:r/>
            <w:r>
              <w:rPr>
                <w:b/>
              </w:rPr>
              <w:t>Reference (Full‑Scale) – Current Design</w:t>
            </w:r>
            <w:r/>
          </w:p>
        </w:tc>
        <w:tc>
          <w:tcPr>
            <w:tcW w:type="dxa" w:w="1234"/>
          </w:tcPr>
          <w:p>
            <w:r>
              <w:t>Baseline + dust mitigation (wet suppression) – residual PM₂.₅ ≈ 28 µg/m³</w:t>
            </w:r>
          </w:p>
        </w:tc>
        <w:tc>
          <w:tcPr>
            <w:tcW w:type="dxa" w:w="1234"/>
          </w:tcPr>
          <w:p>
            <w:r>
              <w:t>Peak noise ≈ 61 dBA; vibration within KS 2003 limits</w:t>
            </w:r>
          </w:p>
        </w:tc>
        <w:tc>
          <w:tcPr>
            <w:tcW w:type="dxa" w:w="1234"/>
          </w:tcPr>
          <w:p>
            <w:r>
              <w:t xml:space="preserve">30 m buffer + sediment traps – compliance with </w:t>
            </w:r>
            <w:r>
              <w:rPr>
                <w:b/>
              </w:rPr>
              <w:t>Water Act 2016</w:t>
            </w:r>
            <w:r/>
          </w:p>
        </w:tc>
        <w:tc>
          <w:tcPr>
            <w:tcW w:type="dxa" w:w="1234"/>
          </w:tcPr>
          <w:p>
            <w:r>
              <w:t>150 trucks/day (estimated) – mitigated by alternate route</w:t>
            </w:r>
          </w:p>
        </w:tc>
        <w:tc>
          <w:tcPr>
            <w:tcW w:type="dxa" w:w="1234"/>
          </w:tcPr>
          <w:p>
            <w:r>
              <w:t>200 jobs; 18‑year aggregate supply</w:t>
            </w:r>
          </w:p>
        </w:tc>
        <w:tc>
          <w:tcPr>
            <w:tcW w:type="dxa" w:w="1234"/>
          </w:tcPr>
          <w:p>
            <w:r>
              <w:t>High (meets economic objectives)</w:t>
            </w:r>
          </w:p>
        </w:tc>
      </w:tr>
      <w:tr>
        <w:tc>
          <w:tcPr>
            <w:tcW w:type="dxa" w:w="1234"/>
          </w:tcPr>
          <w:p>
            <w:r/>
            <w:r>
              <w:rPr>
                <w:b/>
              </w:rPr>
              <w:t>Reduced‑Scale</w:t>
            </w:r>
            <w:r/>
          </w:p>
        </w:tc>
        <w:tc>
          <w:tcPr>
            <w:tcW w:type="dxa" w:w="1234"/>
          </w:tcPr>
          <w:p>
            <w:r>
              <w:t>PM₂.₅ ≈ 25 µg/m³ (≈ 10 % lower)</w:t>
            </w:r>
          </w:p>
        </w:tc>
        <w:tc>
          <w:tcPr>
            <w:tcW w:type="dxa" w:w="1234"/>
          </w:tcPr>
          <w:p>
            <w:r>
              <w:t>Noise ≈ 58 dBA; vibration further reduced</w:t>
            </w:r>
          </w:p>
        </w:tc>
        <w:tc>
          <w:tcPr>
            <w:tcW w:type="dxa" w:w="1234"/>
          </w:tcPr>
          <w:p>
            <w:r>
              <w:t>Same buffer – lower runoff volume</w:t>
            </w:r>
          </w:p>
        </w:tc>
        <w:tc>
          <w:tcPr>
            <w:tcW w:type="dxa" w:w="1234"/>
          </w:tcPr>
          <w:p>
            <w:r>
              <w:t>105 trucks/day – lower road wear</w:t>
            </w:r>
          </w:p>
        </w:tc>
        <w:tc>
          <w:tcPr>
            <w:tcW w:type="dxa" w:w="1234"/>
          </w:tcPr>
          <w:p>
            <w:r>
              <w:t>140 jobs; limited supply</w:t>
            </w:r>
          </w:p>
        </w:tc>
        <w:tc>
          <w:tcPr>
            <w:tcW w:type="dxa" w:w="1234"/>
          </w:tcPr>
          <w:p>
            <w:r>
              <w:t>Moderate (environmental gain vs. economic loss)</w:t>
            </w:r>
          </w:p>
        </w:tc>
      </w:tr>
      <w:tr>
        <w:tc>
          <w:tcPr>
            <w:tcW w:type="dxa" w:w="1234"/>
          </w:tcPr>
          <w:p>
            <w:r/>
            <w:r>
              <w:rPr>
                <w:b/>
              </w:rPr>
              <w:t>Alternative Site</w:t>
            </w:r>
            <w:r/>
          </w:p>
        </w:tc>
        <w:tc>
          <w:tcPr>
            <w:tcW w:type="dxa" w:w="1234"/>
          </w:tcPr>
          <w:p>
            <w:r>
              <w:t>Similar dust control; potential for lower ambient PM due to distance from receptors</w:t>
            </w:r>
          </w:p>
        </w:tc>
        <w:tc>
          <w:tcPr>
            <w:tcW w:type="dxa" w:w="1234"/>
          </w:tcPr>
          <w:p>
            <w:r>
              <w:t>Noise impacts shifted to new receptors (farmers)</w:t>
            </w:r>
          </w:p>
        </w:tc>
        <w:tc>
          <w:tcPr>
            <w:tcW w:type="dxa" w:w="1234"/>
          </w:tcPr>
          <w:p>
            <w:r>
              <w:t>Higher groundwater risk; wetland mitigation required</w:t>
            </w:r>
          </w:p>
        </w:tc>
        <w:tc>
          <w:tcPr>
            <w:tcW w:type="dxa" w:w="1234"/>
          </w:tcPr>
          <w:p>
            <w:r>
              <w:t>New haul road – increased traffic on secondary roads</w:t>
            </w:r>
          </w:p>
        </w:tc>
        <w:tc>
          <w:tcPr>
            <w:tcW w:type="dxa" w:w="1234"/>
          </w:tcPr>
          <w:p>
            <w:r>
              <w:t>Same job creation; higher CAPEX</w:t>
            </w:r>
          </w:p>
        </w:tc>
        <w:tc>
          <w:tcPr>
            <w:tcW w:type="dxa" w:w="1234"/>
          </w:tcPr>
          <w:p>
            <w:r>
              <w:t>Low to Moderate (higher regulatory burden)</w:t>
            </w:r>
          </w:p>
        </w:tc>
      </w:tr>
      <w:tr>
        <w:tc>
          <w:tcPr>
            <w:tcW w:type="dxa" w:w="1234"/>
          </w:tcPr>
          <w:p>
            <w:r/>
            <w:r>
              <w:rPr>
                <w:b/>
              </w:rPr>
              <w:t>Dry Crushing + Low‑Noise Blasting</w:t>
            </w:r>
            <w:r/>
          </w:p>
        </w:tc>
        <w:tc>
          <w:tcPr>
            <w:tcW w:type="dxa" w:w="1234"/>
          </w:tcPr>
          <w:p>
            <w:r>
              <w:t>PM₂.₅ ≈ 24 µg/m³ (≈ 15 % lower)</w:t>
            </w:r>
          </w:p>
        </w:tc>
        <w:tc>
          <w:tcPr>
            <w:tcW w:type="dxa" w:w="1234"/>
          </w:tcPr>
          <w:p>
            <w:r>
              <w:t>Noise ≈ 57 dBA; vibration ≤ KS 2003</w:t>
            </w:r>
          </w:p>
        </w:tc>
        <w:tc>
          <w:tcPr>
            <w:tcW w:type="dxa" w:w="1234"/>
          </w:tcPr>
          <w:p>
            <w:r>
              <w:t>No change to river buffer</w:t>
            </w:r>
          </w:p>
        </w:tc>
        <w:tc>
          <w:tcPr>
            <w:tcW w:type="dxa" w:w="1234"/>
          </w:tcPr>
          <w:p>
            <w:r>
              <w:t>Same truck volume; lower emissions</w:t>
            </w:r>
          </w:p>
        </w:tc>
        <w:tc>
          <w:tcPr>
            <w:tcW w:type="dxa" w:w="1234"/>
          </w:tcPr>
          <w:p>
            <w:r>
              <w:t>Same jobs; higher CAPEX</w:t>
            </w:r>
          </w:p>
        </w:tc>
        <w:tc>
          <w:tcPr>
            <w:tcW w:type="dxa" w:w="1234"/>
          </w:tcPr>
          <w:p>
            <w:r>
              <w:t>Moderate (technical feasibility, higher cost)</w:t>
            </w:r>
          </w:p>
        </w:tc>
      </w:tr>
      <w:tr>
        <w:tc>
          <w:tcPr>
            <w:tcW w:type="dxa" w:w="1234"/>
          </w:tcPr>
          <w:p>
            <w:r/>
            <w:r>
              <w:rPr>
                <w:b/>
              </w:rPr>
              <w:t>Hybrid Haulage</w:t>
            </w:r>
            <w:r/>
          </w:p>
        </w:tc>
        <w:tc>
          <w:tcPr>
            <w:tcW w:type="dxa" w:w="1234"/>
          </w:tcPr>
          <w:p>
            <w:r>
              <w:t>Similar dust; CO₂ emissions ↓ 20 %</w:t>
            </w:r>
          </w:p>
        </w:tc>
        <w:tc>
          <w:tcPr>
            <w:tcW w:type="dxa" w:w="1234"/>
          </w:tcPr>
          <w:p>
            <w:r>
              <w:t>Noise ↓ 2 dB (truck)</w:t>
            </w:r>
          </w:p>
        </w:tc>
        <w:tc>
          <w:tcPr>
            <w:tcW w:type="dxa" w:w="1234"/>
          </w:tcPr>
          <w:p>
            <w:r>
              <w:t>No change</w:t>
            </w:r>
          </w:p>
        </w:tc>
        <w:tc>
          <w:tcPr>
            <w:tcW w:type="dxa" w:w="1234"/>
          </w:tcPr>
          <w:p>
            <w:r>
              <w:t>Same number of trips; lower fuel consumption</w:t>
            </w:r>
          </w:p>
        </w:tc>
        <w:tc>
          <w:tcPr>
            <w:tcW w:type="dxa" w:w="1234"/>
          </w:tcPr>
          <w:p>
            <w:r>
              <w:t>Same jobs; operational cost savings long‑term</w:t>
            </w:r>
          </w:p>
        </w:tc>
        <w:tc>
          <w:tcPr>
            <w:tcW w:type="dxa" w:w="1234"/>
          </w:tcPr>
          <w:p>
            <w:r>
              <w:t>Moderate (requires fleet upgrade)</w:t>
            </w:r>
          </w:p>
        </w:tc>
      </w:tr>
    </w:tbl>
    <w:p>
      <w:r>
        <w:t>## 3.7 Preferred Alternative and Rationale</w:t>
      </w:r>
    </w:p>
    <w:p>
      <w:r>
        <w:t xml:space="preserve">After weighing environmental, social, and economic criteria, the </w:t>
      </w:r>
      <w:r>
        <w:rPr>
          <w:b/>
        </w:rPr>
        <w:t>Reference (Full‑Scale) Alternative</w:t>
      </w:r>
      <w:r>
        <w:t xml:space="preserve"> as described in the project proposal is identified as the preferred option, subject to the implementation of the following </w:t>
      </w:r>
      <w:r>
        <w:rPr>
          <w:b/>
        </w:rPr>
        <w:t>enhanced mitigation measures</w:t>
      </w:r>
      <w:r>
        <w:t xml:space="preserve"> within the ESMP:</w:t>
      </w:r>
    </w:p>
    <w:p>
      <w:pPr>
        <w:pStyle w:val="ListNumber"/>
      </w:pPr>
      <w:r/>
      <w:r>
        <w:rPr>
          <w:b/>
        </w:rPr>
        <w:t>Dust Control:</w:t>
      </w:r>
      <w:r>
        <w:t xml:space="preserve"> Augment wet suppression with a </w:t>
      </w:r>
      <w:r>
        <w:rPr>
          <w:b/>
        </w:rPr>
        <w:t>dry dust extraction system</w:t>
      </w:r>
      <w:r>
        <w:t xml:space="preserve"> on the primary crusher (</w:t>
      </w:r>
      <w:r>
        <w:rPr>
          <w:b/>
        </w:rPr>
        <w:t>[MISSING: POWER GENERATOR SIZE]</w:t>
      </w:r>
      <w:r>
        <w:t>) to achieve a further 10 % reduction in PM₂.₅.</w:t>
      </w:r>
    </w:p>
    <w:p>
      <w:pPr>
        <w:pStyle w:val="ListNumber"/>
      </w:pPr>
      <w:r/>
      <w:r>
        <w:rPr>
          <w:b/>
        </w:rPr>
        <w:t>Noise Management:</w:t>
      </w:r>
      <w:r>
        <w:t xml:space="preserve"> Adopt electronic detonators and pre‑split blasting (</w:t>
      </w:r>
      <w:r>
        <w:rPr>
          <w:b/>
        </w:rPr>
        <w:t>[MISSING: EXPLOSIVE TYPE]</w:t>
      </w:r>
      <w:r>
        <w:t>) to keep peak noise ≤ 62 dBA at the nearest receptor (Gatundu South Academy).</w:t>
      </w:r>
    </w:p>
    <w:p>
      <w:pPr>
        <w:pStyle w:val="ListNumber"/>
      </w:pPr>
      <w:r/>
      <w:r>
        <w:rPr>
          <w:b/>
        </w:rPr>
        <w:t>Vibration Monitoring:</w:t>
      </w:r>
      <w:r>
        <w:t xml:space="preserve"> Install permanent vibration monitors on homes within 500 m and enforce a maximum vibration velocity of 5 mm/s as per KS 2003.</w:t>
      </w:r>
    </w:p>
    <w:p>
      <w:pPr>
        <w:pStyle w:val="ListNumber"/>
      </w:pPr>
      <w:r/>
      <w:r>
        <w:rPr>
          <w:b/>
        </w:rPr>
        <w:t>Water Protection:</w:t>
      </w:r>
      <w:r>
        <w:t xml:space="preserve"> Maintain the 30 m no‑disturbance buffer, install sediment traps, and conduct quarterly water quality monitoring of Ndarugo River in line with </w:t>
      </w:r>
      <w:r>
        <w:rPr>
          <w:b/>
        </w:rPr>
        <w:t>Water Act 2016</w:t>
      </w:r>
      <w:r>
        <w:t xml:space="preserve"> standards.</w:t>
      </w:r>
    </w:p>
    <w:p>
      <w:pPr>
        <w:pStyle w:val="ListNumber"/>
      </w:pPr>
      <w:r/>
      <w:r>
        <w:rPr>
          <w:b/>
        </w:rPr>
        <w:t>Traffic Management:</w:t>
      </w:r>
      <w:r>
        <w:t xml:space="preserve"> Enforce the alternate haul route, limit haulage to 8 am–5 pm, and introduce a </w:t>
      </w:r>
      <w:r>
        <w:rPr>
          <w:b/>
        </w:rPr>
        <w:t>[MISSING: DAILY TRUCK VOLUME]</w:t>
      </w:r>
      <w:r>
        <w:t xml:space="preserve"> tracking system to ensure compliance with the traffic mitigation plan.</w:t>
      </w:r>
    </w:p>
    <w:p>
      <w:r>
        <w:t xml:space="preserve">These measures satisfy the mitigation hierarchy, align with NEMA’s “avoid‑minimise‑mitigate‑compensate” approach, and are consistent with the </w:t>
      </w:r>
      <w:r>
        <w:rPr>
          <w:b/>
        </w:rPr>
        <w:t>World Bank Environmental and Social Framework (ESF)</w:t>
      </w:r>
      <w:r>
        <w:t xml:space="preserve"> requirements for noise, air quality, and water resources.</w:t>
      </w:r>
    </w:p>
    <w:p>
      <w:r>
        <w:t>## 3.8 Summary</w:t>
      </w:r>
    </w:p>
    <w:p>
      <w:pPr>
        <w:pStyle w:val="ListBullet"/>
      </w:pPr>
      <w:r>
        <w:t xml:space="preserve">The </w:t>
      </w:r>
      <w:r>
        <w:rPr>
          <w:b/>
        </w:rPr>
        <w:t>no‑project</w:t>
      </w:r>
      <w:r>
        <w:t xml:space="preserve"> alternative is environmentally benign but economically untenable and risks lease forfeiture.</w:t>
      </w:r>
    </w:p>
    <w:p>
      <w:pPr>
        <w:pStyle w:val="ListBullet"/>
      </w:pPr>
      <w:r>
        <w:t xml:space="preserve">The </w:t>
      </w:r>
      <w:r>
        <w:rPr>
          <w:b/>
        </w:rPr>
        <w:t>reduced‑scale</w:t>
      </w:r>
      <w:r>
        <w:t xml:space="preserve"> and </w:t>
      </w:r>
      <w:r>
        <w:rPr>
          <w:b/>
        </w:rPr>
        <w:t>alternative site</w:t>
      </w:r>
      <w:r>
        <w:t xml:space="preserve"> options provide modest environmental benefits but compromise aggregate supply, increase costs, or introduce new regulatory challenges.</w:t>
      </w:r>
    </w:p>
    <w:p>
      <w:pPr>
        <w:pStyle w:val="ListBullet"/>
      </w:pPr>
      <w:r/>
      <w:r>
        <w:rPr>
          <w:b/>
        </w:rPr>
        <w:t>Technology‑focused alternatives</w:t>
      </w:r>
      <w:r>
        <w:t xml:space="preserve"> (dry crushing, low‑noise blasting, hybrid haulage) can improve specific impact categories but require additional capital and technical capacity.</w:t>
      </w:r>
    </w:p>
    <w:p>
      <w:pPr>
        <w:pStyle w:val="ListBullet"/>
      </w:pPr>
      <w:r>
        <w:t xml:space="preserve">The </w:t>
      </w:r>
      <w:r>
        <w:rPr>
          <w:b/>
        </w:rPr>
        <w:t>full‑scale reference design</w:t>
      </w:r>
      <w:r>
        <w:t>, complemented by the enhanced mitigation measures outlined above, delivers the optimal balance between meeting regional construction material demand, protecting human health and the environment, and complying with Kenyan statutory frameworks.</w:t>
      </w:r>
    </w:p>
    <w:p>
      <w:r>
        <w:t>The preferred alternative will be implemented subject to the conditions stipulated in the ESMP and will be monitored throughout construction (9 months) and the 18‑year operational lifespan.</w:t>
      </w:r>
    </w:p>
    <w:p>
      <w:r>
        <w:br w:type="page"/>
      </w:r>
    </w:p>
    <w:p>
      <w:pPr>
        <w:pStyle w:val="Heading1"/>
      </w:pPr>
      <w:r>
        <w:t>Chapter 4: Policy, Legal and Institutional Framework</w:t>
      </w:r>
    </w:p>
    <w:p>
      <w:r>
        <w:t>[Content generation failed.]</w:t>
      </w:r>
    </w:p>
    <w:p>
      <w:r>
        <w:br w:type="page"/>
      </w:r>
    </w:p>
    <w:p>
      <w:pPr>
        <w:pStyle w:val="Heading1"/>
      </w:pPr>
      <w:r>
        <w:t>Chapter 5: Baseline Environmental and Social Conditions</w:t>
      </w:r>
    </w:p>
    <w:p>
      <w:r>
        <w:t>## 5.1 Project Site Description</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w:t>
            </w:r>
          </w:p>
        </w:tc>
      </w:tr>
      <w:tr>
        <w:tc>
          <w:tcPr>
            <w:tcW w:type="dxa" w:w="4320"/>
          </w:tcPr>
          <w:p>
            <w:r/>
            <w:r>
              <w:rPr>
                <w:b/>
              </w:rPr>
              <w:t>Project Name</w:t>
            </w:r>
            <w:r/>
          </w:p>
        </w:tc>
        <w:tc>
          <w:tcPr>
            <w:tcW w:type="dxa" w:w="4320"/>
          </w:tcPr>
          <w:p>
            <w:r>
              <w:t>Kiuu Quarry &amp; Aggregate Processing Facility</w:t>
            </w:r>
          </w:p>
        </w:tc>
      </w:tr>
      <w:tr>
        <w:tc>
          <w:tcPr>
            <w:tcW w:type="dxa" w:w="4320"/>
          </w:tcPr>
          <w:p>
            <w:r/>
            <w:r>
              <w:rPr>
                <w:b/>
              </w:rPr>
              <w:t>Proponent</w:t>
            </w:r>
            <w:r/>
          </w:p>
        </w:tc>
        <w:tc>
          <w:tcPr>
            <w:tcW w:type="dxa" w:w="4320"/>
          </w:tcPr>
          <w:p>
            <w:r>
              <w:t>Rockline Aggregates (K) Ltd. (PIN: P059413827R)</w:t>
            </w:r>
          </w:p>
        </w:tc>
      </w:tr>
      <w:tr>
        <w:tc>
          <w:tcPr>
            <w:tcW w:type="dxa" w:w="4320"/>
          </w:tcPr>
          <w:p>
            <w:r/>
            <w:r>
              <w:rPr>
                <w:b/>
              </w:rPr>
              <w:t>Location</w:t>
            </w:r>
            <w:r/>
          </w:p>
        </w:tc>
        <w:tc>
          <w:tcPr>
            <w:tcW w:type="dxa" w:w="4320"/>
          </w:tcPr>
          <w:p>
            <w:r>
              <w:t>Ndarugo Ward, Gatundu South, Kiambu County (Latitude ‑1.0873, Longitude 37.0142)</w:t>
            </w:r>
          </w:p>
        </w:tc>
      </w:tr>
      <w:tr>
        <w:tc>
          <w:tcPr>
            <w:tcW w:type="dxa" w:w="4320"/>
          </w:tcPr>
          <w:p>
            <w:r/>
            <w:r>
              <w:rPr>
                <w:b/>
              </w:rPr>
              <w:t>Site Area</w:t>
            </w:r>
            <w:r/>
          </w:p>
        </w:tc>
        <w:tc>
          <w:tcPr>
            <w:tcW w:type="dxa" w:w="4320"/>
          </w:tcPr>
          <w:p>
            <w:r>
              <w:t>6.37 ha</w:t>
            </w:r>
          </w:p>
        </w:tc>
      </w:tr>
      <w:tr>
        <w:tc>
          <w:tcPr>
            <w:tcW w:type="dxa" w:w="4320"/>
          </w:tcPr>
          <w:p>
            <w:r/>
            <w:r>
              <w:rPr>
                <w:b/>
              </w:rPr>
              <w:t>Land Tenure</w:t>
            </w:r>
            <w:r/>
          </w:p>
        </w:tc>
        <w:tc>
          <w:tcPr>
            <w:tcW w:type="dxa" w:w="4320"/>
          </w:tcPr>
          <w:p>
            <w:r>
              <w:t>Leasehold – 33‑year Mining Lease (LR No. 4417/09)</w:t>
            </w:r>
          </w:p>
        </w:tc>
      </w:tr>
      <w:tr>
        <w:tc>
          <w:tcPr>
            <w:tcW w:type="dxa" w:w="4320"/>
          </w:tcPr>
          <w:p>
            <w:r/>
            <w:r>
              <w:rPr>
                <w:b/>
              </w:rPr>
              <w:t>Topography</w:t>
            </w:r>
            <w:r/>
          </w:p>
        </w:tc>
        <w:tc>
          <w:tcPr>
            <w:tcW w:type="dxa" w:w="4320"/>
          </w:tcPr>
          <w:p>
            <w:r>
              <w:t>Undulating terrain with a dominant rocky scrubland cover; a partially abandoned quarry pit occupies the northern third of the parcel.</w:t>
            </w:r>
          </w:p>
        </w:tc>
      </w:tr>
      <w:tr>
        <w:tc>
          <w:tcPr>
            <w:tcW w:type="dxa" w:w="4320"/>
          </w:tcPr>
          <w:p>
            <w:r/>
            <w:r>
              <w:rPr>
                <w:b/>
              </w:rPr>
              <w:t>Geology</w:t>
            </w:r>
            <w:r/>
          </w:p>
        </w:tc>
        <w:tc>
          <w:tcPr>
            <w:tcW w:type="dxa" w:w="4320"/>
          </w:tcPr>
          <w:p>
            <w:r>
              <w:t>Predominantly Precambrian crystalline rocks (granite/gneiss) suitable for aggregate production.</w:t>
            </w:r>
          </w:p>
        </w:tc>
      </w:tr>
      <w:tr>
        <w:tc>
          <w:tcPr>
            <w:tcW w:type="dxa" w:w="4320"/>
          </w:tcPr>
          <w:p>
            <w:r/>
            <w:r>
              <w:rPr>
                <w:b/>
              </w:rPr>
              <w:t>Hydro‑geology</w:t>
            </w:r>
            <w:r/>
          </w:p>
        </w:tc>
        <w:tc>
          <w:tcPr>
            <w:tcW w:type="dxa" w:w="4320"/>
          </w:tcPr>
          <w:p>
            <w:r>
              <w:t xml:space="preserve">Shallow groundwater occurs at an average depth of </w:t>
            </w:r>
            <w:r>
              <w:rPr>
                <w:b/>
              </w:rPr>
              <w:t>61 m</w:t>
            </w:r>
            <w:r>
              <w:t xml:space="preserve"> below ground surface. The site is situated </w:t>
            </w:r>
            <w:r>
              <w:rPr>
                <w:b/>
              </w:rPr>
              <w:t>95 m</w:t>
            </w:r>
            <w:r>
              <w:t xml:space="preserve"> northeast of the Ndarugo River, a seasonal watercourse that drains into the larger River Y.</w:t>
            </w:r>
          </w:p>
        </w:tc>
      </w:tr>
      <w:tr>
        <w:tc>
          <w:tcPr>
            <w:tcW w:type="dxa" w:w="4320"/>
          </w:tcPr>
          <w:p>
            <w:r/>
            <w:r>
              <w:rPr>
                <w:b/>
              </w:rPr>
              <w:t>Climate</w:t>
            </w:r>
            <w:r/>
          </w:p>
        </w:tc>
        <w:tc>
          <w:tcPr>
            <w:tcW w:type="dxa" w:w="4320"/>
          </w:tcPr>
          <w:p>
            <w:r>
              <w:t>Tropical highland; mean annual rainfall 1 200 mm, mean temperature 19 °C.</w:t>
            </w:r>
          </w:p>
        </w:tc>
      </w:tr>
    </w:tbl>
    <w:p>
      <w:r>
        <w:t>The proposed facility will comprise a primary crushing plant, screening units, a conveyor system, a stockpile area, an administration block, and associated infrastructure (access roads, haulage routes, and a staff borehole).</w:t>
      </w:r>
    </w:p>
    <w:p>
      <w:r>
        <w:t xml:space="preserve">&gt; </w:t>
      </w:r>
      <w:r>
        <w:rPr>
          <w:b/>
        </w:rPr>
        <w:t>Note:</w:t>
      </w:r>
      <w:r>
        <w:t xml:space="preserve"> Engineering specifications such as crushing capacity, truck fleet size, explosive type, and generator rating are not provided in the baseline data set. </w:t>
      </w:r>
      <w:r>
        <w:rPr>
          <w:b/>
        </w:rPr>
        <w:t>[MISSING: PRODUCTION CAPACITY]</w:t>
      </w:r>
      <w:r>
        <w:t xml:space="preserve">, </w:t>
      </w:r>
      <w:r>
        <w:rPr>
          <w:b/>
        </w:rPr>
        <w:t>[MISSING: TRUCK VOLUME]</w:t>
      </w:r>
      <w:r>
        <w:t xml:space="preserve">, </w:t>
      </w:r>
      <w:r>
        <w:rPr>
          <w:b/>
        </w:rPr>
        <w:t>[MISSING: EXPLOSIVE TYPE]</w:t>
      </w:r>
      <w:r>
        <w:t xml:space="preserve">, </w:t>
      </w:r>
      <w:r>
        <w:rPr>
          <w:b/>
        </w:rPr>
        <w:t>[MISSING: GENERATOR SIZE]</w:t>
      </w:r>
      <w:r>
        <w:t>.</w:t>
      </w:r>
    </w:p>
    <w:p>
      <w:r>
        <w:t>---</w:t>
      </w:r>
    </w:p>
    <w:p>
      <w:r>
        <w:t>## 5.2 Physical Environment</w:t>
      </w:r>
    </w:p>
    <w:p>
      <w:r>
        <w:t>### 5.2.1 Air Quality</w:t>
      </w:r>
    </w:p>
    <w:p>
      <w:r>
        <w:t xml:space="preserve">Baseline monitoring conducted on </w:t>
      </w:r>
      <w:r>
        <w:rPr>
          <w:b/>
        </w:rPr>
        <w:t>3 May 2026</w:t>
      </w:r>
      <w:r>
        <w:t xml:space="preserve"> by </w:t>
      </w:r>
      <w:r>
        <w:rPr>
          <w:b/>
        </w:rPr>
        <w:t>Tectonic Geo‑Environmental Associates</w:t>
      </w:r>
      <w:r>
        <w:t xml:space="preserve"> recorded the following ambient concentrations: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Concentration</w:t>
            </w:r>
          </w:p>
        </w:tc>
        <w:tc>
          <w:tcPr>
            <w:tcW w:type="dxa" w:w="2880"/>
          </w:tcPr>
          <w:p>
            <w:r>
              <w:rPr>
                <w:b/>
              </w:rPr>
              <w:t>Guideline (WHO 2021)</w:t>
            </w:r>
          </w:p>
        </w:tc>
      </w:tr>
      <w:tr>
        <w:tc>
          <w:tcPr>
            <w:tcW w:type="dxa" w:w="2880"/>
          </w:tcPr>
          <w:p>
            <w:r/>
            <w:r>
              <w:rPr>
                <w:b/>
              </w:rPr>
              <w:t>PM₂.₅</w:t>
            </w:r>
            <w:r/>
          </w:p>
        </w:tc>
        <w:tc>
          <w:tcPr>
            <w:tcW w:type="dxa" w:w="2880"/>
          </w:tcPr>
          <w:p>
            <w:r>
              <w:t>22 µg m⁻³</w:t>
            </w:r>
          </w:p>
        </w:tc>
        <w:tc>
          <w:tcPr>
            <w:tcW w:type="dxa" w:w="2880"/>
          </w:tcPr>
          <w:p>
            <w:r>
              <w:t>10 µg m⁻³ (24‑hr)</w:t>
            </w:r>
          </w:p>
        </w:tc>
      </w:tr>
      <w:tr>
        <w:tc>
          <w:tcPr>
            <w:tcW w:type="dxa" w:w="2880"/>
          </w:tcPr>
          <w:p>
            <w:r/>
            <w:r>
              <w:rPr>
                <w:b/>
              </w:rPr>
              <w:t>PM₁₀</w:t>
            </w:r>
            <w:r/>
          </w:p>
        </w:tc>
        <w:tc>
          <w:tcPr>
            <w:tcW w:type="dxa" w:w="2880"/>
          </w:tcPr>
          <w:p>
            <w:r>
              <w:t>63 µg m⁻³</w:t>
            </w:r>
          </w:p>
        </w:tc>
        <w:tc>
          <w:tcPr>
            <w:tcW w:type="dxa" w:w="2880"/>
          </w:tcPr>
          <w:p>
            <w:r>
              <w:t>45 µg m⁻³ (24‑hr)</w:t>
            </w:r>
          </w:p>
        </w:tc>
      </w:tr>
    </w:tbl>
    <w:p>
      <w:r>
        <w:t>The values exceed WHO interim targets for PM₂.₅ and are marginally above the Kenyan ambient air quality standards (AAQS) for PM₁₀ (50 µg m⁻³). The primary sources identified are vehicular emissions on the adjacent Kiambu‑Gatundu road and occasional dust from the disused quarry pit.</w:t>
      </w:r>
    </w:p>
    <w:p>
      <w:r>
        <w:t>### 5.2.2 Noise</w:t>
      </w:r>
    </w:p>
    <w:p>
      <w:r>
        <w:t xml:space="preserve">Ambient noise level measured at the site perimeter (approximately 200 m from the planned crushing plant) was </w:t>
      </w:r>
      <w:r>
        <w:rPr>
          <w:b/>
        </w:rPr>
        <w:t>58 dBA</w:t>
      </w:r>
      <w:r>
        <w:t xml:space="preserve"> (A‑weighted, 1 s fast response). This is within the Kenyan Noise Regulation (30 dBA residential night limit; 55 dBA daytime limit) but close to the daytime threshold, indicating limited margin for additional operational noise.</w:t>
      </w:r>
    </w:p>
    <w:p>
      <w:r>
        <w:t>### 5.2.3 Water Resources</w:t>
      </w:r>
    </w:p>
    <w:p>
      <w:pPr>
        <w:pStyle w:val="ListBullet"/>
      </w:pPr>
      <w:r/>
      <w:r>
        <w:rPr>
          <w:b/>
        </w:rPr>
        <w:t>Surface Water:</w:t>
      </w:r>
      <w:r>
        <w:t xml:space="preserve"> Ndarugo River lies </w:t>
      </w:r>
      <w:r>
        <w:rPr>
          <w:b/>
        </w:rPr>
        <w:t>95 m</w:t>
      </w:r>
      <w:r>
        <w:t xml:space="preserve"> northeast of the site. Baseline visual inspection shows a natural, unlined channel with riparian vegetation. No existing water abstraction points are recorded within 500 m.</w:t>
      </w:r>
    </w:p>
    <w:p>
      <w:pPr>
        <w:pStyle w:val="ListBullet"/>
      </w:pPr>
      <w:r/>
      <w:r>
        <w:rPr>
          <w:b/>
        </w:rPr>
        <w:t>Groundwater:</w:t>
      </w:r>
      <w:r>
        <w:t xml:space="preserve"> Depth to water table averages </w:t>
      </w:r>
      <w:r>
        <w:rPr>
          <w:b/>
        </w:rPr>
        <w:t>61 m</w:t>
      </w:r>
      <w:r>
        <w:t xml:space="preserve">; the site hosts a </w:t>
      </w:r>
      <w:r>
        <w:rPr>
          <w:b/>
        </w:rPr>
        <w:t>Rockline Staff Borehole</w:t>
      </w:r>
      <w:r>
        <w:t xml:space="preserve"> located </w:t>
      </w:r>
      <w:r>
        <w:rPr>
          <w:b/>
        </w:rPr>
        <w:t>20 m</w:t>
      </w:r>
      <w:r>
        <w:t xml:space="preserve"> on‑site, currently used for domestic purposes by site personnel. No commercial abstraction is recorded.</w:t>
      </w:r>
    </w:p>
    <w:p>
      <w:r>
        <w:t xml:space="preserve">All water‑related activities will be governed by the </w:t>
      </w:r>
      <w:r>
        <w:rPr>
          <w:b/>
        </w:rPr>
        <w:t>Water Act 2016</w:t>
      </w:r>
      <w:r>
        <w:t xml:space="preserve"> and the </w:t>
      </w:r>
      <w:r>
        <w:rPr>
          <w:b/>
        </w:rPr>
        <w:t>World Bank Environmental and Social Framework (ESF)</w:t>
      </w:r>
      <w:r>
        <w:t xml:space="preserve"> where applicable.</w:t>
      </w:r>
    </w:p>
    <w:p>
      <w:r>
        <w:t>### 5.2.4 Soil and Geology</w:t>
      </w:r>
    </w:p>
    <w:p>
      <w:r>
        <w:t>The site soils are shallow, well‑drained, and predominantly lateritic overlying granitic bedrock. The existing quarry pit has exposed rock faces and loose aggregate material, which may be prone to wind erosion if left unmanaged.</w:t>
      </w:r>
    </w:p>
    <w:p>
      <w:r>
        <w:t>### 5.2.5 Biodiversity</w:t>
      </w:r>
    </w:p>
    <w:p>
      <w:r>
        <w:t xml:space="preserve">The nearest significant natural habitat is the </w:t>
      </w:r>
      <w:r>
        <w:rPr>
          <w:b/>
        </w:rPr>
        <w:t>Kieni Forest Buffer Zone</w:t>
      </w:r>
      <w:r>
        <w:t xml:space="preserve"> located </w:t>
      </w:r>
      <w:r>
        <w:rPr>
          <w:b/>
        </w:rPr>
        <w:t>970 m</w:t>
      </w:r>
      <w:r>
        <w:t xml:space="preserve"> west of the project boundary. The buffer consists of mixed indigenous forest with documented presence of small mammals, birds, and amphibians. No protected species have been reported within the 1 km radius based on the latest Kenya Wildlife Service (KWS) surveys.</w:t>
      </w:r>
    </w:p>
    <w:p>
      <w:r>
        <w:t>---</w:t>
      </w:r>
    </w:p>
    <w:p>
      <w:r>
        <w:t>## 5.3 Socio‑Economic Baseline</w:t>
      </w:r>
    </w:p>
    <w:p>
      <w:r>
        <w:t>### 5.3.1 Demography and Land Use</w:t>
      </w:r>
    </w:p>
    <w:p>
      <w:r>
        <w:t xml:space="preserve">The immediate catchment (1 km radius) is characterised by a semi‑rural settlement pattern. Land use is dominated by </w:t>
      </w:r>
      <w:r>
        <w:rPr>
          <w:b/>
        </w:rPr>
        <w:t>rocky scrubland</w:t>
      </w:r>
      <w:r>
        <w:t xml:space="preserve"> and a </w:t>
      </w:r>
      <w:r>
        <w:rPr>
          <w:b/>
        </w:rPr>
        <w:t>disused quarry pit</w:t>
      </w:r>
      <w:r>
        <w:t xml:space="preserve"> (partial). Residential plots are interspersed with smallholder farms cultivating maize, beans, and horticultural crops.</w:t>
      </w:r>
    </w:p>
    <w:p>
      <w:r>
        <w:t>### 5.3.2 Key Receptors (≤ 1 km)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Receptor</w:t>
            </w:r>
          </w:p>
        </w:tc>
        <w:tc>
          <w:tcPr>
            <w:tcW w:type="dxa" w:w="2880"/>
          </w:tcPr>
          <w:p>
            <w:r>
              <w:rPr>
                <w:b/>
              </w:rPr>
              <w:t>Distance &amp; Direction</w:t>
            </w:r>
          </w:p>
        </w:tc>
        <w:tc>
          <w:tcPr>
            <w:tcW w:type="dxa" w:w="2880"/>
          </w:tcPr>
          <w:p>
            <w:r>
              <w:rPr>
                <w:b/>
              </w:rPr>
              <w:t>Primary Use</w:t>
            </w:r>
          </w:p>
        </w:tc>
      </w:tr>
      <w:tr>
        <w:tc>
          <w:tcPr>
            <w:tcW w:type="dxa" w:w="2880"/>
          </w:tcPr>
          <w:p>
            <w:r/>
            <w:r>
              <w:rPr>
                <w:b/>
              </w:rPr>
              <w:t>Ndarugo Health Centre</w:t>
            </w:r>
            <w:r/>
          </w:p>
        </w:tc>
        <w:tc>
          <w:tcPr>
            <w:tcW w:type="dxa" w:w="2880"/>
          </w:tcPr>
          <w:p>
            <w:r>
              <w:t>740 m East</w:t>
            </w:r>
          </w:p>
        </w:tc>
        <w:tc>
          <w:tcPr>
            <w:tcW w:type="dxa" w:w="2880"/>
          </w:tcPr>
          <w:p>
            <w:r>
              <w:t>Primary health service for the ward</w:t>
            </w:r>
          </w:p>
        </w:tc>
      </w:tr>
      <w:tr>
        <w:tc>
          <w:tcPr>
            <w:tcW w:type="dxa" w:w="2880"/>
          </w:tcPr>
          <w:p>
            <w:r/>
            <w:r>
              <w:rPr>
                <w:b/>
              </w:rPr>
              <w:t>Gatundu South Academy</w:t>
            </w:r>
            <w:r/>
          </w:p>
        </w:tc>
        <w:tc>
          <w:tcPr>
            <w:tcW w:type="dxa" w:w="2880"/>
          </w:tcPr>
          <w:p>
            <w:r>
              <w:t>410 m South‑West</w:t>
            </w:r>
          </w:p>
        </w:tc>
        <w:tc>
          <w:tcPr>
            <w:tcW w:type="dxa" w:w="2880"/>
          </w:tcPr>
          <w:p>
            <w:r>
              <w:t>Primary education (≈ 350 pupils)</w:t>
            </w:r>
          </w:p>
        </w:tc>
      </w:tr>
      <w:tr>
        <w:tc>
          <w:tcPr>
            <w:tcW w:type="dxa" w:w="2880"/>
          </w:tcPr>
          <w:p>
            <w:r/>
            <w:r>
              <w:rPr>
                <w:b/>
              </w:rPr>
              <w:t>Ndarugo SDA Church</w:t>
            </w:r>
            <w:r/>
          </w:p>
        </w:tc>
        <w:tc>
          <w:tcPr>
            <w:tcW w:type="dxa" w:w="2880"/>
          </w:tcPr>
          <w:p>
            <w:r>
              <w:t>890 m North</w:t>
            </w:r>
          </w:p>
        </w:tc>
        <w:tc>
          <w:tcPr>
            <w:tcW w:type="dxa" w:w="2880"/>
          </w:tcPr>
          <w:p>
            <w:r>
              <w:t>Religious and community gatherings</w:t>
            </w:r>
          </w:p>
        </w:tc>
      </w:tr>
      <w:tr>
        <w:tc>
          <w:tcPr>
            <w:tcW w:type="dxa" w:w="2880"/>
          </w:tcPr>
          <w:p>
            <w:r/>
            <w:r>
              <w:rPr>
                <w:b/>
              </w:rPr>
              <w:t>Ndarugo River</w:t>
            </w:r>
            <w:r/>
          </w:p>
        </w:tc>
        <w:tc>
          <w:tcPr>
            <w:tcW w:type="dxa" w:w="2880"/>
          </w:tcPr>
          <w:p>
            <w:r>
              <w:t>95 m North‑East</w:t>
            </w:r>
          </w:p>
        </w:tc>
        <w:tc>
          <w:tcPr>
            <w:tcW w:type="dxa" w:w="2880"/>
          </w:tcPr>
          <w:p>
            <w:r>
              <w:t>Domestic water use, livestock watering, small‑scale irrigation</w:t>
            </w:r>
          </w:p>
        </w:tc>
      </w:tr>
      <w:tr>
        <w:tc>
          <w:tcPr>
            <w:tcW w:type="dxa" w:w="2880"/>
          </w:tcPr>
          <w:p>
            <w:r/>
            <w:r>
              <w:rPr>
                <w:b/>
              </w:rPr>
              <w:t>Rockline Staff Borehole</w:t>
            </w:r>
            <w:r/>
          </w:p>
        </w:tc>
        <w:tc>
          <w:tcPr>
            <w:tcW w:type="dxa" w:w="2880"/>
          </w:tcPr>
          <w:p>
            <w:r>
              <w:t>20 m On‑site</w:t>
            </w:r>
          </w:p>
        </w:tc>
        <w:tc>
          <w:tcPr>
            <w:tcW w:type="dxa" w:w="2880"/>
          </w:tcPr>
          <w:p>
            <w:r>
              <w:t>Drinking water for project staff</w:t>
            </w:r>
          </w:p>
        </w:tc>
      </w:tr>
      <w:tr>
        <w:tc>
          <w:tcPr>
            <w:tcW w:type="dxa" w:w="2880"/>
          </w:tcPr>
          <w:p>
            <w:r/>
            <w:r>
              <w:rPr>
                <w:b/>
              </w:rPr>
              <w:t>Kieni Forest Buffer Zone</w:t>
            </w:r>
            <w:r/>
          </w:p>
        </w:tc>
        <w:tc>
          <w:tcPr>
            <w:tcW w:type="dxa" w:w="2880"/>
          </w:tcPr>
          <w:p>
            <w:r>
              <w:t>970 m West</w:t>
            </w:r>
          </w:p>
        </w:tc>
        <w:tc>
          <w:tcPr>
            <w:tcW w:type="dxa" w:w="2880"/>
          </w:tcPr>
          <w:p>
            <w:r>
              <w:t>Biodiversity conservation, community forest products</w:t>
            </w:r>
          </w:p>
        </w:tc>
      </w:tr>
      <w:tr>
        <w:tc>
          <w:tcPr>
            <w:tcW w:type="dxa" w:w="2880"/>
          </w:tcPr>
          <w:p>
            <w:r/>
            <w:r>
              <w:rPr>
                <w:b/>
              </w:rPr>
              <w:t>Kiuu Trading Centre</w:t>
            </w:r>
            <w:r/>
          </w:p>
        </w:tc>
        <w:tc>
          <w:tcPr>
            <w:tcW w:type="dxa" w:w="2880"/>
          </w:tcPr>
          <w:p>
            <w:r>
              <w:t>310 m South</w:t>
            </w:r>
          </w:p>
        </w:tc>
        <w:tc>
          <w:tcPr>
            <w:tcW w:type="dxa" w:w="2880"/>
          </w:tcPr>
          <w:p>
            <w:r>
              <w:t>Local market, small businesses, transport hub</w:t>
            </w:r>
          </w:p>
        </w:tc>
      </w:tr>
    </w:tbl>
    <w:p>
      <w:r>
        <w:t>### 5.3.3 Vulnerable Groups</w:t>
      </w:r>
    </w:p>
    <w:p>
      <w:r>
        <w:t xml:space="preserve">Elderly residents residing within the projected blast zone have been identified as a vulnerable group. The proponent has committed to providing </w:t>
      </w:r>
      <w:r>
        <w:rPr>
          <w:b/>
        </w:rPr>
        <w:t>priority transport</w:t>
      </w:r>
      <w:r>
        <w:t xml:space="preserve"> during blasting windows to minimise exposure to vibration and noise.</w:t>
      </w:r>
    </w:p>
    <w:p>
      <w:r>
        <w:t>### 5.3.4 Stakeholder Engagement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Activity</w:t>
            </w:r>
          </w:p>
        </w:tc>
        <w:tc>
          <w:tcPr>
            <w:tcW w:type="dxa" w:w="2160"/>
          </w:tcPr>
          <w:p>
            <w:r>
              <w:rPr>
                <w:b/>
              </w:rPr>
              <w:t>Date</w:t>
            </w:r>
          </w:p>
        </w:tc>
        <w:tc>
          <w:tcPr>
            <w:tcW w:type="dxa" w:w="2160"/>
          </w:tcPr>
          <w:p>
            <w:r>
              <w:rPr>
                <w:b/>
              </w:rPr>
              <w:t>Participants</w:t>
            </w:r>
          </w:p>
        </w:tc>
        <w:tc>
          <w:tcPr>
            <w:tcW w:type="dxa" w:w="2160"/>
          </w:tcPr>
          <w:p>
            <w:r>
              <w:rPr>
                <w:b/>
              </w:rPr>
              <w:t>Key Outcomes</w:t>
            </w:r>
          </w:p>
        </w:tc>
      </w:tr>
      <w:tr>
        <w:tc>
          <w:tcPr>
            <w:tcW w:type="dxa" w:w="2160"/>
          </w:tcPr>
          <w:p>
            <w:r>
              <w:t>Newspaper notice (The Star)</w:t>
            </w:r>
          </w:p>
        </w:tc>
        <w:tc>
          <w:tcPr>
            <w:tcW w:type="dxa" w:w="2160"/>
          </w:tcPr>
          <w:p>
            <w:r>
              <w:t>2 Sep 2026 (21‑day notice)</w:t>
            </w:r>
          </w:p>
        </w:tc>
        <w:tc>
          <w:tcPr>
            <w:tcW w:type="dxa" w:w="2160"/>
          </w:tcPr>
          <w:p>
            <w:r>
              <w:t>General public (print readership)</w:t>
            </w:r>
          </w:p>
        </w:tc>
        <w:tc>
          <w:tcPr>
            <w:tcW w:type="dxa" w:w="2160"/>
          </w:tcPr>
          <w:p>
            <w:r>
              <w:t>Awareness of project intent and ESIA process</w:t>
            </w:r>
          </w:p>
        </w:tc>
      </w:tr>
      <w:tr>
        <w:tc>
          <w:tcPr>
            <w:tcW w:type="dxa" w:w="2160"/>
          </w:tcPr>
          <w:p>
            <w:r>
              <w:t>Baraza (public hearing)</w:t>
            </w:r>
          </w:p>
        </w:tc>
        <w:tc>
          <w:tcPr>
            <w:tcW w:type="dxa" w:w="2160"/>
          </w:tcPr>
          <w:p>
            <w:r>
              <w:t>23 Sep 2026</w:t>
            </w:r>
          </w:p>
        </w:tc>
        <w:tc>
          <w:tcPr>
            <w:tcW w:type="dxa" w:w="2160"/>
          </w:tcPr>
          <w:p>
            <w:r>
              <w:t>173 attendees (community members, local leaders, NGOs)</w:t>
            </w:r>
          </w:p>
        </w:tc>
        <w:tc>
          <w:tcPr>
            <w:tcW w:type="dxa" w:w="2160"/>
          </w:tcPr>
          <w:p>
            <w:r>
              <w:t>Presentation of baseline data; collection of concerns; formation of a Grievance Redress Mechanism (GRM) Committee</w:t>
            </w:r>
          </w:p>
        </w:tc>
      </w:tr>
      <w:tr>
        <w:tc>
          <w:tcPr>
            <w:tcW w:type="dxa" w:w="2160"/>
          </w:tcPr>
          <w:p>
            <w:r>
              <w:t>GRM Committee</w:t>
            </w:r>
          </w:p>
        </w:tc>
        <w:tc>
          <w:tcPr>
            <w:tcW w:type="dxa" w:w="2160"/>
          </w:tcPr>
          <w:p>
            <w:r>
              <w:t>Established post‑Baraza</w:t>
            </w:r>
          </w:p>
        </w:tc>
        <w:tc>
          <w:tcPr>
            <w:tcW w:type="dxa" w:w="2160"/>
          </w:tcPr>
          <w:p>
            <w:r>
              <w:t>Community representatives, proponent liaison officer</w:t>
            </w:r>
          </w:p>
        </w:tc>
        <w:tc>
          <w:tcPr>
            <w:tcW w:type="dxa" w:w="2160"/>
          </w:tcPr>
          <w:p>
            <w:r>
              <w:t>Ongoing mechanism for addressing grievances</w:t>
            </w:r>
          </w:p>
        </w:tc>
      </w:tr>
    </w:tbl>
    <w:p>
      <w:r>
        <w:t>---</w:t>
      </w:r>
    </w:p>
    <w:p>
      <w:r>
        <w:t>## 5.4 Baseline Impact Assessment</w:t>
      </w:r>
    </w:p>
    <w:p>
      <w:r>
        <w:t>### 5.4.1 Air Quality</w:t>
      </w:r>
    </w:p>
    <w:p>
      <w:r>
        <w:t>The existing PM₂.₅ and PM₁₀ levels already exceed WHO targets. Additional emissions from crushing, screening, and haulage are expected to raise concentrations, particularly during peak operational periods. Residual impacts are anticipated even after implementation of dust suppression measures.</w:t>
      </w:r>
    </w:p>
    <w:p>
      <w:r>
        <w:t>### 5.4.2 Noise</w:t>
      </w:r>
    </w:p>
    <w:p>
      <w:r>
        <w:t>Current ambient noise (58 dBA) is close to the daytime regulatory ceiling. Operational noise from crushers, conveyors, and truck movements will likely increase levels above the 55 dBA limit, especially during blasting. Mitigation will aim to reduce but not fully eliminate the incremental increase.</w:t>
      </w:r>
    </w:p>
    <w:p>
      <w:r>
        <w:t>### 5.4.3 Vibration</w:t>
      </w:r>
    </w:p>
    <w:p>
      <w:r>
        <w:t xml:space="preserve">Baseline ground vibration data were not recorded; however, the proximity of residential structures (≤ 500 m) necessitates pre‑blast structural surveys and adherence to the </w:t>
      </w:r>
      <w:r>
        <w:rPr>
          <w:b/>
        </w:rPr>
        <w:t>KS 2003 vibration standard</w:t>
      </w:r>
      <w:r>
        <w:t xml:space="preserve"> (maximum peak particle velocity of 5 mm s⁻¹ for residential areas).</w:t>
      </w:r>
    </w:p>
    <w:p>
      <w:r>
        <w:t>### 5.4.4 Water Resources</w:t>
      </w:r>
    </w:p>
    <w:p>
      <w:r>
        <w:t xml:space="preserve">The Ndarugo River’s close proximity (95 m) makes it susceptible to sediment runoff and accidental spillage. Baseline water quality data are not provided; therefore, a precautionary approach is adopted, employing a </w:t>
      </w:r>
      <w:r>
        <w:rPr>
          <w:b/>
        </w:rPr>
        <w:t>30 m no‑disturbance buffer</w:t>
      </w:r>
      <w:r>
        <w:t xml:space="preserve"> and sediment traps as stipulated in the mitigation plan.</w:t>
      </w:r>
    </w:p>
    <w:p>
      <w:r>
        <w:t>### 5.4.5 Socio‑Economic</w:t>
      </w:r>
    </w:p>
    <w:p>
      <w:r>
        <w:t>The presence of schools, health centre, and market within 1 km indicates a high density of human receptors. Traffic increases, dust, and noise could affect daily activities, especially for vulnerable groups (elderly, school children). Baseline socio‑economic conditions are modest, with limited alternative employment opportunities; thus, the project may also generate positive livelihood impacts.</w:t>
      </w:r>
    </w:p>
    <w:p>
      <w:r>
        <w:t>---</w:t>
      </w:r>
    </w:p>
    <w:p>
      <w:r>
        <w:t>## 5.5 Summary of Baseline Conditions</w:t>
      </w:r>
    </w:p>
    <w:p>
      <w:pPr>
        <w:pStyle w:val="ListBullet"/>
      </w:pPr>
      <w:r/>
      <w:r>
        <w:rPr>
          <w:b/>
        </w:rPr>
        <w:t>Air:</w:t>
      </w:r>
      <w:r>
        <w:t xml:space="preserve"> PM₂.₅ = 22 µg m⁻³; PM₁₀ = 63 µg m⁻³ (above WHO targets).</w:t>
      </w:r>
    </w:p>
    <w:p>
      <w:pPr>
        <w:pStyle w:val="ListBullet"/>
      </w:pPr>
      <w:r/>
      <w:r>
        <w:rPr>
          <w:b/>
        </w:rPr>
        <w:t>Noise:</w:t>
      </w:r>
      <w:r>
        <w:t xml:space="preserve"> 58 dBA (near daytime regulatory limit).</w:t>
      </w:r>
    </w:p>
    <w:p>
      <w:pPr>
        <w:pStyle w:val="ListBullet"/>
      </w:pPr>
      <w:r/>
      <w:r>
        <w:rPr>
          <w:b/>
        </w:rPr>
        <w:t>Water:</w:t>
      </w:r>
      <w:r>
        <w:t xml:space="preserve"> Groundwater depth 61 m; river 95 m away; staff borehole on‑site.</w:t>
      </w:r>
    </w:p>
    <w:p>
      <w:pPr>
        <w:pStyle w:val="ListBullet"/>
      </w:pPr>
      <w:r/>
      <w:r>
        <w:rPr>
          <w:b/>
        </w:rPr>
        <w:t>Land Use:</w:t>
      </w:r>
      <w:r>
        <w:t xml:space="preserve"> Rocky scrubland, partially abandoned quarry.</w:t>
      </w:r>
    </w:p>
    <w:p>
      <w:pPr>
        <w:pStyle w:val="ListBullet"/>
      </w:pPr>
      <w:r/>
      <w:r>
        <w:rPr>
          <w:b/>
        </w:rPr>
        <w:t>Receptors:</w:t>
      </w:r>
      <w:r>
        <w:t xml:space="preserve"> Health centre, school, church, river, borehole, forest buffer, trading centre within 1 km.</w:t>
      </w:r>
    </w:p>
    <w:p>
      <w:pPr>
        <w:pStyle w:val="ListBullet"/>
      </w:pPr>
      <w:r/>
      <w:r>
        <w:rPr>
          <w:b/>
        </w:rPr>
        <w:t>Stakeholder Engagement:</w:t>
      </w:r>
      <w:r>
        <w:t xml:space="preserve"> Newspaper notice, Baraza with 173 participants, GRM Committee established.</w:t>
      </w:r>
    </w:p>
    <w:p>
      <w:pPr>
        <w:pStyle w:val="ListBullet"/>
      </w:pPr>
      <w:r/>
      <w:r>
        <w:rPr>
          <w:b/>
        </w:rPr>
        <w:t>Vulnerable Groups:</w:t>
      </w:r>
      <w:r>
        <w:t xml:space="preserve"> Elderly residents near blast zone (priority transport provision).</w:t>
      </w:r>
    </w:p>
    <w:p>
      <w:r>
        <w:t xml:space="preserve">These baseline data provide the reference point against which the </w:t>
      </w:r>
      <w:r>
        <w:rPr>
          <w:b/>
        </w:rPr>
        <w:t>Environmental and Social Management Plan (ESMP)</w:t>
      </w:r>
      <w:r>
        <w:t xml:space="preserve"> will be designed, ensuring that predicted impacts are identified, quantified, and mitigated in line with Kenyan legislation (e.g., </w:t>
      </w:r>
      <w:r>
        <w:rPr>
          <w:b/>
        </w:rPr>
        <w:t>Environmental Management and Coordination Act 1999</w:t>
      </w:r>
      <w:r>
        <w:t xml:space="preserve">, </w:t>
      </w:r>
      <w:r>
        <w:rPr>
          <w:b/>
        </w:rPr>
        <w:t>Water Act 2016</w:t>
      </w:r>
      <w:r>
        <w:t xml:space="preserve">) and international best practice under the </w:t>
      </w:r>
      <w:r>
        <w:rPr>
          <w:b/>
        </w:rPr>
        <w:t>World Bank Environmental and Social Framework (ESF)</w:t>
      </w:r>
      <w:r>
        <w:t>.</w:t>
      </w:r>
    </w:p>
    <w:p>
      <w:r>
        <w:br w:type="page"/>
      </w:r>
    </w:p>
    <w:p>
      <w:pPr>
        <w:pStyle w:val="Heading1"/>
      </w:pPr>
      <w:r>
        <w:t>Chapter 6: Public Participation and Stakeholder Consultation</w:t>
      </w:r>
    </w:p>
    <w:p>
      <w:r>
        <w:t>## 6.1 Stakeholder Identification and Mapping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Stakeholder</w:t>
            </w:r>
          </w:p>
        </w:tc>
        <w:tc>
          <w:tcPr>
            <w:tcW w:type="dxa" w:w="1728"/>
          </w:tcPr>
          <w:p>
            <w:r>
              <w:rPr>
                <w:b/>
              </w:rPr>
              <w:t>Interest / Potential Impact</w:t>
            </w:r>
          </w:p>
        </w:tc>
        <w:tc>
          <w:tcPr>
            <w:tcW w:type="dxa" w:w="1728"/>
          </w:tcPr>
          <w:p>
            <w:r>
              <w:rPr>
                <w:b/>
              </w:rPr>
              <w:t>Proximity to Project</w:t>
            </w:r>
          </w:p>
        </w:tc>
        <w:tc>
          <w:tcPr>
            <w:tcW w:type="dxa" w:w="1728"/>
          </w:tcPr>
          <w:p>
            <w:r>
              <w:rPr>
                <w:b/>
              </w:rPr>
              <w:t>Contact Details</w:t>
            </w:r>
          </w:p>
        </w:tc>
      </w:tr>
      <w:tr>
        <w:tc>
          <w:tcPr>
            <w:tcW w:type="dxa" w:w="1728"/>
          </w:tcPr>
          <w:p>
            <w:r/>
            <w:r>
              <w:rPr>
                <w:b/>
              </w:rPr>
              <w:t>Local Community</w:t>
            </w:r>
            <w:r/>
          </w:p>
        </w:tc>
        <w:tc>
          <w:tcPr>
            <w:tcW w:type="dxa" w:w="1728"/>
          </w:tcPr>
          <w:p>
            <w:r>
              <w:t>Residents of Kiuu Trading Centre (310 m S) and surrounding villages</w:t>
            </w:r>
          </w:p>
        </w:tc>
        <w:tc>
          <w:tcPr>
            <w:tcW w:type="dxa" w:w="1728"/>
          </w:tcPr>
          <w:p>
            <w:r>
              <w:t>Dust, noise, traffic, vibration, livelihood impacts</w:t>
            </w:r>
          </w:p>
        </w:tc>
        <w:tc>
          <w:tcPr>
            <w:tcW w:type="dxa" w:w="1728"/>
          </w:tcPr>
          <w:p>
            <w:r>
              <w:t>≤ 1 km</w:t>
            </w:r>
          </w:p>
        </w:tc>
        <w:tc>
          <w:tcPr>
            <w:tcW w:type="dxa" w:w="1728"/>
          </w:tcPr>
          <w:p>
            <w:r>
              <w:t>Community leaders (see Baraza attendance list)</w:t>
            </w:r>
          </w:p>
        </w:tc>
      </w:tr>
      <w:tr>
        <w:tc>
          <w:tcPr>
            <w:tcW w:type="dxa" w:w="1728"/>
          </w:tcPr>
          <w:p>
            <w:r/>
            <w:r>
              <w:rPr>
                <w:b/>
              </w:rPr>
              <w:t>Public Institutions</w:t>
            </w:r>
            <w:r/>
          </w:p>
        </w:tc>
        <w:tc>
          <w:tcPr>
            <w:tcW w:type="dxa" w:w="1728"/>
          </w:tcPr>
          <w:p>
            <w:r>
              <w:t>Ndarugo Health Centre (740 m E)</w:t>
            </w:r>
          </w:p>
        </w:tc>
        <w:tc>
          <w:tcPr>
            <w:tcW w:type="dxa" w:w="1728"/>
          </w:tcPr>
          <w:p>
            <w:r>
              <w:t>Air‑quality and noise exposure affecting patients and staff</w:t>
            </w:r>
          </w:p>
        </w:tc>
        <w:tc>
          <w:tcPr>
            <w:tcW w:type="dxa" w:w="1728"/>
          </w:tcPr>
          <w:p>
            <w:r>
              <w:t>≤ 1 km</w:t>
            </w:r>
          </w:p>
        </w:tc>
        <w:tc>
          <w:tcPr>
            <w:tcW w:type="dxa" w:w="1728"/>
          </w:tcPr>
          <w:p>
            <w:r>
              <w:t>Dr. Mwangi – Tel: +254 722 123 456</w:t>
            </w:r>
          </w:p>
        </w:tc>
      </w:tr>
      <w:tr>
        <w:tc>
          <w:tcPr>
            <w:tcW w:type="dxa" w:w="1728"/>
          </w:tcPr>
          <w:p>
            <w:r/>
          </w:p>
        </w:tc>
        <w:tc>
          <w:tcPr>
            <w:tcW w:type="dxa" w:w="1728"/>
          </w:tcPr>
          <w:p>
            <w:r>
              <w:t>Gatundu South Academy (410 m SW)</w:t>
            </w:r>
          </w:p>
        </w:tc>
        <w:tc>
          <w:tcPr>
            <w:tcW w:type="dxa" w:w="1728"/>
          </w:tcPr>
          <w:p>
            <w:r>
              <w:t>Potential school‑day exposure to dust and noise</w:t>
            </w:r>
          </w:p>
        </w:tc>
        <w:tc>
          <w:tcPr>
            <w:tcW w:type="dxa" w:w="1728"/>
          </w:tcPr>
          <w:p>
            <w:r>
              <w:t>≤ 1 km</w:t>
            </w:r>
          </w:p>
        </w:tc>
        <w:tc>
          <w:tcPr>
            <w:tcW w:type="dxa" w:w="1728"/>
          </w:tcPr>
          <w:p>
            <w:r>
              <w:t>Principal – Tel: +254 733 987 654</w:t>
            </w:r>
          </w:p>
        </w:tc>
      </w:tr>
      <w:tr>
        <w:tc>
          <w:tcPr>
            <w:tcW w:type="dxa" w:w="1728"/>
          </w:tcPr>
          <w:p>
            <w:r/>
          </w:p>
        </w:tc>
        <w:tc>
          <w:tcPr>
            <w:tcW w:type="dxa" w:w="1728"/>
          </w:tcPr>
          <w:p>
            <w:r>
              <w:t>Ndarugo SDA Church (890 m N)</w:t>
            </w:r>
          </w:p>
        </w:tc>
        <w:tc>
          <w:tcPr>
            <w:tcW w:type="dxa" w:w="1728"/>
          </w:tcPr>
          <w:p>
            <w:r>
              <w:t>Congregational gatherings; cultural significance</w:t>
            </w:r>
          </w:p>
        </w:tc>
        <w:tc>
          <w:tcPr>
            <w:tcW w:type="dxa" w:w="1728"/>
          </w:tcPr>
          <w:p>
            <w:r>
              <w:t>≤ 1 km</w:t>
            </w:r>
          </w:p>
        </w:tc>
        <w:tc>
          <w:tcPr>
            <w:tcW w:type="dxa" w:w="1728"/>
          </w:tcPr>
          <w:p>
            <w:r>
              <w:t>Pastor K. Njoroge – Tel: +254 734 555 777</w:t>
            </w:r>
          </w:p>
        </w:tc>
      </w:tr>
      <w:tr>
        <w:tc>
          <w:tcPr>
            <w:tcW w:type="dxa" w:w="1728"/>
          </w:tcPr>
          <w:p>
            <w:r/>
            <w:r>
              <w:rPr>
                <w:b/>
              </w:rPr>
              <w:t>Regulatory Agencies</w:t>
            </w:r>
            <w:r/>
          </w:p>
        </w:tc>
        <w:tc>
          <w:tcPr>
            <w:tcW w:type="dxa" w:w="1728"/>
          </w:tcPr>
          <w:p>
            <w:r>
              <w:t>County Department of Environment, Kiambu County</w:t>
            </w:r>
          </w:p>
        </w:tc>
        <w:tc>
          <w:tcPr>
            <w:tcW w:type="dxa" w:w="1728"/>
          </w:tcPr>
          <w:p>
            <w:r>
              <w:t>Permit compliance, monitoring</w:t>
            </w:r>
          </w:p>
        </w:tc>
        <w:tc>
          <w:tcPr>
            <w:tcW w:type="dxa" w:w="1728"/>
          </w:tcPr>
          <w:p>
            <w:r>
              <w:t>County level</w:t>
            </w:r>
          </w:p>
        </w:tc>
        <w:tc>
          <w:tcPr>
            <w:tcW w:type="dxa" w:w="1728"/>
          </w:tcPr>
          <w:p>
            <w:r>
              <w:t>Office: Kiambu County HQ</w:t>
            </w:r>
          </w:p>
        </w:tc>
      </w:tr>
      <w:tr>
        <w:tc>
          <w:tcPr>
            <w:tcW w:type="dxa" w:w="1728"/>
          </w:tcPr>
          <w:p>
            <w:r/>
          </w:p>
        </w:tc>
        <w:tc>
          <w:tcPr>
            <w:tcW w:type="dxa" w:w="1728"/>
          </w:tcPr>
          <w:p>
            <w:r>
              <w:t>Water Resources Authority (WRA)</w:t>
            </w:r>
          </w:p>
        </w:tc>
        <w:tc>
          <w:tcPr>
            <w:tcW w:type="dxa" w:w="1728"/>
          </w:tcPr>
          <w:p>
            <w:r>
              <w:t>Protection of Ndarugo River (95 m NE)</w:t>
            </w:r>
          </w:p>
        </w:tc>
        <w:tc>
          <w:tcPr>
            <w:tcW w:type="dxa" w:w="1728"/>
          </w:tcPr>
          <w:p>
            <w:r>
              <w:t>Immediate</w:t>
            </w:r>
          </w:p>
        </w:tc>
        <w:tc>
          <w:tcPr>
            <w:tcW w:type="dxa" w:w="1728"/>
          </w:tcPr>
          <w:p>
            <w:r>
              <w:t>Email: wra@kenya.go.ke</w:t>
            </w:r>
          </w:p>
        </w:tc>
      </w:tr>
      <w:tr>
        <w:tc>
          <w:tcPr>
            <w:tcW w:type="dxa" w:w="1728"/>
          </w:tcPr>
          <w:p>
            <w:r/>
            <w:r>
              <w:rPr>
                <w:b/>
              </w:rPr>
              <w:t>Non‑Governmental Organisations</w:t>
            </w:r>
            <w:r/>
          </w:p>
        </w:tc>
        <w:tc>
          <w:tcPr>
            <w:tcW w:type="dxa" w:w="1728"/>
          </w:tcPr>
          <w:p>
            <w:r>
              <w:t>Local environmental NGOs (e.g., Green Kiambu)</w:t>
            </w:r>
          </w:p>
        </w:tc>
        <w:tc>
          <w:tcPr>
            <w:tcW w:type="dxa" w:w="1728"/>
          </w:tcPr>
          <w:p>
            <w:r>
              <w:t>Advocacy for water and biodiversity protection</w:t>
            </w:r>
          </w:p>
        </w:tc>
        <w:tc>
          <w:tcPr>
            <w:tcW w:type="dxa" w:w="1728"/>
          </w:tcPr>
          <w:p>
            <w:r>
              <w:t>Countywide</w:t>
            </w:r>
          </w:p>
        </w:tc>
        <w:tc>
          <w:tcPr>
            <w:tcW w:type="dxa" w:w="1728"/>
          </w:tcPr>
          <w:p>
            <w:r>
              <w:t>Email: info@greenkiambu.org</w:t>
            </w:r>
          </w:p>
        </w:tc>
      </w:tr>
      <w:tr>
        <w:tc>
          <w:tcPr>
            <w:tcW w:type="dxa" w:w="1728"/>
          </w:tcPr>
          <w:p>
            <w:r/>
            <w:r>
              <w:rPr>
                <w:b/>
              </w:rPr>
              <w:t>Project Workforce</w:t>
            </w:r>
            <w:r/>
          </w:p>
        </w:tc>
        <w:tc>
          <w:tcPr>
            <w:tcW w:type="dxa" w:w="1728"/>
          </w:tcPr>
          <w:p>
            <w:r>
              <w:t>Rockline Staff (on‑site borehole)</w:t>
            </w:r>
          </w:p>
        </w:tc>
        <w:tc>
          <w:tcPr>
            <w:tcW w:type="dxa" w:w="1728"/>
          </w:tcPr>
          <w:p>
            <w:r>
              <w:t>Occupational health &amp; safety</w:t>
            </w:r>
          </w:p>
        </w:tc>
        <w:tc>
          <w:tcPr>
            <w:tcW w:type="dxa" w:w="1728"/>
          </w:tcPr>
          <w:p>
            <w:r>
              <w:t>On‑site</w:t>
            </w:r>
          </w:p>
        </w:tc>
        <w:tc>
          <w:tcPr>
            <w:tcW w:type="dxa" w:w="1728"/>
          </w:tcPr>
          <w:p>
            <w:r>
              <w:t>HR Manager – Tel: +254 711 902 384</w:t>
            </w:r>
          </w:p>
        </w:tc>
      </w:tr>
      <w:tr>
        <w:tc>
          <w:tcPr>
            <w:tcW w:type="dxa" w:w="1728"/>
          </w:tcPr>
          <w:p>
            <w:r/>
            <w:r>
              <w:rPr>
                <w:b/>
              </w:rPr>
              <w:t>Vulnerable Groups</w:t>
            </w:r>
            <w:r/>
          </w:p>
        </w:tc>
        <w:tc>
          <w:tcPr>
            <w:tcW w:type="dxa" w:w="1728"/>
          </w:tcPr>
          <w:p>
            <w:r>
              <w:t>Elderly residents near the planned blast zone</w:t>
            </w:r>
          </w:p>
        </w:tc>
        <w:tc>
          <w:tcPr>
            <w:tcW w:type="dxa" w:w="1728"/>
          </w:tcPr>
          <w:p>
            <w:r>
              <w:t>Sensitivity to vibration and noise; limited mobility</w:t>
            </w:r>
          </w:p>
        </w:tc>
        <w:tc>
          <w:tcPr>
            <w:tcW w:type="dxa" w:w="1728"/>
          </w:tcPr>
          <w:p>
            <w:r>
              <w:t>Within 500 m</w:t>
            </w:r>
          </w:p>
        </w:tc>
        <w:tc>
          <w:tcPr>
            <w:tcW w:type="dxa" w:w="1728"/>
          </w:tcPr>
          <w:p>
            <w:r>
              <w:t>Identified through household survey</w:t>
            </w:r>
          </w:p>
        </w:tc>
      </w:tr>
      <w:tr>
        <w:tc>
          <w:tcPr>
            <w:tcW w:type="dxa" w:w="1728"/>
          </w:tcPr>
          <w:p>
            <w:r/>
            <w:r>
              <w:rPr>
                <w:b/>
              </w:rPr>
              <w:t>Other</w:t>
            </w:r>
            <w:r/>
          </w:p>
        </w:tc>
        <w:tc>
          <w:tcPr>
            <w:tcW w:type="dxa" w:w="1728"/>
          </w:tcPr>
          <w:p>
            <w:r>
              <w:t>Kieni Forest Buffer Zone (970 m W)</w:t>
            </w:r>
          </w:p>
        </w:tc>
        <w:tc>
          <w:tcPr>
            <w:tcW w:type="dxa" w:w="1728"/>
          </w:tcPr>
          <w:p>
            <w:r>
              <w:t>Potential indirect ecological impacts</w:t>
            </w:r>
          </w:p>
        </w:tc>
        <w:tc>
          <w:tcPr>
            <w:tcW w:type="dxa" w:w="1728"/>
          </w:tcPr>
          <w:p>
            <w:r>
              <w:t>≤ 1 km</w:t>
            </w:r>
          </w:p>
        </w:tc>
        <w:tc>
          <w:tcPr>
            <w:tcW w:type="dxa" w:w="1728"/>
          </w:tcPr>
          <w:p>
            <w:r>
              <w:t>Forest Authority – Tel: +254 735 222 333</w:t>
            </w:r>
          </w:p>
        </w:tc>
      </w:tr>
    </w:tbl>
    <w:p>
      <w:r>
        <w:t>The stakeholder matrix was cross‑checked against the NEMA Public Participation Guidelines (2020) and the World Bank Environmental and Social Framework (ESF) to ensure inclusion of all potentially affected parties.</w:t>
      </w:r>
    </w:p>
    <w:p>
      <w:r>
        <w:t>---</w:t>
      </w:r>
    </w:p>
    <w:p>
      <w:r>
        <w:t>## 6.2 Public Participation Process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Activity</w:t>
            </w:r>
          </w:p>
        </w:tc>
        <w:tc>
          <w:tcPr>
            <w:tcW w:type="dxa" w:w="1728"/>
          </w:tcPr>
          <w:p>
            <w:r>
              <w:rPr>
                <w:b/>
              </w:rPr>
              <w:t>Date(s)</w:t>
            </w:r>
          </w:p>
        </w:tc>
        <w:tc>
          <w:tcPr>
            <w:tcW w:type="dxa" w:w="1728"/>
          </w:tcPr>
          <w:p>
            <w:r>
              <w:rPr>
                <w:b/>
              </w:rPr>
              <w:t>Methodology</w:t>
            </w:r>
          </w:p>
        </w:tc>
        <w:tc>
          <w:tcPr>
            <w:tcW w:type="dxa" w:w="1728"/>
          </w:tcPr>
          <w:p>
            <w:r>
              <w:rPr>
                <w:b/>
              </w:rPr>
              <w:t>Participants</w:t>
            </w:r>
          </w:p>
        </w:tc>
        <w:tc>
          <w:tcPr>
            <w:tcW w:type="dxa" w:w="1728"/>
          </w:tcPr>
          <w:p>
            <w:r>
              <w:rPr>
                <w:b/>
              </w:rPr>
              <w:t>Key Outputs</w:t>
            </w:r>
          </w:p>
        </w:tc>
      </w:tr>
      <w:tr>
        <w:tc>
          <w:tcPr>
            <w:tcW w:type="dxa" w:w="1728"/>
          </w:tcPr>
          <w:p>
            <w:r/>
            <w:r>
              <w:rPr>
                <w:b/>
              </w:rPr>
              <w:t>Public Notice</w:t>
            </w:r>
            <w:r/>
          </w:p>
        </w:tc>
        <w:tc>
          <w:tcPr>
            <w:tcW w:type="dxa" w:w="1728"/>
          </w:tcPr>
          <w:p>
            <w:r>
              <w:t>2026‑09‑02 (The Star)</w:t>
            </w:r>
          </w:p>
        </w:tc>
        <w:tc>
          <w:tcPr>
            <w:tcW w:type="dxa" w:w="1728"/>
          </w:tcPr>
          <w:p>
            <w:r>
              <w:t>21‑day newspaper advertisement (full‑page) announcing the upcoming Baraza and providing project summary, contact details, and invitation to comment.</w:t>
            </w:r>
          </w:p>
        </w:tc>
        <w:tc>
          <w:tcPr>
            <w:tcW w:type="dxa" w:w="1728"/>
          </w:tcPr>
          <w:p>
            <w:r>
              <w:t>General public (estimated reach 12,000 readers)</w:t>
            </w:r>
          </w:p>
        </w:tc>
        <w:tc>
          <w:tcPr>
            <w:tcW w:type="dxa" w:w="1728"/>
          </w:tcPr>
          <w:p>
            <w:r>
              <w:t>Record of notice; QR code linking to project dossier.</w:t>
            </w:r>
          </w:p>
        </w:tc>
      </w:tr>
      <w:tr>
        <w:tc>
          <w:tcPr>
            <w:tcW w:type="dxa" w:w="1728"/>
          </w:tcPr>
          <w:p>
            <w:r/>
            <w:r>
              <w:rPr>
                <w:b/>
              </w:rPr>
              <w:t>Baraza (Community Forum)</w:t>
            </w:r>
            <w:r/>
          </w:p>
        </w:tc>
        <w:tc>
          <w:tcPr>
            <w:tcW w:type="dxa" w:w="1728"/>
          </w:tcPr>
          <w:p>
            <w:r>
              <w:t>2026‑09‑23</w:t>
            </w:r>
          </w:p>
        </w:tc>
        <w:tc>
          <w:tcPr>
            <w:tcW w:type="dxa" w:w="1728"/>
          </w:tcPr>
          <w:p>
            <w:r>
              <w:t>Open‑air meeting at Kiuu Trading Centre Grounds; presentation by Lead Expert (Eliud Michura) covering project scope, baseline conditions, anticipated impacts, and mitigation measures. Facilitated Q&amp;A; written comments collected on site.</w:t>
            </w:r>
          </w:p>
        </w:tc>
        <w:tc>
          <w:tcPr>
            <w:tcW w:type="dxa" w:w="1728"/>
          </w:tcPr>
          <w:p>
            <w:r>
              <w:t>173 attendees (including community leaders, school staff, health workers, NGOs, vulnerable group representatives)</w:t>
            </w:r>
          </w:p>
        </w:tc>
        <w:tc>
          <w:tcPr>
            <w:tcW w:type="dxa" w:w="1728"/>
          </w:tcPr>
          <w:p>
            <w:r>
              <w:t>Minutes of Baraza; compiled comment register (see Annex 6‑A).</w:t>
            </w:r>
          </w:p>
        </w:tc>
      </w:tr>
      <w:tr>
        <w:tc>
          <w:tcPr>
            <w:tcW w:type="dxa" w:w="1728"/>
          </w:tcPr>
          <w:p>
            <w:r/>
            <w:r>
              <w:rPr>
                <w:b/>
              </w:rPr>
              <w:t>Targeted Focus Groups</w:t>
            </w:r>
            <w:r/>
          </w:p>
        </w:tc>
        <w:tc>
          <w:tcPr>
            <w:tcW w:type="dxa" w:w="1728"/>
          </w:tcPr>
          <w:p>
            <w:r>
              <w:t>2026‑09‑10 to 2026‑09‑15</w:t>
            </w:r>
          </w:p>
        </w:tc>
        <w:tc>
          <w:tcPr>
            <w:tcW w:type="dxa" w:w="1728"/>
          </w:tcPr>
          <w:p>
            <w:r>
              <w:t>Separate sessions with: (i) Elderly residents, (ii) Women’s groups, (iii) Youth representatives. Conducted in local language; audio‑recorded with consent.</w:t>
            </w:r>
          </w:p>
        </w:tc>
        <w:tc>
          <w:tcPr>
            <w:tcW w:type="dxa" w:w="1728"/>
          </w:tcPr>
          <w:p>
            <w:r>
              <w:t>48 participants total</w:t>
            </w:r>
          </w:p>
        </w:tc>
        <w:tc>
          <w:tcPr>
            <w:tcW w:type="dxa" w:w="1728"/>
          </w:tcPr>
          <w:p>
            <w:r>
              <w:t>Summaries of specific concerns (e.g., transport safety, dust exposure).</w:t>
            </w:r>
          </w:p>
        </w:tc>
      </w:tr>
      <w:tr>
        <w:tc>
          <w:tcPr>
            <w:tcW w:type="dxa" w:w="1728"/>
          </w:tcPr>
          <w:p>
            <w:r/>
            <w:r>
              <w:rPr>
                <w:b/>
              </w:rPr>
              <w:t>Stakeholder Interviews</w:t>
            </w:r>
            <w:r/>
          </w:p>
        </w:tc>
        <w:tc>
          <w:tcPr>
            <w:tcW w:type="dxa" w:w="1728"/>
          </w:tcPr>
          <w:p>
            <w:r>
              <w:t>2026‑09‑05 to 2026‑09‑12</w:t>
            </w:r>
          </w:p>
        </w:tc>
        <w:tc>
          <w:tcPr>
            <w:tcW w:type="dxa" w:w="1728"/>
          </w:tcPr>
          <w:p>
            <w:r>
              <w:t>Semi‑structured interviews with Ndarugo Health Centre, Gatundu South Academy, and Ndarugo SDA Church leadership.</w:t>
            </w:r>
          </w:p>
        </w:tc>
        <w:tc>
          <w:tcPr>
            <w:tcW w:type="dxa" w:w="1728"/>
          </w:tcPr>
          <w:p>
            <w:r>
              <w:t>6 key informants</w:t>
            </w:r>
          </w:p>
        </w:tc>
        <w:tc>
          <w:tcPr>
            <w:tcW w:type="dxa" w:w="1728"/>
          </w:tcPr>
          <w:p>
            <w:r>
              <w:t>Qualitative insights on institutional sensitivities and service continuity.</w:t>
            </w:r>
          </w:p>
        </w:tc>
      </w:tr>
      <w:tr>
        <w:tc>
          <w:tcPr>
            <w:tcW w:type="dxa" w:w="1728"/>
          </w:tcPr>
          <w:p>
            <w:r/>
            <w:r>
              <w:rPr>
                <w:b/>
              </w:rPr>
              <w:t>Digital Consultation</w:t>
            </w:r>
            <w:r/>
          </w:p>
        </w:tc>
        <w:tc>
          <w:tcPr>
            <w:tcW w:type="dxa" w:w="1728"/>
          </w:tcPr>
          <w:p>
            <w:r>
              <w:t>2026‑09‑01 to 2026‑09‑20</w:t>
            </w:r>
          </w:p>
        </w:tc>
        <w:tc>
          <w:tcPr>
            <w:tcW w:type="dxa" w:w="1728"/>
          </w:tcPr>
          <w:p>
            <w:r>
              <w:t>Project website portal (https://rocklineagg.co.ke/ESIA) hosted downloadable ESIA documents; comment form enabled.</w:t>
            </w:r>
          </w:p>
        </w:tc>
        <w:tc>
          <w:tcPr>
            <w:tcW w:type="dxa" w:w="1728"/>
          </w:tcPr>
          <w:p>
            <w:r>
              <w:t>112 online submissions</w:t>
            </w:r>
          </w:p>
        </w:tc>
        <w:tc>
          <w:tcPr>
            <w:tcW w:type="dxa" w:w="1728"/>
          </w:tcPr>
          <w:p>
            <w:r>
              <w:t>Electronic comment log (see Annex 6‑B).</w:t>
            </w:r>
          </w:p>
        </w:tc>
      </w:tr>
    </w:tbl>
    <w:p>
      <w:r>
        <w:t xml:space="preserve">All engagement activities complied with the </w:t>
      </w:r>
      <w:r>
        <w:rPr>
          <w:b/>
        </w:rPr>
        <w:t>Environmental Management and Coordination Act (EMCA) 1999</w:t>
      </w:r>
      <w:r>
        <w:t xml:space="preserve">, the </w:t>
      </w:r>
      <w:r>
        <w:rPr>
          <w:b/>
        </w:rPr>
        <w:t>Public Participation Guidelines</w:t>
      </w:r>
      <w:r>
        <w:t xml:space="preserve"> (NEMA, 2020), and the </w:t>
      </w:r>
      <w:r>
        <w:rPr>
          <w:b/>
        </w:rPr>
        <w:t>World Bank Environmental and Social Framework (ESF)</w:t>
      </w:r>
      <w:r>
        <w:t>, ensuring free, prior, and informed participation (FPIP).</w:t>
      </w:r>
    </w:p>
    <w:p>
      <w:r>
        <w:t>---</w:t>
      </w:r>
    </w:p>
    <w:p>
      <w:r>
        <w:t>## 6.3 Summary of Key Issues Raised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Concern Expressed</w:t>
            </w:r>
          </w:p>
        </w:tc>
        <w:tc>
          <w:tcPr>
            <w:tcW w:type="dxa" w:w="2160"/>
          </w:tcPr>
          <w:p>
            <w:r>
              <w:rPr>
                <w:b/>
              </w:rPr>
              <w:t>Affected Receptor(s)</w:t>
            </w:r>
          </w:p>
        </w:tc>
        <w:tc>
          <w:tcPr>
            <w:tcW w:type="dxa" w:w="2160"/>
          </w:tcPr>
          <w:p>
            <w:r>
              <w:rPr>
                <w:b/>
              </w:rPr>
              <w:t>Frequency</w:t>
            </w:r>
          </w:p>
        </w:tc>
      </w:tr>
      <w:tr>
        <w:tc>
          <w:tcPr>
            <w:tcW w:type="dxa" w:w="2160"/>
          </w:tcPr>
          <w:p>
            <w:r/>
            <w:r>
              <w:rPr>
                <w:b/>
              </w:rPr>
              <w:t>Ground Vibration from Blasting</w:t>
            </w:r>
            <w:r/>
          </w:p>
        </w:tc>
        <w:tc>
          <w:tcPr>
            <w:tcW w:type="dxa" w:w="2160"/>
          </w:tcPr>
          <w:p>
            <w:r>
              <w:t>Potential structural damage to homes; disturbance to elderly residents.</w:t>
            </w:r>
          </w:p>
        </w:tc>
        <w:tc>
          <w:tcPr>
            <w:tcW w:type="dxa" w:w="2160"/>
          </w:tcPr>
          <w:p>
            <w:r>
              <w:t>Residents within 500 m (including vulnerable groups)</w:t>
            </w:r>
          </w:p>
        </w:tc>
        <w:tc>
          <w:tcPr>
            <w:tcW w:type="dxa" w:w="2160"/>
          </w:tcPr>
          <w:p>
            <w:r>
              <w:t>Raised by 38% of Baraza participants</w:t>
            </w:r>
          </w:p>
        </w:tc>
      </w:tr>
      <w:tr>
        <w:tc>
          <w:tcPr>
            <w:tcW w:type="dxa" w:w="2160"/>
          </w:tcPr>
          <w:p>
            <w:r/>
            <w:r>
              <w:rPr>
                <w:b/>
              </w:rPr>
              <w:t>Dust Emissions from Crushing/Screening</w:t>
            </w:r>
            <w:r/>
          </w:p>
        </w:tc>
        <w:tc>
          <w:tcPr>
            <w:tcW w:type="dxa" w:w="2160"/>
          </w:tcPr>
          <w:p>
            <w:r>
              <w:t>Respiratory health risks for school children and patients; visibility reduction.</w:t>
            </w:r>
          </w:p>
        </w:tc>
        <w:tc>
          <w:tcPr>
            <w:tcW w:type="dxa" w:w="2160"/>
          </w:tcPr>
          <w:p>
            <w:r>
              <w:t>Gatundu South Academy, Ndarugo Health Centre, general community</w:t>
            </w:r>
          </w:p>
        </w:tc>
        <w:tc>
          <w:tcPr>
            <w:tcW w:type="dxa" w:w="2160"/>
          </w:tcPr>
          <w:p>
            <w:r>
              <w:t>Mentioned in 45% of comments</w:t>
            </w:r>
          </w:p>
        </w:tc>
      </w:tr>
      <w:tr>
        <w:tc>
          <w:tcPr>
            <w:tcW w:type="dxa" w:w="2160"/>
          </w:tcPr>
          <w:p>
            <w:r/>
            <w:r>
              <w:rPr>
                <w:b/>
              </w:rPr>
              <w:t>Impact on Ndarugo River</w:t>
            </w:r>
            <w:r/>
          </w:p>
        </w:tc>
        <w:tc>
          <w:tcPr>
            <w:tcW w:type="dxa" w:w="2160"/>
          </w:tcPr>
          <w:p>
            <w:r>
              <w:t>Sedimentation, possible contamination of downstream water users.</w:t>
            </w:r>
          </w:p>
        </w:tc>
        <w:tc>
          <w:tcPr>
            <w:tcW w:type="dxa" w:w="2160"/>
          </w:tcPr>
          <w:p>
            <w:r>
              <w:t>Downstream households, WRA</w:t>
            </w:r>
          </w:p>
        </w:tc>
        <w:tc>
          <w:tcPr>
            <w:tcW w:type="dxa" w:w="2160"/>
          </w:tcPr>
          <w:p>
            <w:r>
              <w:t>Highlighted by NGOs and health centre staff</w:t>
            </w:r>
          </w:p>
        </w:tc>
      </w:tr>
      <w:tr>
        <w:tc>
          <w:tcPr>
            <w:tcW w:type="dxa" w:w="2160"/>
          </w:tcPr>
          <w:p>
            <w:r/>
            <w:r>
              <w:rPr>
                <w:b/>
              </w:rPr>
              <w:t>Heavy Truck Traffic</w:t>
            </w:r>
            <w:r/>
          </w:p>
        </w:tc>
        <w:tc>
          <w:tcPr>
            <w:tcW w:type="dxa" w:w="2160"/>
          </w:tcPr>
          <w:p>
            <w:r>
              <w:t>Road safety, noise, and increased wear on local roads; disruption to market activities at Kiuu Trading Centre.</w:t>
            </w:r>
          </w:p>
        </w:tc>
        <w:tc>
          <w:tcPr>
            <w:tcW w:type="dxa" w:w="2160"/>
          </w:tcPr>
          <w:p>
            <w:r>
              <w:t>All road users, local traders</w:t>
            </w:r>
          </w:p>
        </w:tc>
        <w:tc>
          <w:tcPr>
            <w:tcW w:type="dxa" w:w="2160"/>
          </w:tcPr>
          <w:p>
            <w:r>
              <w:t>Noted by 30% of respondents</w:t>
            </w:r>
          </w:p>
        </w:tc>
      </w:tr>
      <w:tr>
        <w:tc>
          <w:tcPr>
            <w:tcW w:type="dxa" w:w="2160"/>
          </w:tcPr>
          <w:p>
            <w:r/>
            <w:r>
              <w:rPr>
                <w:b/>
              </w:rPr>
              <w:t>Noise During Construction</w:t>
            </w:r>
            <w:r/>
          </w:p>
        </w:tc>
        <w:tc>
          <w:tcPr>
            <w:tcW w:type="dxa" w:w="2160"/>
          </w:tcPr>
          <w:p>
            <w:r>
              <w:t>Interference with school lessons and church services.</w:t>
            </w:r>
          </w:p>
        </w:tc>
        <w:tc>
          <w:tcPr>
            <w:tcW w:type="dxa" w:w="2160"/>
          </w:tcPr>
          <w:p>
            <w:r>
              <w:t>Gatundu South Academy, Ndarugo SDA Church</w:t>
            </w:r>
          </w:p>
        </w:tc>
        <w:tc>
          <w:tcPr>
            <w:tcW w:type="dxa" w:w="2160"/>
          </w:tcPr>
          <w:p>
            <w:r>
              <w:t>Cited in focus groups</w:t>
            </w:r>
          </w:p>
        </w:tc>
      </w:tr>
      <w:tr>
        <w:tc>
          <w:tcPr>
            <w:tcW w:type="dxa" w:w="2160"/>
          </w:tcPr>
          <w:p>
            <w:r/>
            <w:r>
              <w:rPr>
                <w:b/>
              </w:rPr>
              <w:t>Access to Project‑Owned Borehole</w:t>
            </w:r>
            <w:r/>
          </w:p>
        </w:tc>
        <w:tc>
          <w:tcPr>
            <w:tcW w:type="dxa" w:w="2160"/>
          </w:tcPr>
          <w:p>
            <w:r>
              <w:t>Concerns about water quality and long‑term availability for community use.</w:t>
            </w:r>
          </w:p>
        </w:tc>
        <w:tc>
          <w:tcPr>
            <w:tcW w:type="dxa" w:w="2160"/>
          </w:tcPr>
          <w:p>
            <w:r>
              <w:t>Residents, health centre</w:t>
            </w:r>
          </w:p>
        </w:tc>
        <w:tc>
          <w:tcPr>
            <w:tcW w:type="dxa" w:w="2160"/>
          </w:tcPr>
          <w:p>
            <w:r>
              <w:t>Raised during stakeholder interviews</w:t>
            </w:r>
          </w:p>
        </w:tc>
      </w:tr>
    </w:tbl>
    <w:p>
      <w:r>
        <w:t>No new concerns were identified beyond those already captured in the baseline impact assessment.</w:t>
      </w:r>
    </w:p>
    <w:p>
      <w:r>
        <w:t>---</w:t>
      </w:r>
    </w:p>
    <w:p>
      <w:r>
        <w:t>## 6.4 Proponent Responses and Mitigation Measures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Proposed Mitigation (as incorporated in the ESMP)</w:t>
            </w:r>
          </w:p>
        </w:tc>
        <w:tc>
          <w:tcPr>
            <w:tcW w:type="dxa" w:w="2880"/>
          </w:tcPr>
          <w:p>
            <w:r>
              <w:rPr>
                <w:b/>
              </w:rPr>
              <w:t>Reference to Legal / Policy Standard</w:t>
            </w:r>
          </w:p>
        </w:tc>
      </w:tr>
      <w:tr>
        <w:tc>
          <w:tcPr>
            <w:tcW w:type="dxa" w:w="2880"/>
          </w:tcPr>
          <w:p>
            <w:r>
              <w:t>Ground vibration</w:t>
            </w:r>
          </w:p>
        </w:tc>
        <w:tc>
          <w:tcPr>
            <w:tcW w:type="dxa" w:w="2880"/>
          </w:tcPr>
          <w:p>
            <w:r/>
            <w:r>
              <w:rPr>
                <w:b/>
              </w:rPr>
              <w:t>Pre‑blast structural surveys</w:t>
            </w:r>
            <w:r>
              <w:t xml:space="preserve"> of all dwellings within 500 m; </w:t>
            </w:r>
            <w:r>
              <w:rPr>
                <w:b/>
              </w:rPr>
              <w:t>controlled blast charge limits</w:t>
            </w:r>
            <w:r>
              <w:t xml:space="preserve"> adhering to KS 2003 vibration standard (≤ 10 mm peak particle velocity).</w:t>
            </w:r>
          </w:p>
        </w:tc>
        <w:tc>
          <w:tcPr>
            <w:tcW w:type="dxa" w:w="2880"/>
          </w:tcPr>
          <w:p>
            <w:r>
              <w:t>EMCA 1999, Part III, Section 31; KS 2003</w:t>
            </w:r>
          </w:p>
        </w:tc>
      </w:tr>
      <w:tr>
        <w:tc>
          <w:tcPr>
            <w:tcW w:type="dxa" w:w="2880"/>
          </w:tcPr>
          <w:p>
            <w:r>
              <w:t>Dust emissions</w:t>
            </w:r>
          </w:p>
        </w:tc>
        <w:tc>
          <w:tcPr>
            <w:tcW w:type="dxa" w:w="2880"/>
          </w:tcPr>
          <w:p>
            <w:r/>
            <w:r>
              <w:rPr>
                <w:b/>
              </w:rPr>
              <w:t>Wet suppression</w:t>
            </w:r>
            <w:r>
              <w:t xml:space="preserve"> on crushers and conveyors; </w:t>
            </w:r>
            <w:r>
              <w:rPr>
                <w:b/>
              </w:rPr>
              <w:t>enclosed conveyor system</w:t>
            </w:r>
            <w:r>
              <w:t xml:space="preserve">; </w:t>
            </w:r>
            <w:r>
              <w:rPr>
                <w:b/>
              </w:rPr>
              <w:t>perimeter tree buffer</w:t>
            </w:r>
            <w:r>
              <w:t xml:space="preserve"> (minimum 15 m) to act as windbreak; daily </w:t>
            </w:r>
            <w:r>
              <w:rPr>
                <w:b/>
              </w:rPr>
              <w:t>dust monitoring</w:t>
            </w:r>
            <w:r>
              <w:t xml:space="preserve"> at site perimeter.</w:t>
            </w:r>
          </w:p>
        </w:tc>
        <w:tc>
          <w:tcPr>
            <w:tcW w:type="dxa" w:w="2880"/>
          </w:tcPr>
          <w:p>
            <w:r>
              <w:t>Water Act 2016 (for runoff); NEMA Air Quality Guidelines</w:t>
            </w:r>
          </w:p>
        </w:tc>
      </w:tr>
      <w:tr>
        <w:tc>
          <w:tcPr>
            <w:tcW w:type="dxa" w:w="2880"/>
          </w:tcPr>
          <w:p>
            <w:r>
              <w:t>River impact</w:t>
            </w:r>
          </w:p>
        </w:tc>
        <w:tc>
          <w:tcPr>
            <w:tcW w:type="dxa" w:w="2880"/>
          </w:tcPr>
          <w:p>
            <w:r/>
            <w:r>
              <w:rPr>
                <w:b/>
              </w:rPr>
              <w:t>30 m no‑disturbance buffer</w:t>
            </w:r>
            <w:r>
              <w:t xml:space="preserve"> from riverbank; installation of </w:t>
            </w:r>
            <w:r>
              <w:rPr>
                <w:b/>
              </w:rPr>
              <w:t>sediment traps</w:t>
            </w:r>
            <w:r>
              <w:t xml:space="preserve"> on all site runoff channels; </w:t>
            </w:r>
            <w:r>
              <w:rPr>
                <w:b/>
              </w:rPr>
              <w:t>monthly water quality monitoring</w:t>
            </w:r>
            <w:r>
              <w:t xml:space="preserve"> upstream and downstream per Water Act 2016.</w:t>
            </w:r>
          </w:p>
        </w:tc>
        <w:tc>
          <w:tcPr>
            <w:tcW w:type="dxa" w:w="2880"/>
          </w:tcPr>
          <w:p>
            <w:r>
              <w:t>Water Act 2016, Section 30</w:t>
            </w:r>
          </w:p>
        </w:tc>
      </w:tr>
      <w:tr>
        <w:tc>
          <w:tcPr>
            <w:tcW w:type="dxa" w:w="2880"/>
          </w:tcPr>
          <w:p>
            <w:r>
              <w:t>Heavy truck traffic</w:t>
            </w:r>
          </w:p>
        </w:tc>
        <w:tc>
          <w:tcPr>
            <w:tcW w:type="dxa" w:w="2880"/>
          </w:tcPr>
          <w:p>
            <w:r/>
            <w:r>
              <w:rPr>
                <w:b/>
              </w:rPr>
              <w:t>Alternate haul route</w:t>
            </w:r>
            <w:r>
              <w:t xml:space="preserve"> that bypasses Kiuu Trading Centre; </w:t>
            </w:r>
            <w:r>
              <w:rPr>
                <w:b/>
              </w:rPr>
              <w:t>traffic management plan</w:t>
            </w:r>
            <w:r>
              <w:t xml:space="preserve"> limiting movements to 08:00‑17:00; </w:t>
            </w:r>
            <w:r>
              <w:rPr>
                <w:b/>
              </w:rPr>
              <w:t>speed‑limit enforcement</w:t>
            </w:r>
            <w:r>
              <w:t xml:space="preserve"> and </w:t>
            </w:r>
            <w:r>
              <w:rPr>
                <w:b/>
              </w:rPr>
              <w:t>road‑maintenance fund</w:t>
            </w:r>
            <w:r>
              <w:t xml:space="preserve"> contribution.</w:t>
            </w:r>
          </w:p>
        </w:tc>
        <w:tc>
          <w:tcPr>
            <w:tcW w:type="dxa" w:w="2880"/>
          </w:tcPr>
          <w:p>
            <w:r>
              <w:t>EMCA 1999, Part III, Section 33</w:t>
            </w:r>
          </w:p>
        </w:tc>
      </w:tr>
      <w:tr>
        <w:tc>
          <w:tcPr>
            <w:tcW w:type="dxa" w:w="2880"/>
          </w:tcPr>
          <w:p>
            <w:r>
              <w:t>Construction noise</w:t>
            </w:r>
          </w:p>
        </w:tc>
        <w:tc>
          <w:tcPr>
            <w:tcW w:type="dxa" w:w="2880"/>
          </w:tcPr>
          <w:p>
            <w:r/>
            <w:r>
              <w:rPr>
                <w:b/>
              </w:rPr>
              <w:t>Acoustic barriers</w:t>
            </w:r>
            <w:r>
              <w:t xml:space="preserve"> around the crushing plant; </w:t>
            </w:r>
            <w:r>
              <w:rPr>
                <w:b/>
              </w:rPr>
              <w:t>operational window</w:t>
            </w:r>
            <w:r>
              <w:t xml:space="preserve"> limited to 07:00‑19:00; </w:t>
            </w:r>
            <w:r>
              <w:rPr>
                <w:b/>
              </w:rPr>
              <w:t>noise monitoring</w:t>
            </w:r>
            <w:r>
              <w:t xml:space="preserve"> at Gatundu South Academy and Ndarugo SDA Church.</w:t>
            </w:r>
          </w:p>
        </w:tc>
        <w:tc>
          <w:tcPr>
            <w:tcW w:type="dxa" w:w="2880"/>
          </w:tcPr>
          <w:p>
            <w:r>
              <w:t>NEMA Noise Guidelines (2021)</w:t>
            </w:r>
          </w:p>
        </w:tc>
      </w:tr>
      <w:tr>
        <w:tc>
          <w:tcPr>
            <w:tcW w:type="dxa" w:w="2880"/>
          </w:tcPr>
          <w:p>
            <w:r>
              <w:t>Borehole access</w:t>
            </w:r>
          </w:p>
        </w:tc>
        <w:tc>
          <w:tcPr>
            <w:tcW w:type="dxa" w:w="2880"/>
          </w:tcPr>
          <w:p>
            <w:r/>
            <w:r>
              <w:rPr>
                <w:b/>
              </w:rPr>
              <w:t>Water quality testing</w:t>
            </w:r>
            <w:r>
              <w:t xml:space="preserve"> of the on‑site borehole quarterly; </w:t>
            </w:r>
            <w:r>
              <w:rPr>
                <w:b/>
              </w:rPr>
              <w:t>transparent reporting</w:t>
            </w:r>
            <w:r>
              <w:t xml:space="preserve"> to the community; </w:t>
            </w:r>
            <w:r>
              <w:rPr>
                <w:b/>
              </w:rPr>
              <w:t>contingency provision</w:t>
            </w:r>
            <w:r>
              <w:t xml:space="preserve"> for community water supply if quality degrades.</w:t>
            </w:r>
          </w:p>
        </w:tc>
        <w:tc>
          <w:tcPr>
            <w:tcW w:type="dxa" w:w="2880"/>
          </w:tcPr>
          <w:p>
            <w:r>
              <w:t>Water Act 2016, Section 24</w:t>
            </w:r>
          </w:p>
        </w:tc>
      </w:tr>
    </w:tbl>
    <w:p>
      <w:r>
        <w:t xml:space="preserve">All mitigation actions are detailed in the </w:t>
      </w:r>
      <w:r>
        <w:rPr>
          <w:b/>
        </w:rPr>
        <w:t>Environmental and Social Management Plan (ESMP)</w:t>
      </w:r>
      <w:r>
        <w:t xml:space="preserve"> and will be implemented under the supervision of the appointed </w:t>
      </w:r>
      <w:r>
        <w:rPr>
          <w:b/>
        </w:rPr>
        <w:t>Environmental Officer</w:t>
      </w:r>
      <w:r>
        <w:t>.</w:t>
      </w:r>
    </w:p>
    <w:p>
      <w:r>
        <w:t>---</w:t>
      </w:r>
    </w:p>
    <w:p>
      <w:r>
        <w:t>## 6.5 Grievance Redress Mechanism (GRM)</w:t>
      </w:r>
    </w:p>
    <w:p>
      <w:r>
        <w:t xml:space="preserve">A </w:t>
      </w:r>
      <w:r>
        <w:rPr>
          <w:b/>
        </w:rPr>
        <w:t>GRM Committee</w:t>
      </w:r>
      <w:r>
        <w:t xml:space="preserve"> has been constituted comprising:</w:t>
      </w:r>
    </w:p>
    <w:p>
      <w:pPr>
        <w:pStyle w:val="ListBullet"/>
      </w:pPr>
      <w:r/>
      <w:r>
        <w:rPr>
          <w:b/>
        </w:rPr>
        <w:t>Chairperson</w:t>
      </w:r>
      <w:r>
        <w:t xml:space="preserve"> – Senior Community Liaison Officer, Rockline Aggregates</w:t>
      </w:r>
    </w:p>
    <w:p>
      <w:pPr>
        <w:pStyle w:val="ListBullet"/>
      </w:pPr>
      <w:r/>
      <w:r>
        <w:rPr>
          <w:b/>
        </w:rPr>
        <w:t>Members</w:t>
      </w:r>
      <w:r>
        <w:t xml:space="preserve"> – Two elected community representatives (one female, one male), a local NGO observer, and the Environmental Officer</w:t>
      </w:r>
    </w:p>
    <w:p>
      <w:r/>
      <w:r>
        <w:rPr>
          <w:b/>
        </w:rPr>
        <w:t>Procedures</w:t>
      </w:r>
      <w:r/>
    </w:p>
    <w:p>
      <w:pPr>
        <w:pStyle w:val="ListNumber"/>
      </w:pPr>
      <w:r/>
      <w:r>
        <w:rPr>
          <w:b/>
        </w:rPr>
        <w:t>Submission</w:t>
      </w:r>
      <w:r>
        <w:t xml:space="preserve"> – Grievances may be lodged in writing, verbally (at the GRM office), via the project website, or through the dedicated hotline (0800‑555‑777).</w:t>
      </w:r>
    </w:p>
    <w:p>
      <w:pPr>
        <w:pStyle w:val="ListNumber"/>
      </w:pPr>
      <w:r/>
      <w:r>
        <w:rPr>
          <w:b/>
        </w:rPr>
        <w:t>Acknowledgement</w:t>
      </w:r>
      <w:r>
        <w:t xml:space="preserve"> – Within 48 hours of receipt, the complainant receives a written acknowledgment with a reference number.</w:t>
      </w:r>
    </w:p>
    <w:p>
      <w:pPr>
        <w:pStyle w:val="ListNumber"/>
      </w:pPr>
      <w:r/>
      <w:r>
        <w:rPr>
          <w:b/>
        </w:rPr>
        <w:t>Assessment &amp; Response</w:t>
      </w:r>
      <w:r>
        <w:t xml:space="preserve"> – The GRM Committee evaluates the grievance, consults technical staff if required, and provides a substantive response within </w:t>
      </w:r>
      <w:r>
        <w:rPr>
          <w:b/>
        </w:rPr>
        <w:t>15 working days</w:t>
      </w:r>
      <w:r>
        <w:t>.</w:t>
      </w:r>
    </w:p>
    <w:p>
      <w:pPr>
        <w:pStyle w:val="ListNumber"/>
      </w:pPr>
      <w:r/>
      <w:r>
        <w:rPr>
          <w:b/>
        </w:rPr>
        <w:t>Escalation</w:t>
      </w:r>
      <w:r>
        <w:t xml:space="preserve"> – Unresolved issues may be escalated to the County Department of Environment within 30 days of the initial response.</w:t>
      </w:r>
    </w:p>
    <w:p>
      <w:pPr>
        <w:pStyle w:val="ListNumber"/>
      </w:pPr>
      <w:r/>
      <w:r>
        <w:rPr>
          <w:b/>
        </w:rPr>
        <w:t>Record‑keeping</w:t>
      </w:r>
      <w:r>
        <w:t xml:space="preserve"> – All grievances, actions taken, and outcomes are logged in a </w:t>
      </w:r>
      <w:r>
        <w:rPr>
          <w:b/>
        </w:rPr>
        <w:t>GRM Register</w:t>
      </w:r>
      <w:r>
        <w:t xml:space="preserve"> (Annex 6‑C) and reported annually to NEMA as part of the ESMP monitoring reports.</w:t>
      </w:r>
    </w:p>
    <w:p>
      <w:r>
        <w:t>The GRM is publicised through community notice boards, the project website, and during all subsequent Barazas.</w:t>
      </w:r>
    </w:p>
    <w:p>
      <w:r>
        <w:t>---</w:t>
      </w:r>
    </w:p>
    <w:p>
      <w:r>
        <w:t>## 6.6 Ongoing and Future Consultation</w:t>
      </w:r>
    </w:p>
    <w:p>
      <w:pPr>
        <w:pStyle w:val="ListBullet"/>
      </w:pPr>
      <w:r/>
      <w:r>
        <w:rPr>
          <w:b/>
        </w:rPr>
        <w:t>Quarterly Barazas</w:t>
      </w:r>
      <w:r>
        <w:t xml:space="preserve"> – To be held at rotating community venues, ensuring continuous dialogue throughout the 18‑year operational life.</w:t>
      </w:r>
    </w:p>
    <w:p>
      <w:pPr>
        <w:pStyle w:val="ListBullet"/>
      </w:pPr>
      <w:r/>
      <w:r>
        <w:rPr>
          <w:b/>
        </w:rPr>
        <w:t>Annual Stakeholder Review Workshop</w:t>
      </w:r>
      <w:r>
        <w:t xml:space="preserve"> – Jointly organised with the County Environment Office and the Water Resources Authority to assess compliance with the </w:t>
      </w:r>
      <w:r>
        <w:rPr>
          <w:b/>
        </w:rPr>
        <w:t>Water Act 2016</w:t>
      </w:r>
      <w:r>
        <w:t xml:space="preserve"> and the </w:t>
      </w:r>
      <w:r>
        <w:rPr>
          <w:b/>
        </w:rPr>
        <w:t>World Bank ESF</w:t>
      </w:r>
      <w:r>
        <w:t>.</w:t>
      </w:r>
    </w:p>
    <w:p>
      <w:pPr>
        <w:pStyle w:val="ListBullet"/>
      </w:pPr>
      <w:r/>
      <w:r>
        <w:rPr>
          <w:b/>
        </w:rPr>
        <w:t>School‑Based Environmental Education Sessions</w:t>
      </w:r>
      <w:r>
        <w:t xml:space="preserve"> – Conducted in partnership with Gatundu South Academy to raise awareness on dust control and water stewardship.</w:t>
      </w:r>
    </w:p>
    <w:p>
      <w:pPr>
        <w:pStyle w:val="ListBullet"/>
      </w:pPr>
      <w:r/>
      <w:r>
        <w:rPr>
          <w:b/>
        </w:rPr>
        <w:t>Periodic Surveys</w:t>
      </w:r>
      <w:r>
        <w:t xml:space="preserve"> – Household perception surveys every two years to capture evolving community concerns and satisfaction levels.</w:t>
      </w:r>
    </w:p>
    <w:p>
      <w:r>
        <w:t xml:space="preserve">All future engagement activities will be documented in the </w:t>
      </w:r>
      <w:r>
        <w:rPr>
          <w:b/>
        </w:rPr>
        <w:t>Stakeholder Engagement Log</w:t>
      </w:r>
      <w:r>
        <w:t xml:space="preserve"> (Annex 6‑D) and integrated into the ESMP monitoring framework.</w:t>
      </w:r>
    </w:p>
    <w:p>
      <w:r>
        <w:t>---</w:t>
      </w:r>
    </w:p>
    <w:p>
      <w:r>
        <w:t>## 6.7 Conclusions</w:t>
      </w:r>
    </w:p>
    <w:p>
      <w:r>
        <w:t xml:space="preserve">The public participation and stakeholder consultation process for the </w:t>
      </w:r>
      <w:r>
        <w:rPr>
          <w:b/>
        </w:rPr>
        <w:t>Kiuu Quarry &amp; Aggregate Processing Facility</w:t>
      </w:r>
      <w:r>
        <w:t xml:space="preserve"> has been conducted in full compliance with Kenyan environmental legislation and international best practice (World Bank ESF).</w:t>
      </w:r>
    </w:p>
    <w:p>
      <w:pPr>
        <w:pStyle w:val="ListBullet"/>
      </w:pPr>
      <w:r>
        <w:t>A broad spectrum of stakeholders—including vulnerable groups—were identified, consulted, and their concerns systematically recorded.</w:t>
      </w:r>
    </w:p>
    <w:p>
      <w:pPr>
        <w:pStyle w:val="ListBullet"/>
      </w:pPr>
      <w:r>
        <w:t xml:space="preserve">The majority of issues raised relate to </w:t>
      </w:r>
      <w:r>
        <w:rPr>
          <w:b/>
        </w:rPr>
        <w:t>ground vibration, dust, water quality, traffic, and noise</w:t>
      </w:r>
      <w:r>
        <w:t>, all of which have been addressed through concrete, legally‑grounded mitigation measures incorporated into the ESMP.</w:t>
      </w:r>
    </w:p>
    <w:p>
      <w:pPr>
        <w:pStyle w:val="ListBullet"/>
      </w:pPr>
      <w:r>
        <w:t xml:space="preserve">The establishment of a transparent </w:t>
      </w:r>
      <w:r>
        <w:rPr>
          <w:b/>
        </w:rPr>
        <w:t>Grievance Redress Mechanism</w:t>
      </w:r>
      <w:r>
        <w:t xml:space="preserve"> and a schedule of ongoing engagement ensures that the proponent remains accountable and responsive throughout construction, operation, and de‑commissioning phases.</w:t>
      </w:r>
    </w:p>
    <w:p>
      <w:r>
        <w:t xml:space="preserve">The documented outcomes demonstrate that the proponent has taken </w:t>
      </w:r>
      <w:r>
        <w:rPr>
          <w:b/>
        </w:rPr>
        <w:t>reasonable steps</w:t>
      </w:r>
      <w:r>
        <w:t xml:space="preserve"> to obtain </w:t>
      </w:r>
      <w:r>
        <w:rPr>
          <w:b/>
        </w:rPr>
        <w:t>free, prior, and informed participation</w:t>
      </w:r>
      <w:r>
        <w:t xml:space="preserve"> and to integrate community inputs into project design and management. Continued adherence to the ESMP and the GRM will be essential to maintain stakeholder trust and to achieve sustainable project performance.</w:t>
      </w:r>
    </w:p>
    <w:p>
      <w:r>
        <w:br w:type="page"/>
      </w:r>
    </w:p>
    <w:p>
      <w:pPr>
        <w:pStyle w:val="Heading1"/>
      </w:pPr>
      <w:r>
        <w:t>Chapter 7: Anticipated Impacts and Mitigation Measures</w:t>
      </w:r>
    </w:p>
    <w:p>
      <w:r>
        <w:t>## 7.1 Anticipated Environmental and Social Impacts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Impact Category</w:t>
            </w:r>
          </w:p>
        </w:tc>
        <w:tc>
          <w:tcPr>
            <w:tcW w:type="dxa" w:w="1728"/>
          </w:tcPr>
          <w:p>
            <w:r>
              <w:rPr>
                <w:b/>
              </w:rPr>
              <w:t>Baseline Condition</w:t>
            </w:r>
          </w:p>
        </w:tc>
        <w:tc>
          <w:tcPr>
            <w:tcW w:type="dxa" w:w="1728"/>
          </w:tcPr>
          <w:p>
            <w:r>
              <w:rPr>
                <w:b/>
              </w:rPr>
              <w:t>Project‑induced Change</w:t>
            </w:r>
          </w:p>
        </w:tc>
        <w:tc>
          <w:tcPr>
            <w:tcW w:type="dxa" w:w="1728"/>
          </w:tcPr>
          <w:p>
            <w:r>
              <w:rPr>
                <w:b/>
              </w:rPr>
              <w:t>Significance (Low/Moderate/High)</w:t>
            </w:r>
          </w:p>
        </w:tc>
        <w:tc>
          <w:tcPr>
            <w:tcW w:type="dxa" w:w="1728"/>
          </w:tcPr>
          <w:p>
            <w:r>
              <w:rPr>
                <w:b/>
              </w:rPr>
              <w:t>Affected Receptors (≤1 km)</w:t>
            </w:r>
          </w:p>
        </w:tc>
      </w:tr>
      <w:tr>
        <w:tc>
          <w:tcPr>
            <w:tcW w:type="dxa" w:w="1728"/>
          </w:tcPr>
          <w:p>
            <w:r/>
            <w:r>
              <w:rPr>
                <w:b/>
              </w:rPr>
              <w:t>Air Quality (Dust)</w:t>
            </w:r>
            <w:r/>
          </w:p>
        </w:tc>
        <w:tc>
          <w:tcPr>
            <w:tcW w:type="dxa" w:w="1728"/>
          </w:tcPr>
          <w:p>
            <w:r>
              <w:t>PM2.5 = 22 µg/m³; PM10 = 63 µg/m³ (May 2026)</w:t>
            </w:r>
          </w:p>
        </w:tc>
        <w:tc>
          <w:tcPr>
            <w:tcW w:type="dxa" w:w="1728"/>
          </w:tcPr>
          <w:p>
            <w:r>
              <w:t>Generation of respirable dust from primary crushing, screening, and haulage. Potential short‑term exceedance of WHO 24‑hr PM2.5 guideline (25 µg/m³) during peak crushing periods.</w:t>
            </w:r>
          </w:p>
        </w:tc>
        <w:tc>
          <w:tcPr>
            <w:tcW w:type="dxa" w:w="1728"/>
          </w:tcPr>
          <w:p>
            <w:r>
              <w:t>Moderate (temporary)</w:t>
            </w:r>
          </w:p>
        </w:tc>
        <w:tc>
          <w:tcPr>
            <w:tcW w:type="dxa" w:w="1728"/>
          </w:tcPr>
          <w:p>
            <w:r>
              <w:t>Ndarugo Health Centre, Gatundu South Academy, local residents</w:t>
            </w:r>
          </w:p>
        </w:tc>
      </w:tr>
      <w:tr>
        <w:tc>
          <w:tcPr>
            <w:tcW w:type="dxa" w:w="1728"/>
          </w:tcPr>
          <w:p>
            <w:r/>
            <w:r>
              <w:rPr>
                <w:b/>
              </w:rPr>
              <w:t>Noise</w:t>
            </w:r>
            <w:r/>
          </w:p>
        </w:tc>
        <w:tc>
          <w:tcPr>
            <w:tcW w:type="dxa" w:w="1728"/>
          </w:tcPr>
          <w:p>
            <w:r>
              <w:t>Ambient 58 dBA (daytime)</w:t>
            </w:r>
          </w:p>
        </w:tc>
        <w:tc>
          <w:tcPr>
            <w:tcW w:type="dxa" w:w="1728"/>
          </w:tcPr>
          <w:p>
            <w:r>
              <w:t>Operation of crushers, conveyors, diesel generators, and haul trucks. Blasting events generate impulsive noise peaks &gt; 85 dBA at 50 m.</w:t>
            </w:r>
          </w:p>
        </w:tc>
        <w:tc>
          <w:tcPr>
            <w:tcW w:type="dxa" w:w="1728"/>
          </w:tcPr>
          <w:p>
            <w:r>
              <w:t>Moderate (localized)</w:t>
            </w:r>
          </w:p>
        </w:tc>
        <w:tc>
          <w:tcPr>
            <w:tcW w:type="dxa" w:w="1728"/>
          </w:tcPr>
          <w:p>
            <w:r>
              <w:t>Ndarugo Health Centre (740 m), Gatundu South Academy (410 m), Kiuu Trading Centre (310 m)</w:t>
            </w:r>
          </w:p>
        </w:tc>
      </w:tr>
      <w:tr>
        <w:tc>
          <w:tcPr>
            <w:tcW w:type="dxa" w:w="1728"/>
          </w:tcPr>
          <w:p>
            <w:r/>
            <w:r>
              <w:rPr>
                <w:b/>
              </w:rPr>
              <w:t>Ground Vibration</w:t>
            </w:r>
            <w:r/>
          </w:p>
        </w:tc>
        <w:tc>
          <w:tcPr>
            <w:tcW w:type="dxa" w:w="1728"/>
          </w:tcPr>
          <w:p>
            <w:r>
              <w:t>No baseline monitoring; residential structures within 500 m are typical low‑rise masonry.</w:t>
            </w:r>
          </w:p>
        </w:tc>
        <w:tc>
          <w:tcPr>
            <w:tcW w:type="dxa" w:w="1728"/>
          </w:tcPr>
          <w:p>
            <w:r>
              <w:t>Controlled blasting (≈ 2 t per round) will produce peak particle velocity (PPV) up to 5 mm/s at 50 m, decreasing with distance.</w:t>
            </w:r>
          </w:p>
        </w:tc>
        <w:tc>
          <w:tcPr>
            <w:tcW w:type="dxa" w:w="1728"/>
          </w:tcPr>
          <w:p>
            <w:r>
              <w:t>Low‑Moderate (structural)</w:t>
            </w:r>
          </w:p>
        </w:tc>
        <w:tc>
          <w:tcPr>
            <w:tcW w:type="dxa" w:w="1728"/>
          </w:tcPr>
          <w:p>
            <w:r>
              <w:t>Houses within 500 m, especially elderly occupants</w:t>
            </w:r>
          </w:p>
        </w:tc>
      </w:tr>
      <w:tr>
        <w:tc>
          <w:tcPr>
            <w:tcW w:type="dxa" w:w="1728"/>
          </w:tcPr>
          <w:p>
            <w:r/>
            <w:r>
              <w:rPr>
                <w:b/>
              </w:rPr>
              <w:t>Water – Surface</w:t>
            </w:r>
            <w:r/>
          </w:p>
        </w:tc>
        <w:tc>
          <w:tcPr>
            <w:tcW w:type="dxa" w:w="1728"/>
          </w:tcPr>
          <w:p>
            <w:r>
              <w:t>Ndarugo River located 95 m NE; no recorded pollution incidents.</w:t>
            </w:r>
          </w:p>
        </w:tc>
        <w:tc>
          <w:tcPr>
            <w:tcW w:type="dxa" w:w="1728"/>
          </w:tcPr>
          <w:p>
            <w:r>
              <w:t>Potential sediment runoff and accidental spillage of lubricants/chemicals during crushing and washing.</w:t>
            </w:r>
          </w:p>
        </w:tc>
        <w:tc>
          <w:tcPr>
            <w:tcW w:type="dxa" w:w="1728"/>
          </w:tcPr>
          <w:p>
            <w:r>
              <w:t>Moderate (if unmanaged)</w:t>
            </w:r>
          </w:p>
        </w:tc>
        <w:tc>
          <w:tcPr>
            <w:tcW w:type="dxa" w:w="1728"/>
          </w:tcPr>
          <w:p>
            <w:r>
              <w:t>Ndarugo River ecosystem, downstream users</w:t>
            </w:r>
          </w:p>
        </w:tc>
      </w:tr>
      <w:tr>
        <w:tc>
          <w:tcPr>
            <w:tcW w:type="dxa" w:w="1728"/>
          </w:tcPr>
          <w:p>
            <w:r/>
            <w:r>
              <w:rPr>
                <w:b/>
              </w:rPr>
              <w:t>Water – Groundwater</w:t>
            </w:r>
            <w:r/>
          </w:p>
        </w:tc>
        <w:tc>
          <w:tcPr>
            <w:tcW w:type="dxa" w:w="1728"/>
          </w:tcPr>
          <w:p>
            <w:r>
              <w:t>Depth 61 m; on‑site staff borehole at 20 m.</w:t>
            </w:r>
          </w:p>
        </w:tc>
        <w:tc>
          <w:tcPr>
            <w:tcW w:type="dxa" w:w="1728"/>
          </w:tcPr>
          <w:p>
            <w:r>
              <w:t>Risk of contaminant leaching from fuel storage and blasting residues.</w:t>
            </w:r>
          </w:p>
        </w:tc>
        <w:tc>
          <w:tcPr>
            <w:tcW w:type="dxa" w:w="1728"/>
          </w:tcPr>
          <w:p>
            <w:r>
              <w:t>Low (deep aquifer)</w:t>
            </w:r>
          </w:p>
        </w:tc>
        <w:tc>
          <w:tcPr>
            <w:tcW w:type="dxa" w:w="1728"/>
          </w:tcPr>
          <w:p>
            <w:r>
              <w:t>Rockline Staff Borehole, nearby wells</w:t>
            </w:r>
          </w:p>
        </w:tc>
      </w:tr>
      <w:tr>
        <w:tc>
          <w:tcPr>
            <w:tcW w:type="dxa" w:w="1728"/>
          </w:tcPr>
          <w:p>
            <w:r/>
            <w:r>
              <w:rPr>
                <w:b/>
              </w:rPr>
              <w:t>Soil &amp; Land Use</w:t>
            </w:r>
            <w:r/>
          </w:p>
        </w:tc>
        <w:tc>
          <w:tcPr>
            <w:tcW w:type="dxa" w:w="1728"/>
          </w:tcPr>
          <w:p>
            <w:r>
              <w:t>Rocky scrubland / partially disused quarry pit.</w:t>
            </w:r>
          </w:p>
        </w:tc>
        <w:tc>
          <w:tcPr>
            <w:tcW w:type="dxa" w:w="1728"/>
          </w:tcPr>
          <w:p>
            <w:r>
              <w:t>Excavation and stockpiling will disturb ~ 2 ha of native scrubland, creating exposed surfaces prone to erosion.</w:t>
            </w:r>
          </w:p>
        </w:tc>
        <w:tc>
          <w:tcPr>
            <w:tcW w:type="dxa" w:w="1728"/>
          </w:tcPr>
          <w:p>
            <w:r>
              <w:t>Moderate (erosion &amp; habitat loss)</w:t>
            </w:r>
          </w:p>
        </w:tc>
        <w:tc>
          <w:tcPr>
            <w:tcW w:type="dxa" w:w="1728"/>
          </w:tcPr>
          <w:p>
            <w:r>
              <w:t>Kieni Forest Buffer (970 m), local fauna</w:t>
            </w:r>
          </w:p>
        </w:tc>
      </w:tr>
      <w:tr>
        <w:tc>
          <w:tcPr>
            <w:tcW w:type="dxa" w:w="1728"/>
          </w:tcPr>
          <w:p>
            <w:r/>
            <w:r>
              <w:rPr>
                <w:b/>
              </w:rPr>
              <w:t>Biodiversity</w:t>
            </w:r>
            <w:r/>
          </w:p>
        </w:tc>
        <w:tc>
          <w:tcPr>
            <w:tcW w:type="dxa" w:w="1728"/>
          </w:tcPr>
          <w:p>
            <w:r>
              <w:t>Limited vegetation; proximity to Kieni Forest Buffer Zone.</w:t>
            </w:r>
          </w:p>
        </w:tc>
        <w:tc>
          <w:tcPr>
            <w:tcW w:type="dxa" w:w="1728"/>
          </w:tcPr>
          <w:p>
            <w:r>
              <w:t>Loss of scrubland habitat; possible disturbance to small mammals, reptiles, and avian species using the buffer.</w:t>
            </w:r>
          </w:p>
        </w:tc>
        <w:tc>
          <w:tcPr>
            <w:tcW w:type="dxa" w:w="1728"/>
          </w:tcPr>
          <w:p>
            <w:r>
              <w:t>Low‑Moderate</w:t>
            </w:r>
          </w:p>
        </w:tc>
        <w:tc>
          <w:tcPr>
            <w:tcW w:type="dxa" w:w="1728"/>
          </w:tcPr>
          <w:p>
            <w:r>
              <w:t>Wildlife in buffer zone</w:t>
            </w:r>
          </w:p>
        </w:tc>
      </w:tr>
      <w:tr>
        <w:tc>
          <w:tcPr>
            <w:tcW w:type="dxa" w:w="1728"/>
          </w:tcPr>
          <w:p>
            <w:r/>
            <w:r>
              <w:rPr>
                <w:b/>
              </w:rPr>
              <w:t>Traffic &amp; Road Safety</w:t>
            </w:r>
            <w:r/>
          </w:p>
        </w:tc>
        <w:tc>
          <w:tcPr>
            <w:tcW w:type="dxa" w:w="1728"/>
          </w:tcPr>
          <w:p>
            <w:r>
              <w:t>Existing rural road network; current traffic volume low.</w:t>
            </w:r>
          </w:p>
        </w:tc>
        <w:tc>
          <w:tcPr>
            <w:tcW w:type="dxa" w:w="1728"/>
          </w:tcPr>
          <w:p>
            <w:r>
              <w:t xml:space="preserve">Introduction of </w:t>
            </w:r>
            <w:r>
              <w:rPr>
                <w:b/>
              </w:rPr>
              <w:t>[MISSING: TRUCK VOLUME]</w:t>
            </w:r>
            <w:r>
              <w:t xml:space="preserve"> of heavy haul trucks per day; increased road wear and accident risk.</w:t>
            </w:r>
          </w:p>
        </w:tc>
        <w:tc>
          <w:tcPr>
            <w:tcW w:type="dxa" w:w="1728"/>
          </w:tcPr>
          <w:p>
            <w:r>
              <w:t>Moderate</w:t>
            </w:r>
          </w:p>
        </w:tc>
        <w:tc>
          <w:tcPr>
            <w:tcW w:type="dxa" w:w="1728"/>
          </w:tcPr>
          <w:p>
            <w:r>
              <w:t>Kiuu Trading Centre, local commuters</w:t>
            </w:r>
          </w:p>
        </w:tc>
      </w:tr>
      <w:tr>
        <w:tc>
          <w:tcPr>
            <w:tcW w:type="dxa" w:w="1728"/>
          </w:tcPr>
          <w:p>
            <w:r/>
            <w:r>
              <w:rPr>
                <w:b/>
              </w:rPr>
              <w:t>Socio‑Economic</w:t>
            </w:r>
            <w:r/>
          </w:p>
        </w:tc>
        <w:tc>
          <w:tcPr>
            <w:tcW w:type="dxa" w:w="1728"/>
          </w:tcPr>
          <w:p>
            <w:r>
              <w:t>Community relies on small‑scale agriculture, petty trade, and informal labor.</w:t>
            </w:r>
          </w:p>
        </w:tc>
        <w:tc>
          <w:tcPr>
            <w:tcW w:type="dxa" w:w="1728"/>
          </w:tcPr>
          <w:p>
            <w:r>
              <w:t>Creation of ~ 120 direct jobs (construction &amp; operation) and ancillary services; temporary disruption of local traffic and noise.</w:t>
            </w:r>
          </w:p>
        </w:tc>
        <w:tc>
          <w:tcPr>
            <w:tcW w:type="dxa" w:w="1728"/>
          </w:tcPr>
          <w:p>
            <w:r>
              <w:t>Positive (employment) / Negative (temporary disturbance)</w:t>
            </w:r>
          </w:p>
        </w:tc>
        <w:tc>
          <w:tcPr>
            <w:tcW w:type="dxa" w:w="1728"/>
          </w:tcPr>
          <w:p>
            <w:r>
              <w:t>All local residents, especially vulnerable groups (elderly)</w:t>
            </w:r>
          </w:p>
        </w:tc>
      </w:tr>
      <w:tr>
        <w:tc>
          <w:tcPr>
            <w:tcW w:type="dxa" w:w="1728"/>
          </w:tcPr>
          <w:p>
            <w:r/>
            <w:r>
              <w:rPr>
                <w:b/>
              </w:rPr>
              <w:t>Public Health</w:t>
            </w:r>
            <w:r/>
          </w:p>
        </w:tc>
        <w:tc>
          <w:tcPr>
            <w:tcW w:type="dxa" w:w="1728"/>
          </w:tcPr>
          <w:p>
            <w:r>
              <w:t>Baseline PM2.5 within WHO guideline; no known occupational health issues.</w:t>
            </w:r>
          </w:p>
        </w:tc>
        <w:tc>
          <w:tcPr>
            <w:tcW w:type="dxa" w:w="1728"/>
          </w:tcPr>
          <w:p>
            <w:r>
              <w:t>Exposure to dust and noise may increase respiratory irritation and stress, particularly for school children and patients at Ndarugo Health Centre.</w:t>
            </w:r>
          </w:p>
        </w:tc>
        <w:tc>
          <w:tcPr>
            <w:tcW w:type="dxa" w:w="1728"/>
          </w:tcPr>
          <w:p>
            <w:r>
              <w:t>Low‑Moderate</w:t>
            </w:r>
          </w:p>
        </w:tc>
        <w:tc>
          <w:tcPr>
            <w:tcW w:type="dxa" w:w="1728"/>
          </w:tcPr>
          <w:p>
            <w:r>
              <w:t>School children, patients, elderly</w:t>
            </w:r>
          </w:p>
        </w:tc>
      </w:tr>
      <w:tr>
        <w:tc>
          <w:tcPr>
            <w:tcW w:type="dxa" w:w="1728"/>
          </w:tcPr>
          <w:p>
            <w:r/>
            <w:r>
              <w:rPr>
                <w:b/>
              </w:rPr>
              <w:t>Cultural Heritage</w:t>
            </w:r>
            <w:r/>
          </w:p>
        </w:tc>
        <w:tc>
          <w:tcPr>
            <w:tcW w:type="dxa" w:w="1728"/>
          </w:tcPr>
          <w:p>
            <w:r>
              <w:t>No documented heritage sites within the project footprint.</w:t>
            </w:r>
          </w:p>
        </w:tc>
        <w:tc>
          <w:tcPr>
            <w:tcW w:type="dxa" w:w="1728"/>
          </w:tcPr>
          <w:p>
            <w:r>
              <w:t>Minimal risk; however, inadvertent disturbance of undocumented artefacts possible.</w:t>
            </w:r>
          </w:p>
        </w:tc>
        <w:tc>
          <w:tcPr>
            <w:tcW w:type="dxa" w:w="1728"/>
          </w:tcPr>
          <w:p>
            <w:r>
              <w:t>Low</w:t>
            </w:r>
          </w:p>
        </w:tc>
        <w:tc>
          <w:tcPr>
            <w:tcW w:type="dxa" w:w="1728"/>
          </w:tcPr>
          <w:p>
            <w:r>
              <w:t>Local community</w:t>
            </w:r>
          </w:p>
        </w:tc>
      </w:tr>
    </w:tbl>
    <w:p>
      <w:r>
        <w:t xml:space="preserve">&gt; </w:t>
      </w:r>
      <w:r>
        <w:rPr>
          <w:b/>
        </w:rPr>
        <w:t>Note:</w:t>
      </w:r>
      <w:r>
        <w:t xml:space="preserve"> Engineering specifications such as crushing capacity, truck fleet size, explosive type, and generator rating are not provided in the approved project documentation. Placeholders have been inserted where these data are required for quantitative impact assessment.</w:t>
      </w:r>
    </w:p>
    <w:p>
      <w:r>
        <w:t>---</w:t>
      </w:r>
    </w:p>
    <w:p>
      <w:r>
        <w:t>## 7.2 Mitigation Measures (Integrated into the ESMP)</w:t>
      </w:r>
    </w:p>
    <w:p>
      <w:r>
        <w:t>### 7.2.1 Air Quality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Implementation Responsibility</w:t>
            </w:r>
          </w:p>
        </w:tc>
        <w:tc>
          <w:tcPr>
            <w:tcW w:type="dxa" w:w="2160"/>
          </w:tcPr>
          <w:p>
            <w:r>
              <w:rPr>
                <w:b/>
              </w:rPr>
              <w:t>Monitoring &amp; Compliance</w:t>
            </w:r>
          </w:p>
        </w:tc>
      </w:tr>
      <w:tr>
        <w:tc>
          <w:tcPr>
            <w:tcW w:type="dxa" w:w="2160"/>
          </w:tcPr>
          <w:p>
            <w:r/>
            <w:r>
              <w:rPr>
                <w:b/>
              </w:rPr>
              <w:t>Dust Suppression at Crushers</w:t>
            </w:r>
            <w:r/>
          </w:p>
        </w:tc>
        <w:tc>
          <w:tcPr>
            <w:tcW w:type="dxa" w:w="2160"/>
          </w:tcPr>
          <w:p>
            <w:r>
              <w:t>Continuous water spray on crushing and screening equipment; use of mist cannons at transfer points.</w:t>
            </w:r>
          </w:p>
        </w:tc>
        <w:tc>
          <w:tcPr>
            <w:tcW w:type="dxa" w:w="2160"/>
          </w:tcPr>
          <w:p>
            <w:r>
              <w:t>Site Operations Manager</w:t>
            </w:r>
          </w:p>
        </w:tc>
        <w:tc>
          <w:tcPr>
            <w:tcW w:type="dxa" w:w="2160"/>
          </w:tcPr>
          <w:p>
            <w:r>
              <w:t xml:space="preserve">Daily visual inspection; weekly PM10/PM2.5 monitoring at perimeter (per </w:t>
            </w:r>
            <w:r>
              <w:rPr>
                <w:b/>
              </w:rPr>
              <w:t>[MISSING: CRUSHING CAPACITY]</w:t>
            </w:r>
            <w:r>
              <w:t>).</w:t>
            </w:r>
          </w:p>
        </w:tc>
      </w:tr>
      <w:tr>
        <w:tc>
          <w:tcPr>
            <w:tcW w:type="dxa" w:w="2160"/>
          </w:tcPr>
          <w:p>
            <w:r/>
            <w:r>
              <w:rPr>
                <w:b/>
              </w:rPr>
              <w:t>Enclosed Conveyors</w:t>
            </w:r>
            <w:r/>
          </w:p>
        </w:tc>
        <w:tc>
          <w:tcPr>
            <w:tcW w:type="dxa" w:w="2160"/>
          </w:tcPr>
          <w:p>
            <w:r>
              <w:t>Full enclosure of all conveyors transporting crushed material; sealed loading bays.</w:t>
            </w:r>
          </w:p>
        </w:tc>
        <w:tc>
          <w:tcPr>
            <w:tcW w:type="dxa" w:w="2160"/>
          </w:tcPr>
          <w:p>
            <w:r>
              <w:t>Engineering Team</w:t>
            </w:r>
          </w:p>
        </w:tc>
        <w:tc>
          <w:tcPr>
            <w:tcW w:type="dxa" w:w="2160"/>
          </w:tcPr>
          <w:p>
            <w:r>
              <w:t>Quarterly leak checks; monthly dust deposition sampling.</w:t>
            </w:r>
          </w:p>
        </w:tc>
      </w:tr>
      <w:tr>
        <w:tc>
          <w:tcPr>
            <w:tcW w:type="dxa" w:w="2160"/>
          </w:tcPr>
          <w:p>
            <w:r/>
            <w:r>
              <w:rPr>
                <w:b/>
              </w:rPr>
              <w:t>Perimeter Tree Buffer</w:t>
            </w:r>
            <w:r/>
          </w:p>
        </w:tc>
        <w:tc>
          <w:tcPr>
            <w:tcW w:type="dxa" w:w="2160"/>
          </w:tcPr>
          <w:p>
            <w:r>
              <w:t>Planting of fast‑growing indigenous species along the 30 m perimeter to act as a windbreak.</w:t>
            </w:r>
          </w:p>
        </w:tc>
        <w:tc>
          <w:tcPr>
            <w:tcW w:type="dxa" w:w="2160"/>
          </w:tcPr>
          <w:p>
            <w:r>
              <w:t>Community Liaison Officer (CLO)</w:t>
            </w:r>
          </w:p>
        </w:tc>
        <w:tc>
          <w:tcPr>
            <w:tcW w:type="dxa" w:w="2160"/>
          </w:tcPr>
          <w:p>
            <w:r>
              <w:t>Bi‑annual tree survival survey; visual dust drift assessment.</w:t>
            </w:r>
          </w:p>
        </w:tc>
      </w:tr>
      <w:tr>
        <w:tc>
          <w:tcPr>
            <w:tcW w:type="dxa" w:w="2160"/>
          </w:tcPr>
          <w:p>
            <w:r/>
            <w:r>
              <w:rPr>
                <w:b/>
              </w:rPr>
              <w:t>Vehicle Wheel Wash</w:t>
            </w:r>
            <w:r/>
          </w:p>
        </w:tc>
        <w:tc>
          <w:tcPr>
            <w:tcW w:type="dxa" w:w="2160"/>
          </w:tcPr>
          <w:p>
            <w:r>
              <w:t>Installation of a wheel‑wash station at the haul‑road entry/exit to prevent road dust.</w:t>
            </w:r>
          </w:p>
        </w:tc>
        <w:tc>
          <w:tcPr>
            <w:tcW w:type="dxa" w:w="2160"/>
          </w:tcPr>
          <w:p>
            <w:r>
              <w:t>Logistics Supervisor</w:t>
            </w:r>
          </w:p>
        </w:tc>
        <w:tc>
          <w:tcPr>
            <w:tcW w:type="dxa" w:w="2160"/>
          </w:tcPr>
          <w:p>
            <w:r>
              <w:t>Daily log of wash cycles; monthly road dust sampling.</w:t>
            </w:r>
          </w:p>
        </w:tc>
      </w:tr>
      <w:tr>
        <w:tc>
          <w:tcPr>
            <w:tcW w:type="dxa" w:w="2160"/>
          </w:tcPr>
          <w:p>
            <w:r/>
            <w:r>
              <w:rPr>
                <w:b/>
              </w:rPr>
              <w:t>Compliance with EMCA 1999 &amp; WHO Guidelines</w:t>
            </w:r>
            <w:r/>
          </w:p>
        </w:tc>
        <w:tc>
          <w:tcPr>
            <w:tcW w:type="dxa" w:w="2160"/>
          </w:tcPr>
          <w:p>
            <w:r>
              <w:t>All dust control actions shall meet the standards set out in the Environmental Management and Coordination Act (EMCA) 1999, Part III, and WHO 2021 Air Quality Guidelines.</w:t>
            </w:r>
          </w:p>
        </w:tc>
        <w:tc>
          <w:tcPr>
            <w:tcW w:type="dxa" w:w="2160"/>
          </w:tcPr>
          <w:p>
            <w:r>
              <w:t>ESMP Coordinator</w:t>
            </w:r>
          </w:p>
        </w:tc>
        <w:tc>
          <w:tcPr>
            <w:tcW w:type="dxa" w:w="2160"/>
          </w:tcPr>
          <w:p>
            <w:r>
              <w:t>Annual audit by independent consultant.</w:t>
            </w:r>
          </w:p>
        </w:tc>
      </w:tr>
    </w:tbl>
    <w:p>
      <w:r>
        <w:t>### 7.2.2 Noise and Vibration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Responsibility</w:t>
            </w:r>
          </w:p>
        </w:tc>
        <w:tc>
          <w:tcPr>
            <w:tcW w:type="dxa" w:w="2160"/>
          </w:tcPr>
          <w:p>
            <w:r>
              <w:rPr>
                <w:b/>
              </w:rPr>
              <w:t>Monitoring</w:t>
            </w:r>
          </w:p>
        </w:tc>
      </w:tr>
      <w:tr>
        <w:tc>
          <w:tcPr>
            <w:tcW w:type="dxa" w:w="2160"/>
          </w:tcPr>
          <w:p>
            <w:r/>
            <w:r>
              <w:rPr>
                <w:b/>
              </w:rPr>
              <w:t>Operational Time Window</w:t>
            </w:r>
            <w:r/>
          </w:p>
        </w:tc>
        <w:tc>
          <w:tcPr>
            <w:tcW w:type="dxa" w:w="2160"/>
          </w:tcPr>
          <w:p>
            <w:r>
              <w:t>All noisy activities (crushing, loading, blasting) limited to 08:00‑17:00, Monday‑Friday.</w:t>
            </w:r>
          </w:p>
        </w:tc>
        <w:tc>
          <w:tcPr>
            <w:tcW w:type="dxa" w:w="2160"/>
          </w:tcPr>
          <w:p>
            <w:r>
              <w:t>Site Manager</w:t>
            </w:r>
          </w:p>
        </w:tc>
        <w:tc>
          <w:tcPr>
            <w:tcW w:type="dxa" w:w="2160"/>
          </w:tcPr>
          <w:p>
            <w:r>
              <w:t>Noise logbook; random spot checks.</w:t>
            </w:r>
          </w:p>
        </w:tc>
      </w:tr>
      <w:tr>
        <w:tc>
          <w:tcPr>
            <w:tcW w:type="dxa" w:w="2160"/>
          </w:tcPr>
          <w:p>
            <w:r/>
            <w:r>
              <w:rPr>
                <w:b/>
              </w:rPr>
              <w:t>Acoustic Enclosures &amp; Mufflers</w:t>
            </w:r>
            <w:r/>
          </w:p>
        </w:tc>
        <w:tc>
          <w:tcPr>
            <w:tcW w:type="dxa" w:w="2160"/>
          </w:tcPr>
          <w:p>
            <w:r>
              <w:t>Installation of sound‑attenuating enclosures around crushers; fitting of mufflers on diesel generators (</w:t>
            </w:r>
            <w:r>
              <w:rPr>
                <w:b/>
              </w:rPr>
              <w:t>[MISSING: GENERATOR SIZE]</w:t>
            </w:r>
            <w:r>
              <w:t>).</w:t>
            </w:r>
          </w:p>
        </w:tc>
        <w:tc>
          <w:tcPr>
            <w:tcW w:type="dxa" w:w="2160"/>
          </w:tcPr>
          <w:p>
            <w:r>
              <w:t>Maintenance Engineer</w:t>
            </w:r>
          </w:p>
        </w:tc>
        <w:tc>
          <w:tcPr>
            <w:tcW w:type="dxa" w:w="2160"/>
          </w:tcPr>
          <w:p>
            <w:r>
              <w:t>Quarterly sound level surveys at 200 m radius; compliance with NEMA Noise Regulation (2009).</w:t>
            </w:r>
          </w:p>
        </w:tc>
      </w:tr>
      <w:tr>
        <w:tc>
          <w:tcPr>
            <w:tcW w:type="dxa" w:w="2160"/>
          </w:tcPr>
          <w:p>
            <w:r/>
            <w:r>
              <w:rPr>
                <w:b/>
              </w:rPr>
              <w:t>Blasting Vibration Limits</w:t>
            </w:r>
            <w:r/>
          </w:p>
        </w:tc>
        <w:tc>
          <w:tcPr>
            <w:tcW w:type="dxa" w:w="2160"/>
          </w:tcPr>
          <w:p>
            <w:r>
              <w:t xml:space="preserve">Pre‑blast structural surveys for homes within 500 m; charge per blast limited to </w:t>
            </w:r>
            <w:r>
              <w:rPr>
                <w:b/>
              </w:rPr>
              <w:t>[MISSING: EXPLOSIVE TYPE]</w:t>
            </w:r>
            <w:r>
              <w:t xml:space="preserve"> not exceeding KS 2003 PPV limit of 5 mm/s at 50 m.</w:t>
            </w:r>
          </w:p>
        </w:tc>
        <w:tc>
          <w:tcPr>
            <w:tcW w:type="dxa" w:w="2160"/>
          </w:tcPr>
          <w:p>
            <w:r>
              <w:t>Blasting Contractor (certified)</w:t>
            </w:r>
          </w:p>
        </w:tc>
        <w:tc>
          <w:tcPr>
            <w:tcW w:type="dxa" w:w="2160"/>
          </w:tcPr>
          <w:p>
            <w:r>
              <w:t>Post‑blast vibration monitoring using geophones; immediate reporting of exceedances.</w:t>
            </w:r>
          </w:p>
        </w:tc>
      </w:tr>
      <w:tr>
        <w:tc>
          <w:tcPr>
            <w:tcW w:type="dxa" w:w="2160"/>
          </w:tcPr>
          <w:p>
            <w:r/>
            <w:r>
              <w:rPr>
                <w:b/>
              </w:rPr>
              <w:t>Community Notification</w:t>
            </w:r>
            <w:r/>
          </w:p>
        </w:tc>
        <w:tc>
          <w:tcPr>
            <w:tcW w:type="dxa" w:w="2160"/>
          </w:tcPr>
          <w:p>
            <w:r>
              <w:t>Advance notice (minimum 48 h) to nearby schools, health centre, and church before blasting.</w:t>
            </w:r>
          </w:p>
        </w:tc>
        <w:tc>
          <w:tcPr>
            <w:tcW w:type="dxa" w:w="2160"/>
          </w:tcPr>
          <w:p>
            <w:r>
              <w:t>Community Relations Officer</w:t>
            </w:r>
          </w:p>
        </w:tc>
        <w:tc>
          <w:tcPr>
            <w:tcW w:type="dxa" w:w="2160"/>
          </w:tcPr>
          <w:p>
            <w:r>
              <w:t>Record of notifications; feedback log.</w:t>
            </w:r>
          </w:p>
        </w:tc>
      </w:tr>
      <w:tr>
        <w:tc>
          <w:tcPr>
            <w:tcW w:type="dxa" w:w="2160"/>
          </w:tcPr>
          <w:p>
            <w:r/>
            <w:r>
              <w:rPr>
                <w:b/>
              </w:rPr>
              <w:t>Personal Protective Equipment (PPE)</w:t>
            </w:r>
            <w:r/>
          </w:p>
        </w:tc>
        <w:tc>
          <w:tcPr>
            <w:tcW w:type="dxa" w:w="2160"/>
          </w:tcPr>
          <w:p>
            <w:r>
              <w:t>Provision of hearing protection for all on‑site workers and contractors.</w:t>
            </w:r>
          </w:p>
        </w:tc>
        <w:tc>
          <w:tcPr>
            <w:tcW w:type="dxa" w:w="2160"/>
          </w:tcPr>
          <w:p>
            <w:r>
              <w:t>HSE Officer</w:t>
            </w:r>
          </w:p>
        </w:tc>
        <w:tc>
          <w:tcPr>
            <w:tcW w:type="dxa" w:w="2160"/>
          </w:tcPr>
          <w:p>
            <w:r>
              <w:t>Monthly PPE compliance audit.</w:t>
            </w:r>
          </w:p>
        </w:tc>
      </w:tr>
    </w:tbl>
    <w:p>
      <w:r>
        <w:t>### 7.2.3 Water Resources Protection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Responsibility</w:t>
            </w:r>
          </w:p>
        </w:tc>
        <w:tc>
          <w:tcPr>
            <w:tcW w:type="dxa" w:w="2160"/>
          </w:tcPr>
          <w:p>
            <w:r>
              <w:rPr>
                <w:b/>
              </w:rPr>
              <w:t>Monitoring</w:t>
            </w:r>
          </w:p>
        </w:tc>
      </w:tr>
      <w:tr>
        <w:tc>
          <w:tcPr>
            <w:tcW w:type="dxa" w:w="2160"/>
          </w:tcPr>
          <w:p>
            <w:r/>
            <w:r>
              <w:rPr>
                <w:b/>
              </w:rPr>
              <w:t>30 m No‑Disturbance Buffer</w:t>
            </w:r>
            <w:r/>
          </w:p>
        </w:tc>
        <w:tc>
          <w:tcPr>
            <w:tcW w:type="dxa" w:w="2160"/>
          </w:tcPr>
          <w:p>
            <w:r>
              <w:t>No excavation, stockpiling, or equipment placement within 30 m of Ndarugo River bank.</w:t>
            </w:r>
          </w:p>
        </w:tc>
        <w:tc>
          <w:tcPr>
            <w:tcW w:type="dxa" w:w="2160"/>
          </w:tcPr>
          <w:p>
            <w:r>
              <w:t>Site Planner</w:t>
            </w:r>
          </w:p>
        </w:tc>
        <w:tc>
          <w:tcPr>
            <w:tcW w:type="dxa" w:w="2160"/>
          </w:tcPr>
          <w:p>
            <w:r>
              <w:t>Visual inspections; GIS verification.</w:t>
            </w:r>
          </w:p>
        </w:tc>
      </w:tr>
      <w:tr>
        <w:tc>
          <w:tcPr>
            <w:tcW w:type="dxa" w:w="2160"/>
          </w:tcPr>
          <w:p>
            <w:r/>
            <w:r>
              <w:rPr>
                <w:b/>
              </w:rPr>
              <w:t>Sediment Traps &amp; Silt Fences</w:t>
            </w:r>
            <w:r/>
          </w:p>
        </w:tc>
        <w:tc>
          <w:tcPr>
            <w:tcW w:type="dxa" w:w="2160"/>
          </w:tcPr>
          <w:p>
            <w:r>
              <w:t>Installation of sedimentation ponds and silt fences at all runoff points; regular de‑watering.</w:t>
            </w:r>
          </w:p>
        </w:tc>
        <w:tc>
          <w:tcPr>
            <w:tcW w:type="dxa" w:w="2160"/>
          </w:tcPr>
          <w:p>
            <w:r>
              <w:t>Drainage Engineer</w:t>
            </w:r>
          </w:p>
        </w:tc>
        <w:tc>
          <w:tcPr>
            <w:tcW w:type="dxa" w:w="2160"/>
          </w:tcPr>
          <w:p>
            <w:r>
              <w:t>Weekly turbidity checks of runoff water; monthly water quality sampling (TSS, pH, oil &amp; grease) upstream &amp; downstream.</w:t>
            </w:r>
          </w:p>
        </w:tc>
      </w:tr>
      <w:tr>
        <w:tc>
          <w:tcPr>
            <w:tcW w:type="dxa" w:w="2160"/>
          </w:tcPr>
          <w:p>
            <w:r/>
            <w:r>
              <w:rPr>
                <w:b/>
              </w:rPr>
              <w:t>Spill Containment</w:t>
            </w:r>
            <w:r/>
          </w:p>
        </w:tc>
        <w:tc>
          <w:tcPr>
            <w:tcW w:type="dxa" w:w="2160"/>
          </w:tcPr>
          <w:p>
            <w:r>
              <w:t>Secondary containment (bunds) around fuel storage, lubricants, and blasting stores; spill kits at strategic locations.</w:t>
            </w:r>
          </w:p>
        </w:tc>
        <w:tc>
          <w:tcPr>
            <w:tcW w:type="dxa" w:w="2160"/>
          </w:tcPr>
          <w:p>
            <w:r>
              <w:t>Environmental Officer</w:t>
            </w:r>
          </w:p>
        </w:tc>
        <w:tc>
          <w:tcPr>
            <w:tcW w:type="dxa" w:w="2160"/>
          </w:tcPr>
          <w:p>
            <w:r>
              <w:t>Monthly inspection of bund integrity; incident log.</w:t>
            </w:r>
          </w:p>
        </w:tc>
      </w:tr>
      <w:tr>
        <w:tc>
          <w:tcPr>
            <w:tcW w:type="dxa" w:w="2160"/>
          </w:tcPr>
          <w:p>
            <w:r/>
            <w:r>
              <w:rPr>
                <w:b/>
              </w:rPr>
              <w:t>Groundwater Protection</w:t>
            </w:r>
            <w:r/>
          </w:p>
        </w:tc>
        <w:tc>
          <w:tcPr>
            <w:tcW w:type="dxa" w:w="2160"/>
          </w:tcPr>
          <w:p>
            <w:r>
              <w:t>Use of low‑leakage fuel tanks; prohibition of open‑pit dewatering near the staff borehole.</w:t>
            </w:r>
          </w:p>
        </w:tc>
        <w:tc>
          <w:tcPr>
            <w:tcW w:type="dxa" w:w="2160"/>
          </w:tcPr>
          <w:p>
            <w:r>
              <w:t>HSE Officer</w:t>
            </w:r>
          </w:p>
        </w:tc>
        <w:tc>
          <w:tcPr>
            <w:tcW w:type="dxa" w:w="2160"/>
          </w:tcPr>
          <w:p>
            <w:r>
              <w:t>Quarterly groundwater sampling (nitrates, hydrocarbons) at staff borehole.</w:t>
            </w:r>
          </w:p>
        </w:tc>
      </w:tr>
      <w:tr>
        <w:tc>
          <w:tcPr>
            <w:tcW w:type="dxa" w:w="2160"/>
          </w:tcPr>
          <w:p>
            <w:r/>
            <w:r>
              <w:rPr>
                <w:b/>
              </w:rPr>
              <w:t>Compliance with Water Act 2016 &amp; NEMA Water Quality Standards</w:t>
            </w:r>
            <w:r/>
          </w:p>
        </w:tc>
        <w:tc>
          <w:tcPr>
            <w:tcW w:type="dxa" w:w="2160"/>
          </w:tcPr>
          <w:p>
            <w:r>
              <w:t>All discharge must meet the Water Act 2016 prescribed limits for surface water.</w:t>
            </w:r>
          </w:p>
        </w:tc>
        <w:tc>
          <w:tcPr>
            <w:tcW w:type="dxa" w:w="2160"/>
          </w:tcPr>
          <w:p>
            <w:r>
              <w:t>ESMP Coordinator</w:t>
            </w:r>
          </w:p>
        </w:tc>
        <w:tc>
          <w:tcPr>
            <w:tcW w:type="dxa" w:w="2160"/>
          </w:tcPr>
          <w:p>
            <w:r>
              <w:t>Annual water quality audit; submission of results to NEMA.</w:t>
            </w:r>
          </w:p>
        </w:tc>
      </w:tr>
    </w:tbl>
    <w:p>
      <w:r>
        <w:t>### 7.2.4 Soil Conservation &amp; Biodiversity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Responsibility</w:t>
            </w:r>
          </w:p>
        </w:tc>
        <w:tc>
          <w:tcPr>
            <w:tcW w:type="dxa" w:w="2160"/>
          </w:tcPr>
          <w:p>
            <w:r>
              <w:rPr>
                <w:b/>
              </w:rPr>
              <w:t>Monitoring</w:t>
            </w:r>
          </w:p>
        </w:tc>
      </w:tr>
      <w:tr>
        <w:tc>
          <w:tcPr>
            <w:tcW w:type="dxa" w:w="2160"/>
          </w:tcPr>
          <w:p>
            <w:r/>
            <w:r>
              <w:rPr>
                <w:b/>
              </w:rPr>
              <w:t>Erosion Control</w:t>
            </w:r>
            <w:r/>
          </w:p>
        </w:tc>
        <w:tc>
          <w:tcPr>
            <w:tcW w:type="dxa" w:w="2160"/>
          </w:tcPr>
          <w:p>
            <w:r>
              <w:t>Installation of geotextile mats on exposed slopes; re‑vegetation of disturbed areas within 30 days.</w:t>
            </w:r>
          </w:p>
        </w:tc>
        <w:tc>
          <w:tcPr>
            <w:tcW w:type="dxa" w:w="2160"/>
          </w:tcPr>
          <w:p>
            <w:r>
              <w:t>Site Rehabilitation Team</w:t>
            </w:r>
          </w:p>
        </w:tc>
        <w:tc>
          <w:tcPr>
            <w:tcW w:type="dxa" w:w="2160"/>
          </w:tcPr>
          <w:p>
            <w:r>
              <w:t>Bi‑monthly erosion spot‑checks; photographic documentation.</w:t>
            </w:r>
          </w:p>
        </w:tc>
      </w:tr>
      <w:tr>
        <w:tc>
          <w:tcPr>
            <w:tcW w:type="dxa" w:w="2160"/>
          </w:tcPr>
          <w:p>
            <w:r/>
            <w:r>
              <w:rPr>
                <w:b/>
              </w:rPr>
              <w:t>Habitat Restoration</w:t>
            </w:r>
            <w:r/>
          </w:p>
        </w:tc>
        <w:tc>
          <w:tcPr>
            <w:tcW w:type="dxa" w:w="2160"/>
          </w:tcPr>
          <w:p>
            <w:r>
              <w:t>After quarrying, back‑filling with selected over‑burden and re‑establishment of native scrubland to connect with Kieni Forest Buffer.</w:t>
            </w:r>
          </w:p>
        </w:tc>
        <w:tc>
          <w:tcPr>
            <w:tcW w:type="dxa" w:w="2160"/>
          </w:tcPr>
          <w:p>
            <w:r>
              <w:t>Landscape Architect</w:t>
            </w:r>
          </w:p>
        </w:tc>
        <w:tc>
          <w:tcPr>
            <w:tcW w:type="dxa" w:w="2160"/>
          </w:tcPr>
          <w:p>
            <w:r>
              <w:t>Annual biodiversity survey (flora &amp; fauna) in restored zones.</w:t>
            </w:r>
          </w:p>
        </w:tc>
      </w:tr>
      <w:tr>
        <w:tc>
          <w:tcPr>
            <w:tcW w:type="dxa" w:w="2160"/>
          </w:tcPr>
          <w:p>
            <w:r/>
            <w:r>
              <w:rPr>
                <w:b/>
              </w:rPr>
              <w:t>Wildlife Buffer</w:t>
            </w:r>
            <w:r/>
          </w:p>
        </w:tc>
        <w:tc>
          <w:tcPr>
            <w:tcW w:type="dxa" w:w="2160"/>
          </w:tcPr>
          <w:p>
            <w:r>
              <w:t>No night‑time operations within 200 m of the forest buffer to minimise disturbance to nocturnal species.</w:t>
            </w:r>
          </w:p>
        </w:tc>
        <w:tc>
          <w:tcPr>
            <w:tcW w:type="dxa" w:w="2160"/>
          </w:tcPr>
          <w:p>
            <w:r>
              <w:t>Operations Manager</w:t>
            </w:r>
          </w:p>
        </w:tc>
        <w:tc>
          <w:tcPr>
            <w:tcW w:type="dxa" w:w="2160"/>
          </w:tcPr>
          <w:p>
            <w:r>
              <w:t>Night‑time noise &amp; light monitoring; incident reporting.</w:t>
            </w:r>
          </w:p>
        </w:tc>
      </w:tr>
      <w:tr>
        <w:tc>
          <w:tcPr>
            <w:tcW w:type="dxa" w:w="2160"/>
          </w:tcPr>
          <w:p>
            <w:r/>
            <w:r>
              <w:rPr>
                <w:b/>
              </w:rPr>
              <w:t>Invasive Species Management</w:t>
            </w:r>
            <w:r/>
          </w:p>
        </w:tc>
        <w:tc>
          <w:tcPr>
            <w:tcW w:type="dxa" w:w="2160"/>
          </w:tcPr>
          <w:p>
            <w:r>
              <w:t>Regular inspection for invasive plants; removal and proper disposal.</w:t>
            </w:r>
          </w:p>
        </w:tc>
        <w:tc>
          <w:tcPr>
            <w:tcW w:type="dxa" w:w="2160"/>
          </w:tcPr>
          <w:p>
            <w:r>
              <w:t>Environmental Officer</w:t>
            </w:r>
          </w:p>
        </w:tc>
        <w:tc>
          <w:tcPr>
            <w:tcW w:type="dxa" w:w="2160"/>
          </w:tcPr>
          <w:p>
            <w:r>
              <w:t>Quarterly invasive species register.</w:t>
            </w:r>
          </w:p>
        </w:tc>
      </w:tr>
    </w:tbl>
    <w:p>
      <w:r>
        <w:t>### 7.2.5 Traffic Management &amp; Road Safety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Responsibility</w:t>
            </w:r>
          </w:p>
        </w:tc>
        <w:tc>
          <w:tcPr>
            <w:tcW w:type="dxa" w:w="2160"/>
          </w:tcPr>
          <w:p>
            <w:r>
              <w:rPr>
                <w:b/>
              </w:rPr>
              <w:t>Monitoring</w:t>
            </w:r>
          </w:p>
        </w:tc>
      </w:tr>
      <w:tr>
        <w:tc>
          <w:tcPr>
            <w:tcW w:type="dxa" w:w="2160"/>
          </w:tcPr>
          <w:p>
            <w:r/>
            <w:r>
              <w:rPr>
                <w:b/>
              </w:rPr>
              <w:t>Alternate Haul Route</w:t>
            </w:r>
            <w:r/>
          </w:p>
        </w:tc>
        <w:tc>
          <w:tcPr>
            <w:tcW w:type="dxa" w:w="2160"/>
          </w:tcPr>
          <w:p>
            <w:r>
              <w:t>Designated haul road bypasses Kiuu Trading Centre; route reinforced with gravel surfacing.</w:t>
            </w:r>
          </w:p>
        </w:tc>
        <w:tc>
          <w:tcPr>
            <w:tcW w:type="dxa" w:w="2160"/>
          </w:tcPr>
          <w:p>
            <w:r>
              <w:t>Transport Planner</w:t>
            </w:r>
          </w:p>
        </w:tc>
        <w:tc>
          <w:tcPr>
            <w:tcW w:type="dxa" w:w="2160"/>
          </w:tcPr>
          <w:p>
            <w:r>
              <w:t>Weekly traffic count; road condition inspections.</w:t>
            </w:r>
          </w:p>
        </w:tc>
      </w:tr>
      <w:tr>
        <w:tc>
          <w:tcPr>
            <w:tcW w:type="dxa" w:w="2160"/>
          </w:tcPr>
          <w:p>
            <w:r/>
            <w:r>
              <w:rPr>
                <w:b/>
              </w:rPr>
              <w:t>Truck Scheduling</w:t>
            </w:r>
            <w:r/>
          </w:p>
        </w:tc>
        <w:tc>
          <w:tcPr>
            <w:tcW w:type="dxa" w:w="2160"/>
          </w:tcPr>
          <w:p>
            <w:r>
              <w:t xml:space="preserve">Staggered dispatch to avoid peak community traffic periods; maximum of </w:t>
            </w:r>
            <w:r>
              <w:rPr>
                <w:b/>
              </w:rPr>
              <w:t>[MISSING: TRUCK VOLUME]</w:t>
            </w:r>
            <w:r>
              <w:t xml:space="preserve"> trucks per hour.</w:t>
            </w:r>
          </w:p>
        </w:tc>
        <w:tc>
          <w:tcPr>
            <w:tcW w:type="dxa" w:w="2160"/>
          </w:tcPr>
          <w:p>
            <w:r>
              <w:t>Logistics Supervisor</w:t>
            </w:r>
          </w:p>
        </w:tc>
        <w:tc>
          <w:tcPr>
            <w:tcW w:type="dxa" w:w="2160"/>
          </w:tcPr>
          <w:p>
            <w:r>
              <w:t>Daily dispatch logs; compliance review.</w:t>
            </w:r>
          </w:p>
        </w:tc>
      </w:tr>
      <w:tr>
        <w:tc>
          <w:tcPr>
            <w:tcW w:type="dxa" w:w="2160"/>
          </w:tcPr>
          <w:p>
            <w:r/>
            <w:r>
              <w:rPr>
                <w:b/>
              </w:rPr>
              <w:t>Speed Limits &amp; Signage</w:t>
            </w:r>
            <w:r/>
          </w:p>
        </w:tc>
        <w:tc>
          <w:tcPr>
            <w:tcW w:type="dxa" w:w="2160"/>
          </w:tcPr>
          <w:p>
            <w:r>
              <w:t>40 km/h speed limit enforced on all site access roads; signage installed at entry/exit points.</w:t>
            </w:r>
          </w:p>
        </w:tc>
        <w:tc>
          <w:tcPr>
            <w:tcW w:type="dxa" w:w="2160"/>
          </w:tcPr>
          <w:p>
            <w:r>
              <w:t>Site Safety Officer</w:t>
            </w:r>
          </w:p>
        </w:tc>
        <w:tc>
          <w:tcPr>
            <w:tcW w:type="dxa" w:w="2160"/>
          </w:tcPr>
          <w:p>
            <w:r>
              <w:t>Random speed checks; incident log.</w:t>
            </w:r>
          </w:p>
        </w:tc>
      </w:tr>
      <w:tr>
        <w:tc>
          <w:tcPr>
            <w:tcW w:type="dxa" w:w="2160"/>
          </w:tcPr>
          <w:p>
            <w:r/>
            <w:r>
              <w:rPr>
                <w:b/>
              </w:rPr>
              <w:t>Community Awareness</w:t>
            </w:r>
            <w:r/>
          </w:p>
        </w:tc>
        <w:tc>
          <w:tcPr>
            <w:tcW w:type="dxa" w:w="2160"/>
          </w:tcPr>
          <w:p>
            <w:r>
              <w:t>Public awareness campaigns on safe crossing points and truck movements.</w:t>
            </w:r>
          </w:p>
        </w:tc>
        <w:tc>
          <w:tcPr>
            <w:tcW w:type="dxa" w:w="2160"/>
          </w:tcPr>
          <w:p>
            <w:r>
              <w:t>Community Liaison Officer</w:t>
            </w:r>
          </w:p>
        </w:tc>
        <w:tc>
          <w:tcPr>
            <w:tcW w:type="dxa" w:w="2160"/>
          </w:tcPr>
          <w:p>
            <w:r>
              <w:t>Attendance records; feedback surveys.</w:t>
            </w:r>
          </w:p>
        </w:tc>
      </w:tr>
      <w:tr>
        <w:tc>
          <w:tcPr>
            <w:tcW w:type="dxa" w:w="2160"/>
          </w:tcPr>
          <w:p>
            <w:r/>
            <w:r>
              <w:rPr>
                <w:b/>
              </w:rPr>
              <w:t>Compliance with Traffic Act 2016 &amp; NEMA Guidelines</w:t>
            </w:r>
            <w:r/>
          </w:p>
        </w:tc>
        <w:tc>
          <w:tcPr>
            <w:tcW w:type="dxa" w:w="2160"/>
          </w:tcPr>
          <w:p>
            <w:r>
              <w:t>All traffic measures align with the Traffic Act 2016 and NEMA’s Road Safety Guidelines for mining operations.</w:t>
            </w:r>
          </w:p>
        </w:tc>
        <w:tc>
          <w:tcPr>
            <w:tcW w:type="dxa" w:w="2160"/>
          </w:tcPr>
          <w:p>
            <w:r>
              <w:t>ESMP Coordinator</w:t>
            </w:r>
          </w:p>
        </w:tc>
        <w:tc>
          <w:tcPr>
            <w:tcW w:type="dxa" w:w="2160"/>
          </w:tcPr>
          <w:p>
            <w:r>
              <w:t>Annual traffic safety audit.</w:t>
            </w:r>
          </w:p>
        </w:tc>
      </w:tr>
    </w:tbl>
    <w:p>
      <w:r>
        <w:t>### 7.2.6 Socio‑Economic &amp; Health Safeguards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Responsibility</w:t>
            </w:r>
          </w:p>
        </w:tc>
        <w:tc>
          <w:tcPr>
            <w:tcW w:type="dxa" w:w="2160"/>
          </w:tcPr>
          <w:p>
            <w:r>
              <w:rPr>
                <w:b/>
              </w:rPr>
              <w:t>Monitoring</w:t>
            </w:r>
          </w:p>
        </w:tc>
      </w:tr>
      <w:tr>
        <w:tc>
          <w:tcPr>
            <w:tcW w:type="dxa" w:w="2160"/>
          </w:tcPr>
          <w:p>
            <w:r/>
            <w:r>
              <w:rPr>
                <w:b/>
              </w:rPr>
              <w:t>Local Employment Policy</w:t>
            </w:r>
            <w:r/>
          </w:p>
        </w:tc>
        <w:tc>
          <w:tcPr>
            <w:tcW w:type="dxa" w:w="2160"/>
          </w:tcPr>
          <w:p>
            <w:r>
              <w:t>Minimum 60 % of construction and operational workforce sourced from Gatundu South and surrounding villages.</w:t>
            </w:r>
          </w:p>
        </w:tc>
        <w:tc>
          <w:tcPr>
            <w:tcW w:type="dxa" w:w="2160"/>
          </w:tcPr>
          <w:p>
            <w:r>
              <w:t>HR Manager</w:t>
            </w:r>
          </w:p>
        </w:tc>
        <w:tc>
          <w:tcPr>
            <w:tcW w:type="dxa" w:w="2160"/>
          </w:tcPr>
          <w:p>
            <w:r>
              <w:t>Quarterly employment statistics; gender &amp; age disaggregation.</w:t>
            </w:r>
          </w:p>
        </w:tc>
      </w:tr>
      <w:tr>
        <w:tc>
          <w:tcPr>
            <w:tcW w:type="dxa" w:w="2160"/>
          </w:tcPr>
          <w:p>
            <w:r/>
            <w:r>
              <w:rPr>
                <w:b/>
              </w:rPr>
              <w:t>Priority Transport for Elderly</w:t>
            </w:r>
            <w:r/>
          </w:p>
        </w:tc>
        <w:tc>
          <w:tcPr>
            <w:tcW w:type="dxa" w:w="2160"/>
          </w:tcPr>
          <w:p>
            <w:r>
              <w:t>Dedicated shuttle service during blasting windows for elderly residents within 500 m of blast zone.</w:t>
            </w:r>
          </w:p>
        </w:tc>
        <w:tc>
          <w:tcPr>
            <w:tcW w:type="dxa" w:w="2160"/>
          </w:tcPr>
          <w:p>
            <w:r>
              <w:t>Community Relations Officer</w:t>
            </w:r>
          </w:p>
        </w:tc>
        <w:tc>
          <w:tcPr>
            <w:tcW w:type="dxa" w:w="2160"/>
          </w:tcPr>
          <w:p>
            <w:r>
              <w:t>Service usage logs; resident satisfaction surveys.</w:t>
            </w:r>
          </w:p>
        </w:tc>
      </w:tr>
      <w:tr>
        <w:tc>
          <w:tcPr>
            <w:tcW w:type="dxa" w:w="2160"/>
          </w:tcPr>
          <w:p>
            <w:r/>
            <w:r>
              <w:rPr>
                <w:b/>
              </w:rPr>
              <w:t>Health Surveillance</w:t>
            </w:r>
            <w:r/>
          </w:p>
        </w:tc>
        <w:tc>
          <w:tcPr>
            <w:tcW w:type="dxa" w:w="2160"/>
          </w:tcPr>
          <w:p>
            <w:r>
              <w:t>Periodic medical check‑ups for workers and community members (especially school children) focusing on respiratory health.</w:t>
            </w:r>
          </w:p>
        </w:tc>
        <w:tc>
          <w:tcPr>
            <w:tcW w:type="dxa" w:w="2160"/>
          </w:tcPr>
          <w:p>
            <w:r>
              <w:t>Occupational Health Nurse</w:t>
            </w:r>
          </w:p>
        </w:tc>
        <w:tc>
          <w:tcPr>
            <w:tcW w:type="dxa" w:w="2160"/>
          </w:tcPr>
          <w:p>
            <w:r>
              <w:t>Bi‑annual health reports; referral pathways for identified cases.</w:t>
            </w:r>
          </w:p>
        </w:tc>
      </w:tr>
      <w:tr>
        <w:tc>
          <w:tcPr>
            <w:tcW w:type="dxa" w:w="2160"/>
          </w:tcPr>
          <w:p>
            <w:r/>
            <w:r>
              <w:rPr>
                <w:b/>
              </w:rPr>
              <w:t>Grievance Redress Mechanism (GRM)</w:t>
            </w:r>
            <w:r/>
          </w:p>
        </w:tc>
        <w:tc>
          <w:tcPr>
            <w:tcW w:type="dxa" w:w="2160"/>
          </w:tcPr>
          <w:p>
            <w:r>
              <w:t>Established GRM Committee with clear SOPs; complaints logged, acknowledged within 48 h, resolved within 30 days.</w:t>
            </w:r>
          </w:p>
        </w:tc>
        <w:tc>
          <w:tcPr>
            <w:tcW w:type="dxa" w:w="2160"/>
          </w:tcPr>
          <w:p>
            <w:r>
              <w:t>GRM Chairperson</w:t>
            </w:r>
          </w:p>
        </w:tc>
        <w:tc>
          <w:tcPr>
            <w:tcW w:type="dxa" w:w="2160"/>
          </w:tcPr>
          <w:p>
            <w:r>
              <w:t>Monthly GRM performance report; number of grievances resolved.</w:t>
            </w:r>
          </w:p>
        </w:tc>
      </w:tr>
      <w:tr>
        <w:tc>
          <w:tcPr>
            <w:tcW w:type="dxa" w:w="2160"/>
          </w:tcPr>
          <w:p>
            <w:r/>
            <w:r>
              <w:rPr>
                <w:b/>
              </w:rPr>
              <w:t>Community Information Sessions</w:t>
            </w:r>
            <w:r/>
          </w:p>
        </w:tc>
        <w:tc>
          <w:tcPr>
            <w:tcW w:type="dxa" w:w="2160"/>
          </w:tcPr>
          <w:p>
            <w:r>
              <w:t>Quarterly barazas to update on project progress, mitigation performance, and to collect feedback.</w:t>
            </w:r>
          </w:p>
        </w:tc>
        <w:tc>
          <w:tcPr>
            <w:tcW w:type="dxa" w:w="2160"/>
          </w:tcPr>
          <w:p>
            <w:r>
              <w:t>Community Liaison Officer</w:t>
            </w:r>
          </w:p>
        </w:tc>
        <w:tc>
          <w:tcPr>
            <w:tcW w:type="dxa" w:w="2160"/>
          </w:tcPr>
          <w:p>
            <w:r>
              <w:t>Attendance registers; minutes of meetings.</w:t>
            </w:r>
          </w:p>
        </w:tc>
      </w:tr>
    </w:tbl>
    <w:p>
      <w:r>
        <w:t>### 7.2.7 Cultural Heritage &amp; Archaeology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Measure</w:t>
            </w:r>
          </w:p>
        </w:tc>
        <w:tc>
          <w:tcPr>
            <w:tcW w:type="dxa" w:w="2160"/>
          </w:tcPr>
          <w:p>
            <w:r>
              <w:rPr>
                <w:b/>
              </w:rPr>
              <w:t>Description</w:t>
            </w:r>
          </w:p>
        </w:tc>
        <w:tc>
          <w:tcPr>
            <w:tcW w:type="dxa" w:w="2160"/>
          </w:tcPr>
          <w:p>
            <w:r>
              <w:rPr>
                <w:b/>
              </w:rPr>
              <w:t>Responsibility</w:t>
            </w:r>
          </w:p>
        </w:tc>
        <w:tc>
          <w:tcPr>
            <w:tcW w:type="dxa" w:w="2160"/>
          </w:tcPr>
          <w:p>
            <w:r>
              <w:rPr>
                <w:b/>
              </w:rPr>
              <w:t>Monitoring</w:t>
            </w:r>
          </w:p>
        </w:tc>
      </w:tr>
      <w:tr>
        <w:tc>
          <w:tcPr>
            <w:tcW w:type="dxa" w:w="2160"/>
          </w:tcPr>
          <w:p>
            <w:r/>
            <w:r>
              <w:rPr>
                <w:b/>
              </w:rPr>
              <w:t>Pre‑construction Survey</w:t>
            </w:r>
            <w:r/>
          </w:p>
        </w:tc>
        <w:tc>
          <w:tcPr>
            <w:tcW w:type="dxa" w:w="2160"/>
          </w:tcPr>
          <w:p>
            <w:r>
              <w:t>Walk‑over survey by qualified archaeologist to identify any cultural artefacts.</w:t>
            </w:r>
          </w:p>
        </w:tc>
        <w:tc>
          <w:tcPr>
            <w:tcW w:type="dxa" w:w="2160"/>
          </w:tcPr>
          <w:p>
            <w:r>
              <w:t>Heritage Consultant</w:t>
            </w:r>
          </w:p>
        </w:tc>
        <w:tc>
          <w:tcPr>
            <w:tcW w:type="dxa" w:w="2160"/>
          </w:tcPr>
          <w:p>
            <w:r>
              <w:t>Survey report filed before ground disturbance.</w:t>
            </w:r>
          </w:p>
        </w:tc>
      </w:tr>
      <w:tr>
        <w:tc>
          <w:tcPr>
            <w:tcW w:type="dxa" w:w="2160"/>
          </w:tcPr>
          <w:p>
            <w:r/>
            <w:r>
              <w:rPr>
                <w:b/>
              </w:rPr>
              <w:t>Stop‑Work Protocol</w:t>
            </w:r>
            <w:r/>
          </w:p>
        </w:tc>
        <w:tc>
          <w:tcPr>
            <w:tcW w:type="dxa" w:w="2160"/>
          </w:tcPr>
          <w:p>
            <w:r>
              <w:t>Immediate cessation of work if artefacts are discovered; notification to NEMA and the National Museums of Kenya.</w:t>
            </w:r>
          </w:p>
        </w:tc>
        <w:tc>
          <w:tcPr>
            <w:tcW w:type="dxa" w:w="2160"/>
          </w:tcPr>
          <w:p>
            <w:r>
              <w:t>Site Manager</w:t>
            </w:r>
          </w:p>
        </w:tc>
        <w:tc>
          <w:tcPr>
            <w:tcW w:type="dxa" w:w="2160"/>
          </w:tcPr>
          <w:p>
            <w:r>
              <w:t>Incident log; follow‑up actions documented.</w:t>
            </w:r>
          </w:p>
        </w:tc>
      </w:tr>
      <w:tr>
        <w:tc>
          <w:tcPr>
            <w:tcW w:type="dxa" w:w="2160"/>
          </w:tcPr>
          <w:p>
            <w:r/>
            <w:r>
              <w:rPr>
                <w:b/>
              </w:rPr>
              <w:t>Training</w:t>
            </w:r>
            <w:r/>
          </w:p>
        </w:tc>
        <w:tc>
          <w:tcPr>
            <w:tcW w:type="dxa" w:w="2160"/>
          </w:tcPr>
          <w:p>
            <w:r>
              <w:t>Awareness training for all field staff on cultural heritage protection.</w:t>
            </w:r>
          </w:p>
        </w:tc>
        <w:tc>
          <w:tcPr>
            <w:tcW w:type="dxa" w:w="2160"/>
          </w:tcPr>
          <w:p>
            <w:r>
              <w:t>HSE Officer</w:t>
            </w:r>
          </w:p>
        </w:tc>
        <w:tc>
          <w:tcPr>
            <w:tcW w:type="dxa" w:w="2160"/>
          </w:tcPr>
          <w:p>
            <w:r>
              <w:t>Training attendance records.</w:t>
            </w:r>
          </w:p>
        </w:tc>
      </w:tr>
    </w:tbl>
    <w:p>
      <w:r>
        <w:t>---</w:t>
      </w:r>
    </w:p>
    <w:p>
      <w:r>
        <w:t>## 7.3 Residual Impacts after Mitigation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w:t>
            </w:r>
          </w:p>
        </w:tc>
        <w:tc>
          <w:tcPr>
            <w:tcW w:type="dxa" w:w="2160"/>
          </w:tcPr>
          <w:p>
            <w:r>
              <w:rPr>
                <w:b/>
              </w:rPr>
              <w:t>Residual Level</w:t>
            </w:r>
          </w:p>
        </w:tc>
        <w:tc>
          <w:tcPr>
            <w:tcW w:type="dxa" w:w="2160"/>
          </w:tcPr>
          <w:p>
            <w:r>
              <w:rPr>
                <w:b/>
              </w:rPr>
              <w:t>Significance</w:t>
            </w:r>
          </w:p>
        </w:tc>
        <w:tc>
          <w:tcPr>
            <w:tcW w:type="dxa" w:w="2160"/>
          </w:tcPr>
          <w:p>
            <w:r>
              <w:rPr>
                <w:b/>
              </w:rPr>
              <w:t>Management Action</w:t>
            </w:r>
          </w:p>
        </w:tc>
      </w:tr>
      <w:tr>
        <w:tc>
          <w:tcPr>
            <w:tcW w:type="dxa" w:w="2160"/>
          </w:tcPr>
          <w:p>
            <w:r>
              <w:t>Airborne Dust</w:t>
            </w:r>
          </w:p>
        </w:tc>
        <w:tc>
          <w:tcPr>
            <w:tcW w:type="dxa" w:w="2160"/>
          </w:tcPr>
          <w:p>
            <w:r>
              <w:t>PM10 may rise to 70 µg/m³ during peak crushing; returns to baseline within 24 h after shutdown.</w:t>
            </w:r>
          </w:p>
        </w:tc>
        <w:tc>
          <w:tcPr>
            <w:tcW w:type="dxa" w:w="2160"/>
          </w:tcPr>
          <w:p>
            <w:r>
              <w:t>Moderate (temporary)</w:t>
            </w:r>
          </w:p>
        </w:tc>
        <w:tc>
          <w:tcPr>
            <w:tcW w:type="dxa" w:w="2160"/>
          </w:tcPr>
          <w:p>
            <w:r>
              <w:t>Continuous monitoring; adaptive dust suppression if exceedances persist.</w:t>
            </w:r>
          </w:p>
        </w:tc>
      </w:tr>
    </w:tbl>
    <w:p>
      <w:r>
        <w:t>| Noise | Day‑time levels expected to remain ≤ 70 dBA at 200 m; occasional peaks &gt; 80 dBA during blasting. | Low‑</w:t>
      </w:r>
    </w:p>
    <w:p>
      <w:r>
        <w:br w:type="page"/>
      </w:r>
    </w:p>
    <w:p>
      <w:pPr>
        <w:pStyle w:val="Heading1"/>
      </w:pPr>
      <w:r>
        <w:t>Chapter 8: Environmental and Social Management Plan</w:t>
      </w:r>
    </w:p>
    <w:p>
      <w:r>
        <w:t>## 8.1  Introduction</w:t>
      </w:r>
    </w:p>
    <w:p>
      <w:r>
        <w:t xml:space="preserve">The Environmental and Social Management Plan (ESMP) for the Kiuu Quarry &amp; Aggregate Processing Facility sets out the mitigation, monitoring, institutional and reporting arrangements required to manage the identified environmental and social impacts throughout the construction (9 months) and operational (18 years) phases. The ESMP is aligned with the </w:t>
      </w:r>
      <w:r>
        <w:rPr>
          <w:b/>
        </w:rPr>
        <w:t>Environmental Management and Coordination Act (EMCA) 1999</w:t>
      </w:r>
      <w:r>
        <w:t xml:space="preserve">, </w:t>
      </w:r>
      <w:r>
        <w:rPr>
          <w:b/>
        </w:rPr>
        <w:t>NEMA Guidelines for Mining and Quarrying (Second Schedule)</w:t>
      </w:r>
      <w:r>
        <w:t xml:space="preserve">, </w:t>
      </w:r>
      <w:r>
        <w:rPr>
          <w:b/>
        </w:rPr>
        <w:t>Water Act 2016</w:t>
      </w:r>
      <w:r>
        <w:t xml:space="preserve">, </w:t>
      </w:r>
      <w:r>
        <w:rPr>
          <w:b/>
        </w:rPr>
        <w:t>Occupational Safety and Health Act 2006</w:t>
      </w:r>
      <w:r>
        <w:t xml:space="preserve">, and the </w:t>
      </w:r>
      <w:r>
        <w:rPr>
          <w:b/>
        </w:rPr>
        <w:t>World Bank Environmental and Social Framework (ESF)</w:t>
      </w:r>
      <w:r>
        <w:t>.</w:t>
      </w:r>
    </w:p>
    <w:p>
      <w:r>
        <w:t>## 8.2  Institutional Arrangements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Entity</w:t>
            </w:r>
          </w:p>
        </w:tc>
        <w:tc>
          <w:tcPr>
            <w:tcW w:type="dxa" w:w="2880"/>
          </w:tcPr>
          <w:p>
            <w:r>
              <w:rPr>
                <w:b/>
              </w:rPr>
              <w:t>Role</w:t>
            </w:r>
          </w:p>
        </w:tc>
        <w:tc>
          <w:tcPr>
            <w:tcW w:type="dxa" w:w="2880"/>
          </w:tcPr>
          <w:p>
            <w:r>
              <w:rPr>
                <w:b/>
              </w:rPr>
              <w:t>Key Responsibilities</w:t>
            </w:r>
          </w:p>
        </w:tc>
      </w:tr>
      <w:tr>
        <w:tc>
          <w:tcPr>
            <w:tcW w:type="dxa" w:w="2880"/>
          </w:tcPr>
          <w:p>
            <w:r/>
            <w:r>
              <w:rPr>
                <w:b/>
              </w:rPr>
              <w:t>Rockline Aggregates (K) Ltd. – Project Management Team</w:t>
            </w:r>
            <w:r/>
          </w:p>
        </w:tc>
        <w:tc>
          <w:tcPr>
            <w:tcW w:type="dxa" w:w="2880"/>
          </w:tcPr>
          <w:p>
            <w:r>
              <w:t>Lead proponent</w:t>
            </w:r>
          </w:p>
        </w:tc>
        <w:tc>
          <w:tcPr>
            <w:tcW w:type="dxa" w:w="2880"/>
          </w:tcPr>
          <w:p>
            <w:r>
              <w:t>Implementation of all ESMP actions; coordination with regulators; preparation of quarterly and annual reports.</w:t>
            </w:r>
          </w:p>
        </w:tc>
      </w:tr>
      <w:tr>
        <w:tc>
          <w:tcPr>
            <w:tcW w:type="dxa" w:w="2880"/>
          </w:tcPr>
          <w:p>
            <w:r/>
            <w:r>
              <w:rPr>
                <w:b/>
              </w:rPr>
              <w:t>Environmental Officer (E.O.) – Eliud Michura (EIA/EA/0532)</w:t>
            </w:r>
            <w:r/>
          </w:p>
        </w:tc>
        <w:tc>
          <w:tcPr>
            <w:tcW w:type="dxa" w:w="2880"/>
          </w:tcPr>
          <w:p>
            <w:r>
              <w:t>Technical lead</w:t>
            </w:r>
          </w:p>
        </w:tc>
        <w:tc>
          <w:tcPr>
            <w:tcW w:type="dxa" w:w="2880"/>
          </w:tcPr>
          <w:p>
            <w:r>
              <w:t>Supervision of mitigation measures; data quality assurance; liaison with NEMA and County Environment Office.</w:t>
            </w:r>
          </w:p>
        </w:tc>
      </w:tr>
      <w:tr>
        <w:tc>
          <w:tcPr>
            <w:tcW w:type="dxa" w:w="2880"/>
          </w:tcPr>
          <w:p>
            <w:r/>
            <w:r>
              <w:rPr>
                <w:b/>
              </w:rPr>
              <w:t>Site Supervisors (Construction &amp; Operations)</w:t>
            </w:r>
            <w:r/>
          </w:p>
        </w:tc>
        <w:tc>
          <w:tcPr>
            <w:tcW w:type="dxa" w:w="2880"/>
          </w:tcPr>
          <w:p>
            <w:r>
              <w:t>Field implementation</w:t>
            </w:r>
          </w:p>
        </w:tc>
        <w:tc>
          <w:tcPr>
            <w:tcW w:type="dxa" w:w="2880"/>
          </w:tcPr>
          <w:p>
            <w:r>
              <w:t>Daily oversight of dust, noise, vibration, waste and water control measures; incident reporting.</w:t>
            </w:r>
          </w:p>
        </w:tc>
      </w:tr>
      <w:tr>
        <w:tc>
          <w:tcPr>
            <w:tcW w:type="dxa" w:w="2880"/>
          </w:tcPr>
          <w:p>
            <w:r/>
            <w:r>
              <w:rPr>
                <w:b/>
              </w:rPr>
              <w:t>Health &amp; Safety Officer</w:t>
            </w:r>
            <w:r/>
          </w:p>
        </w:tc>
        <w:tc>
          <w:tcPr>
            <w:tcW w:type="dxa" w:w="2880"/>
          </w:tcPr>
          <w:p>
            <w:r>
              <w:t>Occupational safety</w:t>
            </w:r>
          </w:p>
        </w:tc>
        <w:tc>
          <w:tcPr>
            <w:tcW w:type="dxa" w:w="2880"/>
          </w:tcPr>
          <w:p>
            <w:r>
              <w:t>Enforcement of PPE, machinery safety, emergency response drills.</w:t>
            </w:r>
          </w:p>
        </w:tc>
      </w:tr>
      <w:tr>
        <w:tc>
          <w:tcPr>
            <w:tcW w:type="dxa" w:w="2880"/>
          </w:tcPr>
          <w:p>
            <w:r/>
            <w:r>
              <w:rPr>
                <w:b/>
              </w:rPr>
              <w:t>GRM Committee</w:t>
            </w:r>
            <w:r>
              <w:t xml:space="preserve"> (Community representatives, local elders, health centre staff)</w:t>
            </w:r>
          </w:p>
        </w:tc>
        <w:tc>
          <w:tcPr>
            <w:tcW w:type="dxa" w:w="2880"/>
          </w:tcPr>
          <w:p>
            <w:r>
              <w:t>Grievance handling</w:t>
            </w:r>
          </w:p>
        </w:tc>
        <w:tc>
          <w:tcPr>
            <w:tcW w:type="dxa" w:w="2880"/>
          </w:tcPr>
          <w:p>
            <w:r>
              <w:t>Receive, log, investigate and resolve community complaints within stipulated timeframes.</w:t>
            </w:r>
          </w:p>
        </w:tc>
      </w:tr>
      <w:tr>
        <w:tc>
          <w:tcPr>
            <w:tcW w:type="dxa" w:w="2880"/>
          </w:tcPr>
          <w:p>
            <w:r/>
            <w:r>
              <w:rPr>
                <w:b/>
              </w:rPr>
              <w:t>County Environment Office – Kiambu</w:t>
            </w:r>
            <w:r/>
          </w:p>
        </w:tc>
        <w:tc>
          <w:tcPr>
            <w:tcW w:type="dxa" w:w="2880"/>
          </w:tcPr>
          <w:p>
            <w:r>
              <w:t>Regulatory oversight</w:t>
            </w:r>
          </w:p>
        </w:tc>
        <w:tc>
          <w:tcPr>
            <w:tcW w:type="dxa" w:w="2880"/>
          </w:tcPr>
          <w:p>
            <w:r>
              <w:t>Periodic inspections; verification of compliance with permits and conditions.</w:t>
            </w:r>
          </w:p>
        </w:tc>
      </w:tr>
      <w:tr>
        <w:tc>
          <w:tcPr>
            <w:tcW w:type="dxa" w:w="2880"/>
          </w:tcPr>
          <w:p>
            <w:r/>
            <w:r>
              <w:rPr>
                <w:b/>
              </w:rPr>
              <w:t>Independent Environmental Auditor</w:t>
            </w:r>
            <w:r>
              <w:t xml:space="preserve"> (to be appointed)</w:t>
            </w:r>
          </w:p>
        </w:tc>
        <w:tc>
          <w:tcPr>
            <w:tcW w:type="dxa" w:w="2880"/>
          </w:tcPr>
          <w:p>
            <w:r>
              <w:t>Third‑party verification</w:t>
            </w:r>
          </w:p>
        </w:tc>
        <w:tc>
          <w:tcPr>
            <w:tcW w:type="dxa" w:w="2880"/>
          </w:tcPr>
          <w:p>
            <w:r>
              <w:t>Annual audit of monitoring data and ESMP performance; submission of audit report to NEMA.</w:t>
            </w:r>
          </w:p>
        </w:tc>
      </w:tr>
    </w:tbl>
    <w:p>
      <w:r>
        <w:t>## 8.3  Mitigation Measures</w:t>
      </w:r>
    </w:p>
    <w:p>
      <w:r>
        <w:t>### 8.3.1  Air Quality / Dust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w:t>
            </w:r>
          </w:p>
        </w:tc>
        <w:tc>
          <w:tcPr>
            <w:tcW w:type="dxa" w:w="2160"/>
          </w:tcPr>
          <w:p>
            <w:r>
              <w:rPr>
                <w:b/>
              </w:rPr>
              <w:t>Mitigation</w:t>
            </w:r>
          </w:p>
        </w:tc>
        <w:tc>
          <w:tcPr>
            <w:tcW w:type="dxa" w:w="2160"/>
          </w:tcPr>
          <w:p>
            <w:r>
              <w:rPr>
                <w:b/>
              </w:rPr>
              <w:t>Implementation Timing</w:t>
            </w:r>
          </w:p>
        </w:tc>
        <w:tc>
          <w:tcPr>
            <w:tcW w:type="dxa" w:w="2160"/>
          </w:tcPr>
          <w:p>
            <w:r>
              <w:rPr>
                <w:b/>
              </w:rPr>
              <w:t>Responsible</w:t>
            </w:r>
          </w:p>
        </w:tc>
      </w:tr>
      <w:tr>
        <w:tc>
          <w:tcPr>
            <w:tcW w:type="dxa" w:w="2160"/>
          </w:tcPr>
          <w:p>
            <w:r>
              <w:t>Fugitive dust from crushing, screening and haulage</w:t>
            </w:r>
          </w:p>
        </w:tc>
        <w:tc>
          <w:tcPr>
            <w:tcW w:type="dxa" w:w="2160"/>
          </w:tcPr>
          <w:p>
            <w:r>
              <w:t>• Wet suppression (water spray) on crushers and screens (minimum 5 L min⁻¹ per tonne). &lt;br&gt;• Enclosed conveyor belts with dust extraction units. &lt;br&gt;• Perimeter tree buffer (minimum 15 m) around the site. &lt;br&gt;• Speed limit of 30 km h for all on‑site vehicles.</w:t>
            </w:r>
          </w:p>
        </w:tc>
        <w:tc>
          <w:tcPr>
            <w:tcW w:type="dxa" w:w="2160"/>
          </w:tcPr>
          <w:p>
            <w:r>
              <w:t>Construction &amp; Operation</w:t>
            </w:r>
          </w:p>
        </w:tc>
        <w:tc>
          <w:tcPr>
            <w:tcW w:type="dxa" w:w="2160"/>
          </w:tcPr>
          <w:p>
            <w:r>
              <w:t>Site Supervisor &amp; E.O.</w:t>
            </w:r>
          </w:p>
        </w:tc>
      </w:tr>
      <w:tr>
        <w:tc>
          <w:tcPr>
            <w:tcW w:type="dxa" w:w="2160"/>
          </w:tcPr>
          <w:p>
            <w:r>
              <w:t>Dust emissions to nearby receptors (Ndarugo Health Centre, Gatundu South Academy)</w:t>
            </w:r>
          </w:p>
        </w:tc>
        <w:tc>
          <w:tcPr>
            <w:tcW w:type="dxa" w:w="2160"/>
          </w:tcPr>
          <w:p>
            <w:r>
              <w:t>• Daily dust monitoring at 4 points (upwind, downwind, nearest school, health centre) using portable PM2.5/PM10 meters. &lt;br&gt;• Immediate corrective action if PM10 exceeds 100 µg m⁻³ (30 % above baseline).</w:t>
            </w:r>
          </w:p>
        </w:tc>
        <w:tc>
          <w:tcPr>
            <w:tcW w:type="dxa" w:w="2160"/>
          </w:tcPr>
          <w:p>
            <w:r>
              <w:t>Ongoing</w:t>
            </w:r>
          </w:p>
        </w:tc>
        <w:tc>
          <w:tcPr>
            <w:tcW w:type="dxa" w:w="2160"/>
          </w:tcPr>
          <w:p>
            <w:r>
              <w:t>Environmental Officer</w:t>
            </w:r>
          </w:p>
        </w:tc>
      </w:tr>
    </w:tbl>
    <w:p>
      <w:r>
        <w:t>### 8.3.2  Noise &amp; Vibration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w:t>
            </w:r>
          </w:p>
        </w:tc>
        <w:tc>
          <w:tcPr>
            <w:tcW w:type="dxa" w:w="2160"/>
          </w:tcPr>
          <w:p>
            <w:r>
              <w:rPr>
                <w:b/>
              </w:rPr>
              <w:t>Mitigation</w:t>
            </w:r>
          </w:p>
        </w:tc>
        <w:tc>
          <w:tcPr>
            <w:tcW w:type="dxa" w:w="2160"/>
          </w:tcPr>
          <w:p>
            <w:r>
              <w:rPr>
                <w:b/>
              </w:rPr>
              <w:t>Implementation Timing</w:t>
            </w:r>
          </w:p>
        </w:tc>
        <w:tc>
          <w:tcPr>
            <w:tcW w:type="dxa" w:w="2160"/>
          </w:tcPr>
          <w:p>
            <w:r>
              <w:rPr>
                <w:b/>
              </w:rPr>
              <w:t>Responsible</w:t>
            </w:r>
          </w:p>
        </w:tc>
      </w:tr>
      <w:tr>
        <w:tc>
          <w:tcPr>
            <w:tcW w:type="dxa" w:w="2160"/>
          </w:tcPr>
          <w:p>
            <w:r>
              <w:t>Construction noise (earthworks, equipment)</w:t>
            </w:r>
          </w:p>
        </w:tc>
        <w:tc>
          <w:tcPr>
            <w:tcW w:type="dxa" w:w="2160"/>
          </w:tcPr>
          <w:p>
            <w:r>
              <w:t>• Use of low‑noise equipment where feasible. &lt;br&gt;• Installation of acoustic barriers (≥2 m high) along the northern boundary adjacent to Ndarugo SDA Church. &lt;br&gt;• Operational window 07:00–19:00 only.</w:t>
            </w:r>
          </w:p>
        </w:tc>
        <w:tc>
          <w:tcPr>
            <w:tcW w:type="dxa" w:w="2160"/>
          </w:tcPr>
          <w:p>
            <w:r>
              <w:t>Construction</w:t>
            </w:r>
          </w:p>
        </w:tc>
        <w:tc>
          <w:tcPr>
            <w:tcW w:type="dxa" w:w="2160"/>
          </w:tcPr>
          <w:p>
            <w:r>
              <w:t>Site Supervisor</w:t>
            </w:r>
          </w:p>
        </w:tc>
      </w:tr>
      <w:tr>
        <w:tc>
          <w:tcPr>
            <w:tcW w:type="dxa" w:w="2160"/>
          </w:tcPr>
          <w:p>
            <w:r>
              <w:t>Blasting‑induced ground vibration</w:t>
            </w:r>
          </w:p>
        </w:tc>
        <w:tc>
          <w:tcPr>
            <w:tcW w:type="dxa" w:w="2160"/>
          </w:tcPr>
          <w:p>
            <w:r>
              <w:t xml:space="preserve">• Pre‑blast structural surveys of all dwellings within 500 m. &lt;br&gt;• Limit charge per blast to </w:t>
            </w:r>
            <w:r>
              <w:rPr>
                <w:b/>
              </w:rPr>
              <w:t>[MISSING: EXPLOSIVE TYPE]</w:t>
            </w:r>
            <w:r>
              <w:t xml:space="preserve"> and </w:t>
            </w:r>
            <w:r>
              <w:rPr>
                <w:b/>
              </w:rPr>
              <w:t>[MISSING: CHARGE WEIGHT]</w:t>
            </w:r>
            <w:r>
              <w:t xml:space="preserve"> in accordance with KS 2003 vibration standards (peak particle velocity ≤ 5 mm s⁻¹). &lt;br&gt;• Use of electronic detonators to control timing.</w:t>
            </w:r>
          </w:p>
        </w:tc>
        <w:tc>
          <w:tcPr>
            <w:tcW w:type="dxa" w:w="2160"/>
          </w:tcPr>
          <w:p>
            <w:r>
              <w:t>Construction (blasting phase)</w:t>
            </w:r>
          </w:p>
        </w:tc>
        <w:tc>
          <w:tcPr>
            <w:tcW w:type="dxa" w:w="2160"/>
          </w:tcPr>
          <w:p>
            <w:r>
              <w:t>Blast Engineer (to be appointed)</w:t>
            </w:r>
          </w:p>
        </w:tc>
      </w:tr>
      <w:tr>
        <w:tc>
          <w:tcPr>
            <w:tcW w:type="dxa" w:w="2160"/>
          </w:tcPr>
          <w:p>
            <w:r>
              <w:t>Operational noise from crushers and conveyors</w:t>
            </w:r>
          </w:p>
        </w:tc>
        <w:tc>
          <w:tcPr>
            <w:tcW w:type="dxa" w:w="2160"/>
          </w:tcPr>
          <w:p>
            <w:r>
              <w:t>• Installation of acoustic enclosures around crushers. &lt;br&gt;• Routine maintenance of equipment to prevent excess noise. &lt;br&gt;• Noise monitoring at 3 points (site edge, school, health centre) quarterly.</w:t>
            </w:r>
          </w:p>
        </w:tc>
        <w:tc>
          <w:tcPr>
            <w:tcW w:type="dxa" w:w="2160"/>
          </w:tcPr>
          <w:p>
            <w:r>
              <w:t>Operation</w:t>
            </w:r>
          </w:p>
        </w:tc>
        <w:tc>
          <w:tcPr>
            <w:tcW w:type="dxa" w:w="2160"/>
          </w:tcPr>
          <w:p>
            <w:r>
              <w:t>Maintenance Manager</w:t>
            </w:r>
          </w:p>
        </w:tc>
      </w:tr>
    </w:tbl>
    <w:p>
      <w:r>
        <w:t>### 8.3.3  Water Resources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w:t>
            </w:r>
          </w:p>
        </w:tc>
        <w:tc>
          <w:tcPr>
            <w:tcW w:type="dxa" w:w="2160"/>
          </w:tcPr>
          <w:p>
            <w:r>
              <w:rPr>
                <w:b/>
              </w:rPr>
              <w:t>Mitigation</w:t>
            </w:r>
          </w:p>
        </w:tc>
        <w:tc>
          <w:tcPr>
            <w:tcW w:type="dxa" w:w="2160"/>
          </w:tcPr>
          <w:p>
            <w:r>
              <w:rPr>
                <w:b/>
              </w:rPr>
              <w:t>Implementation Timing</w:t>
            </w:r>
          </w:p>
        </w:tc>
        <w:tc>
          <w:tcPr>
            <w:tcW w:type="dxa" w:w="2160"/>
          </w:tcPr>
          <w:p>
            <w:r>
              <w:rPr>
                <w:b/>
              </w:rPr>
              <w:t>Responsible</w:t>
            </w:r>
          </w:p>
        </w:tc>
      </w:tr>
      <w:tr>
        <w:tc>
          <w:tcPr>
            <w:tcW w:type="dxa" w:w="2160"/>
          </w:tcPr>
          <w:p>
            <w:r>
              <w:t>Sediment runoff to Ndarugo River (95 m)</w:t>
            </w:r>
          </w:p>
        </w:tc>
        <w:tc>
          <w:tcPr>
            <w:tcW w:type="dxa" w:w="2160"/>
          </w:tcPr>
          <w:p>
            <w:r>
              <w:t>• 30 m no‑disturbance buffer zone along riverbank. &lt;br&gt;• Sediment traps and silt fences on all drainage channels. &lt;br&gt;• Storm‑water collection pits with oil‑grease separators.</w:t>
            </w:r>
          </w:p>
        </w:tc>
        <w:tc>
          <w:tcPr>
            <w:tcW w:type="dxa" w:w="2160"/>
          </w:tcPr>
          <w:p>
            <w:r>
              <w:t>Construction &amp; Operation</w:t>
            </w:r>
          </w:p>
        </w:tc>
        <w:tc>
          <w:tcPr>
            <w:tcW w:type="dxa" w:w="2160"/>
          </w:tcPr>
          <w:p>
            <w:r>
              <w:t>Environmental Officer</w:t>
            </w:r>
          </w:p>
        </w:tc>
      </w:tr>
      <w:tr>
        <w:tc>
          <w:tcPr>
            <w:tcW w:type="dxa" w:w="2160"/>
          </w:tcPr>
          <w:p>
            <w:r>
              <w:t>Potential contamination of on‑site borehole (Rockline Staff Borehole)</w:t>
            </w:r>
          </w:p>
        </w:tc>
        <w:tc>
          <w:tcPr>
            <w:tcW w:type="dxa" w:w="2160"/>
          </w:tcPr>
          <w:p>
            <w:r>
              <w:t>• Regular water quality testing (pH, TDS, heavy metals) quarterly. &lt;br&gt;• Immediate shutdown of borehole if any parameter exceeds Kenyan Standards (KS) limits.</w:t>
            </w:r>
          </w:p>
        </w:tc>
        <w:tc>
          <w:tcPr>
            <w:tcW w:type="dxa" w:w="2160"/>
          </w:tcPr>
          <w:p>
            <w:r>
              <w:t>Operation</w:t>
            </w:r>
          </w:p>
        </w:tc>
        <w:tc>
          <w:tcPr>
            <w:tcW w:type="dxa" w:w="2160"/>
          </w:tcPr>
          <w:p>
            <w:r>
              <w:t>Site Supervisor</w:t>
            </w:r>
          </w:p>
        </w:tc>
      </w:tr>
      <w:tr>
        <w:tc>
          <w:tcPr>
            <w:tcW w:type="dxa" w:w="2160"/>
          </w:tcPr>
          <w:p>
            <w:r>
              <w:t>Water abstraction for processing</w:t>
            </w:r>
          </w:p>
        </w:tc>
        <w:tc>
          <w:tcPr>
            <w:tcW w:type="dxa" w:w="2160"/>
          </w:tcPr>
          <w:p>
            <w:r>
              <w:t xml:space="preserve">• Obtain abstraction licence under </w:t>
            </w:r>
            <w:r>
              <w:rPr>
                <w:b/>
              </w:rPr>
              <w:t>Water Act 2016</w:t>
            </w:r>
            <w:r>
              <w:t>. &lt;br&gt;• Use of closed‑loop water recycling system (target ≥ 80 % reuse).</w:t>
            </w:r>
          </w:p>
        </w:tc>
        <w:tc>
          <w:tcPr>
            <w:tcW w:type="dxa" w:w="2160"/>
          </w:tcPr>
          <w:p>
            <w:r>
              <w:t>Construction (installation)</w:t>
            </w:r>
          </w:p>
        </w:tc>
        <w:tc>
          <w:tcPr>
            <w:tcW w:type="dxa" w:w="2160"/>
          </w:tcPr>
          <w:p>
            <w:r>
              <w:t>Process Engineer (to be appointed)</w:t>
            </w:r>
          </w:p>
        </w:tc>
      </w:tr>
    </w:tbl>
    <w:p>
      <w:r>
        <w:t>### 8.3.4  Traffic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w:t>
            </w:r>
          </w:p>
        </w:tc>
        <w:tc>
          <w:tcPr>
            <w:tcW w:type="dxa" w:w="2160"/>
          </w:tcPr>
          <w:p>
            <w:r>
              <w:rPr>
                <w:b/>
              </w:rPr>
              <w:t>Mitigation</w:t>
            </w:r>
          </w:p>
        </w:tc>
        <w:tc>
          <w:tcPr>
            <w:tcW w:type="dxa" w:w="2160"/>
          </w:tcPr>
          <w:p>
            <w:r>
              <w:rPr>
                <w:b/>
              </w:rPr>
              <w:t>Implementation Timing</w:t>
            </w:r>
          </w:p>
        </w:tc>
        <w:tc>
          <w:tcPr>
            <w:tcW w:type="dxa" w:w="2160"/>
          </w:tcPr>
          <w:p>
            <w:r>
              <w:rPr>
                <w:b/>
              </w:rPr>
              <w:t>Responsible</w:t>
            </w:r>
          </w:p>
        </w:tc>
      </w:tr>
      <w:tr>
        <w:tc>
          <w:tcPr>
            <w:tcW w:type="dxa" w:w="2160"/>
          </w:tcPr>
          <w:p>
            <w:r>
              <w:t>Heavy truck movements affecting Kiuu Trading Centre and local roads</w:t>
            </w:r>
          </w:p>
        </w:tc>
        <w:tc>
          <w:tcPr>
            <w:tcW w:type="dxa" w:w="2160"/>
          </w:tcPr>
          <w:p>
            <w:r>
              <w:t>• Designated haul route bypassing the trading centre (via existing county road). &lt;br&gt;• Traffic schedule limited to 08:00–17:00. &lt;br&gt;• Provision of priority transport for elderly residents during blasting windows (as identified in stakeholder engagement).</w:t>
            </w:r>
          </w:p>
        </w:tc>
        <w:tc>
          <w:tcPr>
            <w:tcW w:type="dxa" w:w="2160"/>
          </w:tcPr>
          <w:p>
            <w:r>
              <w:t>Construction &amp; Operation</w:t>
            </w:r>
          </w:p>
        </w:tc>
        <w:tc>
          <w:tcPr>
            <w:tcW w:type="dxa" w:w="2160"/>
          </w:tcPr>
          <w:p>
            <w:r>
              <w:t>Logistics Manager</w:t>
            </w:r>
          </w:p>
        </w:tc>
      </w:tr>
      <w:tr>
        <w:tc>
          <w:tcPr>
            <w:tcW w:type="dxa" w:w="2160"/>
          </w:tcPr>
          <w:p>
            <w:r>
              <w:t>Road dust and wear</w:t>
            </w:r>
          </w:p>
        </w:tc>
        <w:tc>
          <w:tcPr>
            <w:tcW w:type="dxa" w:w="2160"/>
          </w:tcPr>
          <w:p>
            <w:r>
              <w:t>• Wheel washing stations at entry/exit points. &lt;br&gt;• Regular road maintenance in collaboration with Kiambu County Roads Department.</w:t>
            </w:r>
          </w:p>
        </w:tc>
        <w:tc>
          <w:tcPr>
            <w:tcW w:type="dxa" w:w="2160"/>
          </w:tcPr>
          <w:p>
            <w:r>
              <w:t>Ongoing</w:t>
            </w:r>
          </w:p>
        </w:tc>
        <w:tc>
          <w:tcPr>
            <w:tcW w:type="dxa" w:w="2160"/>
          </w:tcPr>
          <w:p>
            <w:r>
              <w:t>Logistics Manager</w:t>
            </w:r>
          </w:p>
        </w:tc>
      </w:tr>
    </w:tbl>
    <w:p>
      <w:r>
        <w:t>### 8.3.5  Waste Management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Waste Type</w:t>
            </w:r>
          </w:p>
        </w:tc>
        <w:tc>
          <w:tcPr>
            <w:tcW w:type="dxa" w:w="2160"/>
          </w:tcPr>
          <w:p>
            <w:r>
              <w:rPr>
                <w:b/>
              </w:rPr>
              <w:t>Handling Procedure</w:t>
            </w:r>
          </w:p>
        </w:tc>
        <w:tc>
          <w:tcPr>
            <w:tcW w:type="dxa" w:w="2160"/>
          </w:tcPr>
          <w:p>
            <w:r>
              <w:rPr>
                <w:b/>
              </w:rPr>
              <w:t>Disposal Facility</w:t>
            </w:r>
          </w:p>
        </w:tc>
        <w:tc>
          <w:tcPr>
            <w:tcW w:type="dxa" w:w="2160"/>
          </w:tcPr>
          <w:p>
            <w:r>
              <w:rPr>
                <w:b/>
              </w:rPr>
              <w:t>Frequency</w:t>
            </w:r>
          </w:p>
        </w:tc>
      </w:tr>
      <w:tr>
        <w:tc>
          <w:tcPr>
            <w:tcW w:type="dxa" w:w="2160"/>
          </w:tcPr>
          <w:p>
            <w:r/>
            <w:r>
              <w:rPr>
                <w:b/>
              </w:rPr>
              <w:t>Construction waste</w:t>
            </w:r>
            <w:r>
              <w:t xml:space="preserve"> (concrete, steel)</w:t>
            </w:r>
          </w:p>
        </w:tc>
        <w:tc>
          <w:tcPr>
            <w:tcW w:type="dxa" w:w="2160"/>
          </w:tcPr>
          <w:p>
            <w:r>
              <w:t>Segregation on‑site; reusable material stored for future use.</w:t>
            </w:r>
          </w:p>
        </w:tc>
        <w:tc>
          <w:tcPr>
            <w:tcW w:type="dxa" w:w="2160"/>
          </w:tcPr>
          <w:p>
            <w:r>
              <w:t>Licensed construction waste landfill (County approved).</w:t>
            </w:r>
          </w:p>
        </w:tc>
        <w:tc>
          <w:tcPr>
            <w:tcW w:type="dxa" w:w="2160"/>
          </w:tcPr>
          <w:p>
            <w:r>
              <w:t>As generated</w:t>
            </w:r>
          </w:p>
        </w:tc>
      </w:tr>
      <w:tr>
        <w:tc>
          <w:tcPr>
            <w:tcW w:type="dxa" w:w="2160"/>
          </w:tcPr>
          <w:p>
            <w:r/>
            <w:r>
              <w:rPr>
                <w:b/>
              </w:rPr>
              <w:t>Processing waste</w:t>
            </w:r>
            <w:r>
              <w:t xml:space="preserve"> (over‑size rock, tailings)</w:t>
            </w:r>
          </w:p>
        </w:tc>
        <w:tc>
          <w:tcPr>
            <w:tcW w:type="dxa" w:w="2160"/>
          </w:tcPr>
          <w:p>
            <w:r>
              <w:t>Stockpiled in designated area, covered with geomembrane.</w:t>
            </w:r>
          </w:p>
        </w:tc>
        <w:tc>
          <w:tcPr>
            <w:tcW w:type="dxa" w:w="2160"/>
          </w:tcPr>
          <w:p>
            <w:r>
              <w:t>Re‑use in back‑filling of exhausted quarry pits.</w:t>
            </w:r>
          </w:p>
        </w:tc>
        <w:tc>
          <w:tcPr>
            <w:tcW w:type="dxa" w:w="2160"/>
          </w:tcPr>
          <w:p>
            <w:r>
              <w:t>Continuous</w:t>
            </w:r>
          </w:p>
        </w:tc>
      </w:tr>
      <w:tr>
        <w:tc>
          <w:tcPr>
            <w:tcW w:type="dxa" w:w="2160"/>
          </w:tcPr>
          <w:p>
            <w:r/>
            <w:r>
              <w:rPr>
                <w:b/>
              </w:rPr>
              <w:t>Hazardous waste</w:t>
            </w:r>
            <w:r>
              <w:t xml:space="preserve"> (oil, solvents)</w:t>
            </w:r>
          </w:p>
        </w:tc>
        <w:tc>
          <w:tcPr>
            <w:tcW w:type="dxa" w:w="2160"/>
          </w:tcPr>
          <w:p>
            <w:r>
              <w:t>Collected in labelled drums; delivered to certified hazardous waste handler.</w:t>
            </w:r>
          </w:p>
        </w:tc>
        <w:tc>
          <w:tcPr>
            <w:tcW w:type="dxa" w:w="2160"/>
          </w:tcPr>
          <w:p>
            <w:r>
              <w:t>Licensed hazardous waste disposal site.</w:t>
            </w:r>
          </w:p>
        </w:tc>
        <w:tc>
          <w:tcPr>
            <w:tcW w:type="dxa" w:w="2160"/>
          </w:tcPr>
          <w:p>
            <w:r>
              <w:t>Monthly</w:t>
            </w:r>
          </w:p>
        </w:tc>
      </w:tr>
      <w:tr>
        <w:tc>
          <w:tcPr>
            <w:tcW w:type="dxa" w:w="2160"/>
          </w:tcPr>
          <w:p>
            <w:r/>
            <w:r>
              <w:rPr>
                <w:b/>
              </w:rPr>
              <w:t>Domestic waste</w:t>
            </w:r>
            <w:r>
              <w:t xml:space="preserve"> (canteen)</w:t>
            </w:r>
          </w:p>
        </w:tc>
        <w:tc>
          <w:tcPr>
            <w:tcW w:type="dxa" w:w="2160"/>
          </w:tcPr>
          <w:p>
            <w:r>
              <w:t>Segregated (organic, recyclable, residual).</w:t>
            </w:r>
          </w:p>
        </w:tc>
        <w:tc>
          <w:tcPr>
            <w:tcW w:type="dxa" w:w="2160"/>
          </w:tcPr>
          <w:p>
            <w:r>
              <w:t>Municipal solid waste collection.</w:t>
            </w:r>
          </w:p>
        </w:tc>
        <w:tc>
          <w:tcPr>
            <w:tcW w:type="dxa" w:w="2160"/>
          </w:tcPr>
          <w:p>
            <w:r>
              <w:t>Daily</w:t>
            </w:r>
          </w:p>
        </w:tc>
      </w:tr>
    </w:tbl>
    <w:p>
      <w:r>
        <w:t>### 8.3.6  Biodiversity &amp; Habitat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Impact</w:t>
            </w:r>
          </w:p>
        </w:tc>
        <w:tc>
          <w:tcPr>
            <w:tcW w:type="dxa" w:w="2160"/>
          </w:tcPr>
          <w:p>
            <w:r>
              <w:rPr>
                <w:b/>
              </w:rPr>
              <w:t>Mitigation</w:t>
            </w:r>
          </w:p>
        </w:tc>
        <w:tc>
          <w:tcPr>
            <w:tcW w:type="dxa" w:w="2160"/>
          </w:tcPr>
          <w:p>
            <w:r>
              <w:rPr>
                <w:b/>
              </w:rPr>
              <w:t>Implementation Timing</w:t>
            </w:r>
          </w:p>
        </w:tc>
        <w:tc>
          <w:tcPr>
            <w:tcW w:type="dxa" w:w="2160"/>
          </w:tcPr>
          <w:p>
            <w:r>
              <w:rPr>
                <w:b/>
              </w:rPr>
              <w:t>Responsible</w:t>
            </w:r>
          </w:p>
        </w:tc>
      </w:tr>
      <w:tr>
        <w:tc>
          <w:tcPr>
            <w:tcW w:type="dxa" w:w="2160"/>
          </w:tcPr>
          <w:p>
            <w:r>
              <w:t>Disturbance to Kieni Forest Buffer Zone (970 m)</w:t>
            </w:r>
          </w:p>
        </w:tc>
        <w:tc>
          <w:tcPr>
            <w:tcW w:type="dxa" w:w="2160"/>
          </w:tcPr>
          <w:p>
            <w:r>
              <w:t>• No clearing within 15 m of forest edge. &lt;br&gt;• Re‑vegetation of disturbed areas with indigenous species. &lt;br&gt;• Periodic biodiversity surveys (tree, bird, small mammal) annually.</w:t>
            </w:r>
          </w:p>
        </w:tc>
        <w:tc>
          <w:tcPr>
            <w:tcW w:type="dxa" w:w="2160"/>
          </w:tcPr>
          <w:p>
            <w:r>
              <w:t>Operation</w:t>
            </w:r>
          </w:p>
        </w:tc>
        <w:tc>
          <w:tcPr>
            <w:tcW w:type="dxa" w:w="2160"/>
          </w:tcPr>
          <w:p>
            <w:r>
              <w:t>Environmental Officer</w:t>
            </w:r>
          </w:p>
        </w:tc>
      </w:tr>
      <w:tr>
        <w:tc>
          <w:tcPr>
            <w:tcW w:type="dxa" w:w="2160"/>
          </w:tcPr>
          <w:p>
            <w:r>
              <w:t>Potential water quality impacts on riverine fauna</w:t>
            </w:r>
          </w:p>
        </w:tc>
        <w:tc>
          <w:tcPr>
            <w:tcW w:type="dxa" w:w="2160"/>
          </w:tcPr>
          <w:p>
            <w:r>
              <w:t>• Maintain buffer zone; avoid direct discharge. &lt;br&gt;• Conduct baseline aquatic macro‑invertebrate survey (already completed) and repeat biennially.</w:t>
            </w:r>
          </w:p>
        </w:tc>
        <w:tc>
          <w:tcPr>
            <w:tcW w:type="dxa" w:w="2160"/>
          </w:tcPr>
          <w:p>
            <w:r>
              <w:t>Operation</w:t>
            </w:r>
          </w:p>
        </w:tc>
        <w:tc>
          <w:tcPr>
            <w:tcW w:type="dxa" w:w="2160"/>
          </w:tcPr>
          <w:p>
            <w:r>
              <w:t>Aquatic Ecologist (to be appointed)</w:t>
            </w:r>
          </w:p>
        </w:tc>
      </w:tr>
    </w:tbl>
    <w:p>
      <w:r>
        <w:t>## 8.4  Monitoring Plan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Parameter</w:t>
            </w:r>
          </w:p>
        </w:tc>
        <w:tc>
          <w:tcPr>
            <w:tcW w:type="dxa" w:w="1728"/>
          </w:tcPr>
          <w:p>
            <w:r>
              <w:rPr>
                <w:b/>
              </w:rPr>
              <w:t>Monitoring Method</w:t>
            </w:r>
          </w:p>
        </w:tc>
        <w:tc>
          <w:tcPr>
            <w:tcW w:type="dxa" w:w="1728"/>
          </w:tcPr>
          <w:p>
            <w:r>
              <w:rPr>
                <w:b/>
              </w:rPr>
              <w:t>Frequency</w:t>
            </w:r>
          </w:p>
        </w:tc>
        <w:tc>
          <w:tcPr>
            <w:tcW w:type="dxa" w:w="1728"/>
          </w:tcPr>
          <w:p>
            <w:r>
              <w:rPr>
                <w:b/>
              </w:rPr>
              <w:t>Acceptance Criteria</w:t>
            </w:r>
          </w:p>
        </w:tc>
        <w:tc>
          <w:tcPr>
            <w:tcW w:type="dxa" w:w="1728"/>
          </w:tcPr>
          <w:p>
            <w:r>
              <w:rPr>
                <w:b/>
              </w:rPr>
              <w:t>Reporting</w:t>
            </w:r>
          </w:p>
        </w:tc>
      </w:tr>
      <w:tr>
        <w:tc>
          <w:tcPr>
            <w:tcW w:type="dxa" w:w="1728"/>
          </w:tcPr>
          <w:p>
            <w:r/>
            <w:r>
              <w:rPr>
                <w:b/>
              </w:rPr>
              <w:t>Air – PM2.5 &amp; PM10</w:t>
            </w:r>
            <w:r/>
          </w:p>
        </w:tc>
        <w:tc>
          <w:tcPr>
            <w:tcW w:type="dxa" w:w="1728"/>
          </w:tcPr>
          <w:p>
            <w:r>
              <w:t>Portable real‑time dust monitor (e.g., TSI DustTrak) at 4 fixed points</w:t>
            </w:r>
          </w:p>
        </w:tc>
        <w:tc>
          <w:tcPr>
            <w:tcW w:type="dxa" w:w="1728"/>
          </w:tcPr>
          <w:p>
            <w:r>
              <w:t>Daily (construction) / Monthly (operation)</w:t>
            </w:r>
          </w:p>
        </w:tc>
        <w:tc>
          <w:tcPr>
            <w:tcW w:type="dxa" w:w="1728"/>
          </w:tcPr>
          <w:p>
            <w:r>
              <w:t>PM2.5 ≤ 35 µg m⁻³; PM10 ≤ 100 µg m⁻³ (30 % above baseline)</w:t>
            </w:r>
          </w:p>
        </w:tc>
        <w:tc>
          <w:tcPr>
            <w:tcW w:type="dxa" w:w="1728"/>
          </w:tcPr>
          <w:p>
            <w:r>
              <w:t>Monthly monitoring report to NEMA &amp; County</w:t>
            </w:r>
          </w:p>
        </w:tc>
      </w:tr>
      <w:tr>
        <w:tc>
          <w:tcPr>
            <w:tcW w:type="dxa" w:w="1728"/>
          </w:tcPr>
          <w:p>
            <w:r/>
            <w:r>
              <w:rPr>
                <w:b/>
              </w:rPr>
              <w:t>Noise (dBA)</w:t>
            </w:r>
            <w:r/>
          </w:p>
        </w:tc>
        <w:tc>
          <w:tcPr>
            <w:tcW w:type="dxa" w:w="1728"/>
          </w:tcPr>
          <w:p>
            <w:r>
              <w:t>Sound level meter (Class 1) at 3 receptor points</w:t>
            </w:r>
          </w:p>
        </w:tc>
        <w:tc>
          <w:tcPr>
            <w:tcW w:type="dxa" w:w="1728"/>
          </w:tcPr>
          <w:p>
            <w:r>
              <w:t>Weekly (construction) / Quarterly (operation)</w:t>
            </w:r>
          </w:p>
        </w:tc>
        <w:tc>
          <w:tcPr>
            <w:tcW w:type="dxa" w:w="1728"/>
          </w:tcPr>
          <w:p>
            <w:r>
              <w:t>≤ 5 dB above baseline (58 dBA) at receptors</w:t>
            </w:r>
          </w:p>
        </w:tc>
        <w:tc>
          <w:tcPr>
            <w:tcW w:type="dxa" w:w="1728"/>
          </w:tcPr>
          <w:p>
            <w:r>
              <w:t>Quarterly noise report</w:t>
            </w:r>
          </w:p>
        </w:tc>
      </w:tr>
      <w:tr>
        <w:tc>
          <w:tcPr>
            <w:tcW w:type="dxa" w:w="1728"/>
          </w:tcPr>
          <w:p>
            <w:r/>
            <w:r>
              <w:rPr>
                <w:b/>
              </w:rPr>
              <w:t>Ground Vibration (PPV)</w:t>
            </w:r>
            <w:r/>
          </w:p>
        </w:tc>
        <w:tc>
          <w:tcPr>
            <w:tcW w:type="dxa" w:w="1728"/>
          </w:tcPr>
          <w:p>
            <w:r>
              <w:t>Geophones placed at 5 residential sites within 500 m</w:t>
            </w:r>
          </w:p>
        </w:tc>
        <w:tc>
          <w:tcPr>
            <w:tcW w:type="dxa" w:w="1728"/>
          </w:tcPr>
          <w:p>
            <w:r>
              <w:t>Per blast event</w:t>
            </w:r>
          </w:p>
        </w:tc>
        <w:tc>
          <w:tcPr>
            <w:tcW w:type="dxa" w:w="1728"/>
          </w:tcPr>
          <w:p>
            <w:r>
              <w:t>≤ 5 mm s⁻¹ (KS 2003)</w:t>
            </w:r>
          </w:p>
        </w:tc>
        <w:tc>
          <w:tcPr>
            <w:tcW w:type="dxa" w:w="1728"/>
          </w:tcPr>
          <w:p>
            <w:r>
              <w:t>Immediate blast‑event log; monthly summary</w:t>
            </w:r>
          </w:p>
        </w:tc>
      </w:tr>
      <w:tr>
        <w:tc>
          <w:tcPr>
            <w:tcW w:type="dxa" w:w="1728"/>
          </w:tcPr>
          <w:p>
            <w:r/>
            <w:r>
              <w:rPr>
                <w:b/>
              </w:rPr>
              <w:t>Water – Turbidity, pH, TDS, Heavy Metals</w:t>
            </w:r>
            <w:r/>
          </w:p>
        </w:tc>
        <w:tc>
          <w:tcPr>
            <w:tcW w:type="dxa" w:w="1728"/>
          </w:tcPr>
          <w:p>
            <w:r>
              <w:t>Grab samples from Ndarugo River (upstream &amp; downstream) and staff borehole</w:t>
            </w:r>
          </w:p>
        </w:tc>
        <w:tc>
          <w:tcPr>
            <w:tcW w:type="dxa" w:w="1728"/>
          </w:tcPr>
          <w:p>
            <w:r>
              <w:t>Monthly</w:t>
            </w:r>
          </w:p>
        </w:tc>
        <w:tc>
          <w:tcPr>
            <w:tcW w:type="dxa" w:w="1728"/>
          </w:tcPr>
          <w:p>
            <w:r>
              <w:t>Turbidity ≤ 5 NTU; pH 6.5–8.5; TDS ≤ 500 mg L⁻¹; Heavy metals &lt; KS limits</w:t>
            </w:r>
          </w:p>
        </w:tc>
        <w:tc>
          <w:tcPr>
            <w:tcW w:type="dxa" w:w="1728"/>
          </w:tcPr>
          <w:p>
            <w:r>
              <w:t>Quarterly water quality report</w:t>
            </w:r>
          </w:p>
        </w:tc>
      </w:tr>
      <w:tr>
        <w:tc>
          <w:tcPr>
            <w:tcW w:type="dxa" w:w="1728"/>
          </w:tcPr>
          <w:p>
            <w:r/>
            <w:r>
              <w:rPr>
                <w:b/>
              </w:rPr>
              <w:t>Traffic Volume &amp; Speed</w:t>
            </w:r>
            <w:r/>
          </w:p>
        </w:tc>
        <w:tc>
          <w:tcPr>
            <w:tcW w:type="dxa" w:w="1728"/>
          </w:tcPr>
          <w:p>
            <w:r>
              <w:t>Automatic traffic counters on haul route</w:t>
            </w:r>
          </w:p>
        </w:tc>
        <w:tc>
          <w:tcPr>
            <w:tcW w:type="dxa" w:w="1728"/>
          </w:tcPr>
          <w:p>
            <w:r>
              <w:t>Continuous (data logged)</w:t>
            </w:r>
          </w:p>
        </w:tc>
        <w:tc>
          <w:tcPr>
            <w:tcW w:type="dxa" w:w="1728"/>
          </w:tcPr>
          <w:p>
            <w:r>
              <w:t>No exceedance of 30 km h speed limit; ≤ 150 trucks/day</w:t>
            </w:r>
          </w:p>
        </w:tc>
        <w:tc>
          <w:tcPr>
            <w:tcW w:type="dxa" w:w="1728"/>
          </w:tcPr>
          <w:p>
            <w:r>
              <w:t>Monthly traffic summary</w:t>
            </w:r>
          </w:p>
        </w:tc>
      </w:tr>
      <w:tr>
        <w:tc>
          <w:tcPr>
            <w:tcW w:type="dxa" w:w="1728"/>
          </w:tcPr>
          <w:p>
            <w:r/>
            <w:r>
              <w:rPr>
                <w:b/>
              </w:rPr>
              <w:t>Dust Suppression Efficiency</w:t>
            </w:r>
            <w:r/>
          </w:p>
        </w:tc>
        <w:tc>
          <w:tcPr>
            <w:tcW w:type="dxa" w:w="1728"/>
          </w:tcPr>
          <w:p>
            <w:r>
              <w:t>Water flow meters on spray systems; visual inspections</w:t>
            </w:r>
          </w:p>
        </w:tc>
        <w:tc>
          <w:tcPr>
            <w:tcW w:type="dxa" w:w="1728"/>
          </w:tcPr>
          <w:p>
            <w:r>
              <w:t>Daily</w:t>
            </w:r>
          </w:p>
        </w:tc>
        <w:tc>
          <w:tcPr>
            <w:tcW w:type="dxa" w:w="1728"/>
          </w:tcPr>
          <w:p>
            <w:r>
              <w:t>Minimum 5 L min⁻¹ per tonne processed</w:t>
            </w:r>
          </w:p>
        </w:tc>
        <w:tc>
          <w:tcPr>
            <w:tcW w:type="dxa" w:w="1728"/>
          </w:tcPr>
          <w:p>
            <w:r>
              <w:t>Daily logbook</w:t>
            </w:r>
          </w:p>
        </w:tc>
      </w:tr>
      <w:tr>
        <w:tc>
          <w:tcPr>
            <w:tcW w:type="dxa" w:w="1728"/>
          </w:tcPr>
          <w:p>
            <w:r/>
            <w:r>
              <w:rPr>
                <w:b/>
              </w:rPr>
              <w:t>Waste Generation &amp; Disposal</w:t>
            </w:r>
            <w:r/>
          </w:p>
        </w:tc>
        <w:tc>
          <w:tcPr>
            <w:tcW w:type="dxa" w:w="1728"/>
          </w:tcPr>
          <w:p>
            <w:r>
              <w:t>Waste manifests &amp; weigh‑bridge records</w:t>
            </w:r>
          </w:p>
        </w:tc>
        <w:tc>
          <w:tcPr>
            <w:tcW w:type="dxa" w:w="1728"/>
          </w:tcPr>
          <w:p>
            <w:r>
              <w:t>Weekly</w:t>
            </w:r>
          </w:p>
        </w:tc>
        <w:tc>
          <w:tcPr>
            <w:tcW w:type="dxa" w:w="1728"/>
          </w:tcPr>
          <w:p>
            <w:r>
              <w:t>100 % of waste accounted for and disposed at licensed facilities</w:t>
            </w:r>
          </w:p>
        </w:tc>
        <w:tc>
          <w:tcPr>
            <w:tcW w:type="dxa" w:w="1728"/>
          </w:tcPr>
          <w:p>
            <w:r>
              <w:t>Weekly waste report</w:t>
            </w:r>
          </w:p>
        </w:tc>
      </w:tr>
      <w:tr>
        <w:tc>
          <w:tcPr>
            <w:tcW w:type="dxa" w:w="1728"/>
          </w:tcPr>
          <w:p>
            <w:r/>
            <w:r>
              <w:rPr>
                <w:b/>
              </w:rPr>
              <w:t>Biodiversity</w:t>
            </w:r>
            <w:r/>
          </w:p>
        </w:tc>
        <w:tc>
          <w:tcPr>
            <w:tcW w:type="dxa" w:w="1728"/>
          </w:tcPr>
          <w:p>
            <w:r>
              <w:t>Species count surveys (trees, birds, macro‑invertebrates)</w:t>
            </w:r>
          </w:p>
        </w:tc>
        <w:tc>
          <w:tcPr>
            <w:tcW w:type="dxa" w:w="1728"/>
          </w:tcPr>
          <w:p>
            <w:r>
              <w:t>Annually</w:t>
            </w:r>
          </w:p>
        </w:tc>
        <w:tc>
          <w:tcPr>
            <w:tcW w:type="dxa" w:w="1728"/>
          </w:tcPr>
          <w:p>
            <w:r>
              <w:t>No net loss of native species; ≥ 5 % increase in vegetative cover on rehabilitated areas</w:t>
            </w:r>
          </w:p>
        </w:tc>
        <w:tc>
          <w:tcPr>
            <w:tcW w:type="dxa" w:w="1728"/>
          </w:tcPr>
          <w:p>
            <w:r>
              <w:t>Annual biodiversity report</w:t>
            </w:r>
          </w:p>
        </w:tc>
      </w:tr>
    </w:tbl>
    <w:p>
      <w:r>
        <w:t xml:space="preserve">All monitoring data shall be entered into the </w:t>
      </w:r>
      <w:r>
        <w:rPr>
          <w:b/>
        </w:rPr>
        <w:t>Environmental Management Information System (EMIS)</w:t>
      </w:r>
      <w:r>
        <w:t xml:space="preserve"> and made available to NEMA upon request. Non‑compliance triggers corrective actions within 7 days and escalation to the County Environment Office.</w:t>
      </w:r>
    </w:p>
    <w:p>
      <w:r>
        <w:t>## 8.5  Capacity Building &amp; Training</w:t>
      </w:r>
    </w:p>
    <w:p>
      <w:pPr>
        <w:pStyle w:val="ListNumber"/>
      </w:pPr>
      <w:r/>
      <w:r>
        <w:rPr>
          <w:b/>
        </w:rPr>
        <w:t>Induction Training</w:t>
      </w:r>
      <w:r>
        <w:t xml:space="preserve"> – All site personnel (construction workers, drivers, operators) will undergo a 2‑day ESMP induction covering dust, noise, waste, and safety procedures.</w:t>
      </w:r>
    </w:p>
    <w:p>
      <w:pPr>
        <w:pStyle w:val="ListNumber"/>
      </w:pPr>
      <w:r/>
      <w:r>
        <w:rPr>
          <w:b/>
        </w:rPr>
        <w:t>Specialist Training</w:t>
      </w:r>
      <w:r>
        <w:t xml:space="preserve"> – Quarterly refresher courses for blast engineers, equipment operators, and environmental staff on latest best practices and regulatory updates.</w:t>
      </w:r>
    </w:p>
    <w:p>
      <w:pPr>
        <w:pStyle w:val="ListNumber"/>
      </w:pPr>
      <w:r/>
      <w:r>
        <w:rPr>
          <w:b/>
        </w:rPr>
        <w:t>Community Awareness</w:t>
      </w:r>
      <w:r>
        <w:t xml:space="preserve"> – Bi‑annual outreach sessions at Gatundu South Academy and Ndarugo Health Centre on project activities, health safeguards, and grievance procedures.</w:t>
      </w:r>
    </w:p>
    <w:p>
      <w:r>
        <w:t>Training records will be retained for a minimum of 5 years.</w:t>
      </w:r>
    </w:p>
    <w:p>
      <w:r>
        <w:t>## 8.6  Grievance Redress Mechanism (GRM)</w:t>
      </w:r>
    </w:p>
    <w:p>
      <w:r>
        <w:t xml:space="preserve">The GRM, established in accordance with </w:t>
      </w:r>
      <w:r>
        <w:rPr>
          <w:b/>
        </w:rPr>
        <w:t>World Bank ESF</w:t>
      </w:r>
      <w:r>
        <w:t xml:space="preserve"> and NEMA guidelines, operates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Action</w:t>
            </w:r>
          </w:p>
        </w:tc>
        <w:tc>
          <w:tcPr>
            <w:tcW w:type="dxa" w:w="2880"/>
          </w:tcPr>
          <w:p>
            <w:r>
              <w:rPr>
                <w:b/>
              </w:rPr>
              <w:t>Timeframe</w:t>
            </w:r>
          </w:p>
        </w:tc>
      </w:tr>
      <w:tr>
        <w:tc>
          <w:tcPr>
            <w:tcW w:type="dxa" w:w="2880"/>
          </w:tcPr>
          <w:p>
            <w:r/>
            <w:r>
              <w:rPr>
                <w:b/>
              </w:rPr>
              <w:t>1. Reception</w:t>
            </w:r>
            <w:r/>
          </w:p>
        </w:tc>
        <w:tc>
          <w:tcPr>
            <w:tcW w:type="dxa" w:w="2880"/>
          </w:tcPr>
          <w:p>
            <w:r>
              <w:t>Community member submits grievance (written, verbal, or via hotline 0800‑123‑456).</w:t>
            </w:r>
          </w:p>
        </w:tc>
        <w:tc>
          <w:tcPr>
            <w:tcW w:type="dxa" w:w="2880"/>
          </w:tcPr>
          <w:p>
            <w:r>
              <w:t>Immediate</w:t>
            </w:r>
          </w:p>
        </w:tc>
      </w:tr>
      <w:tr>
        <w:tc>
          <w:tcPr>
            <w:tcW w:type="dxa" w:w="2880"/>
          </w:tcPr>
          <w:p>
            <w:r/>
            <w:r>
              <w:rPr>
                <w:b/>
              </w:rPr>
              <w:t>2. Logging</w:t>
            </w:r>
            <w:r/>
          </w:p>
        </w:tc>
        <w:tc>
          <w:tcPr>
            <w:tcW w:type="dxa" w:w="2880"/>
          </w:tcPr>
          <w:p>
            <w:r>
              <w:t>GRM Committee logs grievance in the GRM register, assigns reference number.</w:t>
            </w:r>
          </w:p>
        </w:tc>
        <w:tc>
          <w:tcPr>
            <w:tcW w:type="dxa" w:w="2880"/>
          </w:tcPr>
          <w:p>
            <w:r>
              <w:t>≤ 1 day</w:t>
            </w:r>
          </w:p>
        </w:tc>
      </w:tr>
      <w:tr>
        <w:tc>
          <w:tcPr>
            <w:tcW w:type="dxa" w:w="2880"/>
          </w:tcPr>
          <w:p>
            <w:r/>
            <w:r>
              <w:rPr>
                <w:b/>
              </w:rPr>
              <w:t>3. Acknowledgement</w:t>
            </w:r>
            <w:r/>
          </w:p>
        </w:tc>
        <w:tc>
          <w:tcPr>
            <w:tcW w:type="dxa" w:w="2880"/>
          </w:tcPr>
          <w:p>
            <w:r>
              <w:t>Proponent acknowledges receipt and provides expected resolution timeline.</w:t>
            </w:r>
          </w:p>
        </w:tc>
        <w:tc>
          <w:tcPr>
            <w:tcW w:type="dxa" w:w="2880"/>
          </w:tcPr>
          <w:p>
            <w:r>
              <w:t>≤ 2 days</w:t>
            </w:r>
          </w:p>
        </w:tc>
      </w:tr>
      <w:tr>
        <w:tc>
          <w:tcPr>
            <w:tcW w:type="dxa" w:w="2880"/>
          </w:tcPr>
          <w:p>
            <w:r/>
            <w:r>
              <w:rPr>
                <w:b/>
              </w:rPr>
              <w:t>4. Investigation</w:t>
            </w:r>
            <w:r/>
          </w:p>
        </w:tc>
        <w:tc>
          <w:tcPr>
            <w:tcW w:type="dxa" w:w="2880"/>
          </w:tcPr>
          <w:p>
            <w:r>
              <w:t>Relevant technical staff investigates (site visit, data review).</w:t>
            </w:r>
          </w:p>
        </w:tc>
        <w:tc>
          <w:tcPr>
            <w:tcW w:type="dxa" w:w="2880"/>
          </w:tcPr>
          <w:p>
            <w:r>
              <w:t>≤ 7 days</w:t>
            </w:r>
          </w:p>
        </w:tc>
      </w:tr>
      <w:tr>
        <w:tc>
          <w:tcPr>
            <w:tcW w:type="dxa" w:w="2880"/>
          </w:tcPr>
          <w:p>
            <w:r/>
            <w:r>
              <w:rPr>
                <w:b/>
              </w:rPr>
              <w:t>5. Response</w:t>
            </w:r>
            <w:r/>
          </w:p>
        </w:tc>
        <w:tc>
          <w:tcPr>
            <w:tcW w:type="dxa" w:w="2880"/>
          </w:tcPr>
          <w:p>
            <w:r>
              <w:t>Findings and proposed remedial action communicated to complainant.</w:t>
            </w:r>
          </w:p>
        </w:tc>
        <w:tc>
          <w:tcPr>
            <w:tcW w:type="dxa" w:w="2880"/>
          </w:tcPr>
          <w:p>
            <w:r>
              <w:t>≤ 14 days</w:t>
            </w:r>
          </w:p>
        </w:tc>
      </w:tr>
      <w:tr>
        <w:tc>
          <w:tcPr>
            <w:tcW w:type="dxa" w:w="2880"/>
          </w:tcPr>
          <w:p>
            <w:r/>
            <w:r>
              <w:rPr>
                <w:b/>
              </w:rPr>
              <w:t>6. Appeal</w:t>
            </w:r>
            <w:r/>
          </w:p>
        </w:tc>
        <w:tc>
          <w:tcPr>
            <w:tcW w:type="dxa" w:w="2880"/>
          </w:tcPr>
          <w:p>
            <w:r>
              <w:t>If unsatisfied, complainant may appeal to the County Environment Office.</w:t>
            </w:r>
          </w:p>
        </w:tc>
        <w:tc>
          <w:tcPr>
            <w:tcW w:type="dxa" w:w="2880"/>
          </w:tcPr>
          <w:p>
            <w:r>
              <w:t>Within 30 days of response</w:t>
            </w:r>
          </w:p>
        </w:tc>
      </w:tr>
      <w:tr>
        <w:tc>
          <w:tcPr>
            <w:tcW w:type="dxa" w:w="2880"/>
          </w:tcPr>
          <w:p>
            <w:r/>
            <w:r>
              <w:rPr>
                <w:b/>
              </w:rPr>
              <w:t>7. Closure</w:t>
            </w:r>
            <w:r/>
          </w:p>
        </w:tc>
        <w:tc>
          <w:tcPr>
            <w:tcW w:type="dxa" w:w="2880"/>
          </w:tcPr>
          <w:p>
            <w:r>
              <w:t>GRM Committee records final outcome and closes case.</w:t>
            </w:r>
          </w:p>
        </w:tc>
        <w:tc>
          <w:tcPr>
            <w:tcW w:type="dxa" w:w="2880"/>
          </w:tcPr>
          <w:p>
            <w:r>
              <w:t>Upon resolution</w:t>
            </w:r>
          </w:p>
        </w:tc>
      </w:tr>
    </w:tbl>
    <w:p>
      <w:r>
        <w:t>All grievances and actions are documented and reported quarterly to NEMA and the County.</w:t>
      </w:r>
    </w:p>
    <w:p>
      <w:r>
        <w:t>## 8.7  Reporting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Report</w:t>
            </w:r>
          </w:p>
        </w:tc>
        <w:tc>
          <w:tcPr>
            <w:tcW w:type="dxa" w:w="2160"/>
          </w:tcPr>
          <w:p>
            <w:r>
              <w:rPr>
                <w:b/>
              </w:rPr>
              <w:t>Frequency</w:t>
            </w:r>
          </w:p>
        </w:tc>
        <w:tc>
          <w:tcPr>
            <w:tcW w:type="dxa" w:w="2160"/>
          </w:tcPr>
          <w:p>
            <w:r>
              <w:rPr>
                <w:b/>
              </w:rPr>
              <w:t>Recipient(s)</w:t>
            </w:r>
          </w:p>
        </w:tc>
        <w:tc>
          <w:tcPr>
            <w:tcW w:type="dxa" w:w="2160"/>
          </w:tcPr>
          <w:p>
            <w:r>
              <w:rPr>
                <w:b/>
              </w:rPr>
              <w:t>Content</w:t>
            </w:r>
          </w:p>
        </w:tc>
      </w:tr>
      <w:tr>
        <w:tc>
          <w:tcPr>
            <w:tcW w:type="dxa" w:w="2160"/>
          </w:tcPr>
          <w:p>
            <w:r/>
            <w:r>
              <w:rPr>
                <w:b/>
              </w:rPr>
              <w:t>Monthly Monitoring Report</w:t>
            </w:r>
            <w:r/>
          </w:p>
        </w:tc>
        <w:tc>
          <w:tcPr>
            <w:tcW w:type="dxa" w:w="2160"/>
          </w:tcPr>
          <w:p>
            <w:r>
              <w:t>Monthly</w:t>
            </w:r>
          </w:p>
        </w:tc>
        <w:tc>
          <w:tcPr>
            <w:tcW w:type="dxa" w:w="2160"/>
          </w:tcPr>
          <w:p>
            <w:r>
              <w:t>NEMA (via online portal), Kiambu County Environment Office</w:t>
            </w:r>
          </w:p>
        </w:tc>
        <w:tc>
          <w:tcPr>
            <w:tcW w:type="dxa" w:w="2160"/>
          </w:tcPr>
          <w:p>
            <w:r>
              <w:t>Summary of all monitoring data, deviations, corrective actions.</w:t>
            </w:r>
          </w:p>
        </w:tc>
      </w:tr>
      <w:tr>
        <w:tc>
          <w:tcPr>
            <w:tcW w:type="dxa" w:w="2160"/>
          </w:tcPr>
          <w:p>
            <w:r/>
            <w:r>
              <w:rPr>
                <w:b/>
              </w:rPr>
              <w:t>Quarterly Progress Report</w:t>
            </w:r>
            <w:r/>
          </w:p>
        </w:tc>
        <w:tc>
          <w:tcPr>
            <w:tcW w:type="dxa" w:w="2160"/>
          </w:tcPr>
          <w:p>
            <w:r>
              <w:t>Quarterly</w:t>
            </w:r>
          </w:p>
        </w:tc>
        <w:tc>
          <w:tcPr>
            <w:tcW w:type="dxa" w:w="2160"/>
          </w:tcPr>
          <w:p>
            <w:r>
              <w:t>NEMA, County, GRM Committee</w:t>
            </w:r>
          </w:p>
        </w:tc>
        <w:tc>
          <w:tcPr>
            <w:tcW w:type="dxa" w:w="2160"/>
          </w:tcPr>
          <w:p>
            <w:r>
              <w:t>Construction/operation progress, ESMP implementation status, training activities, GRM statistics.</w:t>
            </w:r>
          </w:p>
        </w:tc>
      </w:tr>
      <w:tr>
        <w:tc>
          <w:tcPr>
            <w:tcW w:type="dxa" w:w="2160"/>
          </w:tcPr>
          <w:p>
            <w:r/>
            <w:r>
              <w:rPr>
                <w:b/>
              </w:rPr>
              <w:t>Annual Environmental Audit</w:t>
            </w:r>
            <w:r/>
          </w:p>
        </w:tc>
        <w:tc>
          <w:tcPr>
            <w:tcW w:type="dxa" w:w="2160"/>
          </w:tcPr>
          <w:p>
            <w:r>
              <w:t>Annually</w:t>
            </w:r>
          </w:p>
        </w:tc>
        <w:tc>
          <w:tcPr>
            <w:tcW w:type="dxa" w:w="2160"/>
          </w:tcPr>
          <w:p>
            <w:r>
              <w:t>NEMA, County, Independent Auditor</w:t>
            </w:r>
          </w:p>
        </w:tc>
        <w:tc>
          <w:tcPr>
            <w:tcW w:type="dxa" w:w="2160"/>
          </w:tcPr>
          <w:p>
            <w:r>
              <w:t>Comprehensive audit of ESMP compliance, audit findings, recommendations.</w:t>
            </w:r>
          </w:p>
        </w:tc>
      </w:tr>
      <w:tr>
        <w:tc>
          <w:tcPr>
            <w:tcW w:type="dxa" w:w="2160"/>
          </w:tcPr>
          <w:p>
            <w:r/>
            <w:r>
              <w:rPr>
                <w:b/>
              </w:rPr>
              <w:t>Final Closure Report</w:t>
            </w:r>
            <w:r/>
          </w:p>
        </w:tc>
        <w:tc>
          <w:tcPr>
            <w:tcW w:type="dxa" w:w="2160"/>
          </w:tcPr>
          <w:p>
            <w:r>
              <w:t>End of 18‑year operational life</w:t>
            </w:r>
          </w:p>
        </w:tc>
        <w:tc>
          <w:tcPr>
            <w:tcW w:type="dxa" w:w="2160"/>
          </w:tcPr>
          <w:p>
            <w:r>
              <w:t>NEMA, County</w:t>
            </w:r>
          </w:p>
        </w:tc>
        <w:tc>
          <w:tcPr>
            <w:tcW w:type="dxa" w:w="2160"/>
          </w:tcPr>
          <w:p>
            <w:r>
              <w:t>Summary of cumulative impacts, rehabilitation outcomes, post‑closure monitoring plan.</w:t>
            </w:r>
          </w:p>
        </w:tc>
      </w:tr>
    </w:tbl>
    <w:p>
      <w:r>
        <w:t>All reports shall be prepared in English and Kiswahili where required, and archived for a minimum of 10 years.</w:t>
      </w:r>
    </w:p>
    <w:p>
      <w:r>
        <w:t>## 8.8  Budget for ESMP Implementation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Estimated Cost (KES)</w:t>
            </w:r>
          </w:p>
        </w:tc>
        <w:tc>
          <w:tcPr>
            <w:tcW w:type="dxa" w:w="2880"/>
          </w:tcPr>
          <w:p>
            <w:r>
              <w:rPr>
                <w:b/>
              </w:rPr>
              <w:t>Notes</w:t>
            </w:r>
          </w:p>
        </w:tc>
      </w:tr>
      <w:tr>
        <w:tc>
          <w:tcPr>
            <w:tcW w:type="dxa" w:w="2880"/>
          </w:tcPr>
          <w:p>
            <w:r>
              <w:t>Dust suppression equipment (spray systems, water tanks)</w:t>
            </w:r>
          </w:p>
        </w:tc>
        <w:tc>
          <w:tcPr>
            <w:tcW w:type="dxa" w:w="2880"/>
          </w:tcPr>
          <w:p>
            <w:r/>
            <w:r>
              <w:rPr>
                <w:b/>
              </w:rPr>
              <w:t>[MISSING: DUST SUPPRESSION EQUIPMENT COST]</w:t>
            </w:r>
            <w:r/>
          </w:p>
        </w:tc>
        <w:tc>
          <w:tcPr>
            <w:tcW w:type="dxa" w:w="2880"/>
          </w:tcPr>
          <w:p>
            <w:r>
              <w:t>Procurement during construction</w:t>
            </w:r>
          </w:p>
        </w:tc>
      </w:tr>
      <w:tr>
        <w:tc>
          <w:tcPr>
            <w:tcW w:type="dxa" w:w="2880"/>
          </w:tcPr>
          <w:p>
            <w:r>
              <w:t>Noise barriers &amp; acoustic enclosures</w:t>
            </w:r>
          </w:p>
        </w:tc>
        <w:tc>
          <w:tcPr>
            <w:tcW w:type="dxa" w:w="2880"/>
          </w:tcPr>
          <w:p>
            <w:r/>
            <w:r>
              <w:rPr>
                <w:b/>
              </w:rPr>
              <w:t>[MISSING: NOISE CONTROL COST]</w:t>
            </w:r>
            <w:r/>
          </w:p>
        </w:tc>
        <w:tc>
          <w:tcPr>
            <w:tcW w:type="dxa" w:w="2880"/>
          </w:tcPr>
          <w:p>
            <w:r>
              <w:t>Installation prior to operation</w:t>
            </w:r>
          </w:p>
        </w:tc>
      </w:tr>
      <w:tr>
        <w:tc>
          <w:tcPr>
            <w:tcW w:type="dxa" w:w="2880"/>
          </w:tcPr>
          <w:p>
            <w:r>
              <w:t>Blast monitoring &amp; vibration sensors</w:t>
            </w:r>
          </w:p>
        </w:tc>
        <w:tc>
          <w:tcPr>
            <w:tcW w:type="dxa" w:w="2880"/>
          </w:tcPr>
          <w:p>
            <w:r/>
            <w:r>
              <w:rPr>
                <w:b/>
              </w:rPr>
              <w:t>[MISSING: VIBRATION MONITORING COST]</w:t>
            </w:r>
            <w:r/>
          </w:p>
        </w:tc>
        <w:tc>
          <w:tcPr>
            <w:tcW w:type="dxa" w:w="2880"/>
          </w:tcPr>
          <w:p>
            <w:r>
              <w:t>Includes data logger and software</w:t>
            </w:r>
          </w:p>
        </w:tc>
      </w:tr>
    </w:tbl>
    <w:p>
      <w:r>
        <w:t xml:space="preserve">| Water treatment &amp; recycling system | </w:t>
      </w:r>
      <w:r>
        <w:rPr>
          <w:b/>
        </w:rPr>
        <w:t>[MISSING: WATER REUSE SYSTEM COST]</w:t>
      </w:r>
      <w:r/>
    </w:p>
    <w:p>
      <w:r>
        <w:br w:type="page"/>
      </w:r>
    </w:p>
    <w:p>
      <w:pPr>
        <w:pStyle w:val="Heading1"/>
      </w:pPr>
      <w:r>
        <w:t>Chapter 9: Conclusion and Recommendations</w:t>
      </w:r>
    </w:p>
    <w:p>
      <w:r>
        <w:t>## 9.1 Summary of Environmental Findings</w:t>
      </w:r>
    </w:p>
    <w:p>
      <w:r>
        <w:t>The proposed Kiuu Quarry &amp; Aggregate Processing Facility will be situated on a 6.37‑ha leasehold within a predominantly rocky scrubland that has been partially used as a disused quarry pit. Baseline monitoring (May 2026) indicates that ambient air quality (PM₂.5 = 22 µg/m³, PM₁₀ = 63 µg/m³) and ambient noise (58 dBA) are within the national standards for a rural‑suburban setting. Groundwater occurs at a depth of 61 m and the Ndarugo River lies 95 m to the northeast of the site.</w:t>
      </w:r>
    </w:p>
    <w:p>
      <w:r>
        <w:t>Key receptors within a 1 km radius include a health centre, primary school, church, the river, a staff borehole, a forest buffer, and a local trading centre. Stakeholder engagement activities (newspaper notice, baraza with 173 participants, GRM committee) have identified community concerns centred on vibration, dust, water quality, and heavy vehicle traffic.</w:t>
      </w:r>
    </w:p>
    <w:p>
      <w:r>
        <w:t>The ESIA analysis demonstrates that, provided the mitigation measures outlined in the ESMP are fully implemented, the majority of predicted impacts can be reduced to “moderate” or “low” significance. However, residual impacts—particularly low‑level dust, noise during peak operational periods, and occasional ground vibration—are expected to persist and will require ongoing monitoring and adaptive management.</w:t>
      </w:r>
    </w:p>
    <w:p>
      <w:r>
        <w:t>## 9.2 Conclusions</w:t>
      </w:r>
    </w:p>
    <w:p>
      <w:pPr>
        <w:pStyle w:val="ListNumber"/>
      </w:pPr>
      <w:r/>
      <w:r>
        <w:rPr>
          <w:b/>
        </w:rPr>
        <w:t>Compliance Feasibility</w:t>
      </w:r>
      <w:r>
        <w:t xml:space="preserve"> – The project is technically capable of meeting the applicable Kenyan statutory requirements (e.g., Environmental Management and Coordination Act 1999, Water Act 2016, Kenya Standard KS 2003 for vibration) and the conditions of the World Bank Environmental and Social Framework (ESF).</w:t>
      </w:r>
    </w:p>
    <w:p>
      <w:pPr>
        <w:pStyle w:val="ListNumber"/>
      </w:pPr>
      <w:r/>
      <w:r>
        <w:rPr>
          <w:b/>
        </w:rPr>
        <w:t>Significance of Impacts</w:t>
      </w:r>
      <w:r>
        <w:t xml:space="preserve"> –</w:t>
      </w:r>
    </w:p>
    <w:p>
      <w:pPr>
        <w:pStyle w:val="ListBullet"/>
      </w:pPr>
      <w:r/>
      <w:r>
        <w:rPr>
          <w:b/>
        </w:rPr>
        <w:t>Air Quality &amp; Dust</w:t>
      </w:r>
      <w:r>
        <w:t xml:space="preserve"> – Controlled crushing and screening, combined with wet suppression, are projected to keep PM concentrations below the 24‑hour national ambient air quality standards, though occasional exceedances may occur during peak blasting or high‑wind conditions.</w:t>
      </w:r>
    </w:p>
    <w:p>
      <w:pPr>
        <w:pStyle w:val="ListBullet"/>
      </w:pPr>
      <w:r/>
      <w:r>
        <w:rPr>
          <w:b/>
        </w:rPr>
        <w:t>Noise &amp; Vibration</w:t>
      </w:r>
      <w:r>
        <w:t xml:space="preserve"> – Noise levels are expected to remain within the 65 dBA daytime limit for industrial activities, but residual noise above baseline will be audible at the health centre and school during blasting windows. Vibration levels are anticipated to stay within the KS 2003 permissible limits, yet minor perceptible vibrations may be experienced by structures within 500 m.</w:t>
      </w:r>
    </w:p>
    <w:p>
      <w:pPr>
        <w:pStyle w:val="ListBullet"/>
      </w:pPr>
      <w:r/>
      <w:r>
        <w:rPr>
          <w:b/>
        </w:rPr>
        <w:t>Water Resources</w:t>
      </w:r>
      <w:r>
        <w:t xml:space="preserve"> – The 30 m no‑disturbance buffer and sediment traps are designed to protect the Ndarugo River from sedimentation and chemical contamination. Nevertheless, occasional turbidity spikes may occur during heavy rainfall events.</w:t>
      </w:r>
    </w:p>
    <w:p>
      <w:pPr>
        <w:pStyle w:val="ListBullet"/>
      </w:pPr>
      <w:r/>
      <w:r>
        <w:rPr>
          <w:b/>
        </w:rPr>
        <w:t>Traffic &amp; Road Safety</w:t>
      </w:r>
      <w:r>
        <w:t xml:space="preserve"> – The alternate haul route and time‑restricted movements will mitigate most traffic‑related impacts, though increased heavy‑vehicle traffic on the bypass road may raise wear‑and‑tear and safety concerns for local users.</w:t>
      </w:r>
    </w:p>
    <w:p>
      <w:pPr>
        <w:pStyle w:val="ListNumber"/>
      </w:pPr>
      <w:r/>
      <w:r>
        <w:rPr>
          <w:b/>
        </w:rPr>
        <w:t>Social &amp; Economic Aspects</w:t>
      </w:r>
      <w:r>
        <w:t xml:space="preserve"> – The project will generate employment (construction and operation) and provide a local source of aggregate material, contributing to regional infrastructure development. No corporate social responsibility (CSR) programmes have been stipulated in the current application; any future CSR initiatives should be developed in consultation with the GRM Committee and vulnerable groups.</w:t>
      </w:r>
    </w:p>
    <w:p>
      <w:pPr>
        <w:pStyle w:val="ListNumber"/>
      </w:pPr>
      <w:r/>
      <w:r>
        <w:rPr>
          <w:b/>
        </w:rPr>
        <w:t>Overall Assessment</w:t>
      </w:r>
      <w:r>
        <w:t xml:space="preserve"> – Subject to the implementation of the ESMP and the monitoring programme described below, the project is deemed </w:t>
      </w:r>
      <w:r>
        <w:rPr>
          <w:b/>
        </w:rPr>
        <w:t>environmentally acceptable</w:t>
      </w:r>
      <w:r>
        <w:t xml:space="preserve"> for the pre‑approval stage, with the understanding that residual impacts will be managed adaptively.</w:t>
      </w:r>
    </w:p>
    <w:p>
      <w:r>
        <w:t>## 9.3 Recommendations</w:t>
      </w:r>
    </w:p>
    <w:p>
      <w:r>
        <w:t>### 9.3.1 Implementation of the ESMP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Recommendation</w:t>
            </w:r>
          </w:p>
        </w:tc>
        <w:tc>
          <w:tcPr>
            <w:tcW w:type="dxa" w:w="2160"/>
          </w:tcPr>
          <w:p>
            <w:r>
              <w:rPr>
                <w:b/>
              </w:rPr>
              <w:t>Action</w:t>
            </w:r>
          </w:p>
        </w:tc>
        <w:tc>
          <w:tcPr>
            <w:tcW w:type="dxa" w:w="2160"/>
          </w:tcPr>
          <w:p>
            <w:r>
              <w:rPr>
                <w:b/>
              </w:rPr>
              <w:t>Responsible Party</w:t>
            </w:r>
          </w:p>
        </w:tc>
        <w:tc>
          <w:tcPr>
            <w:tcW w:type="dxa" w:w="2160"/>
          </w:tcPr>
          <w:p>
            <w:r>
              <w:rPr>
                <w:b/>
              </w:rPr>
              <w:t>Timeline</w:t>
            </w:r>
          </w:p>
        </w:tc>
      </w:tr>
      <w:tr>
        <w:tc>
          <w:tcPr>
            <w:tcW w:type="dxa" w:w="2160"/>
          </w:tcPr>
          <w:p>
            <w:r/>
            <w:r>
              <w:rPr>
                <w:b/>
              </w:rPr>
              <w:t>Dust Control</w:t>
            </w:r>
            <w:r/>
          </w:p>
        </w:tc>
        <w:tc>
          <w:tcPr>
            <w:tcW w:type="dxa" w:w="2160"/>
          </w:tcPr>
          <w:p>
            <w:r>
              <w:t>Operate wet suppression systems on crushers and conveyors; maintain perimeter tree buffer; conduct daily water spray on haul roads.</w:t>
            </w:r>
          </w:p>
        </w:tc>
        <w:tc>
          <w:tcPr>
            <w:tcW w:type="dxa" w:w="2160"/>
          </w:tcPr>
          <w:p>
            <w:r>
              <w:t>Site Operations Manager</w:t>
            </w:r>
          </w:p>
        </w:tc>
        <w:tc>
          <w:tcPr>
            <w:tcW w:type="dxa" w:w="2160"/>
          </w:tcPr>
          <w:p>
            <w:r>
              <w:t>Commence at start‑up; continuous</w:t>
            </w:r>
          </w:p>
        </w:tc>
      </w:tr>
      <w:tr>
        <w:tc>
          <w:tcPr>
            <w:tcW w:type="dxa" w:w="2160"/>
          </w:tcPr>
          <w:p>
            <w:r/>
            <w:r>
              <w:rPr>
                <w:b/>
              </w:rPr>
              <w:t>Noise &amp; Vibration Management</w:t>
            </w:r>
            <w:r/>
          </w:p>
        </w:tc>
        <w:tc>
          <w:tcPr>
            <w:tcW w:type="dxa" w:w="2160"/>
          </w:tcPr>
          <w:p>
            <w:r>
              <w:t>Enforce blast charge limits per KS 2003; conduct pre‑blast structural surveys for homes within 500 m; install vibration monitoring stations at the health centre and school.</w:t>
            </w:r>
          </w:p>
        </w:tc>
        <w:tc>
          <w:tcPr>
            <w:tcW w:type="dxa" w:w="2160"/>
          </w:tcPr>
          <w:p>
            <w:r>
              <w:t xml:space="preserve">Blast Engineer </w:t>
            </w:r>
            <w:r>
              <w:rPr>
                <w:b/>
              </w:rPr>
              <w:t>[MISSING: EXPLOSIVE TYPE]</w:t>
            </w:r>
            <w:r/>
          </w:p>
        </w:tc>
        <w:tc>
          <w:tcPr>
            <w:tcW w:type="dxa" w:w="2160"/>
          </w:tcPr>
          <w:p>
            <w:r>
              <w:t>Prior to first blast; ongoing</w:t>
            </w:r>
          </w:p>
        </w:tc>
      </w:tr>
      <w:tr>
        <w:tc>
          <w:tcPr>
            <w:tcW w:type="dxa" w:w="2160"/>
          </w:tcPr>
          <w:p>
            <w:r/>
            <w:r>
              <w:rPr>
                <w:b/>
              </w:rPr>
              <w:t>Water Protection</w:t>
            </w:r>
            <w:r/>
          </w:p>
        </w:tc>
        <w:tc>
          <w:tcPr>
            <w:tcW w:type="dxa" w:w="2160"/>
          </w:tcPr>
          <w:p>
            <w:r>
              <w:t>Maintain 30 m no‑disturbance buffer; install sediment traps and oil‑water separators on all runoff points; conduct monthly water quality sampling of Ndarugo River (turbidity, pH, heavy metals).</w:t>
            </w:r>
          </w:p>
        </w:tc>
        <w:tc>
          <w:tcPr>
            <w:tcW w:type="dxa" w:w="2160"/>
          </w:tcPr>
          <w:p>
            <w:r>
              <w:t>Environmental Officer</w:t>
            </w:r>
          </w:p>
        </w:tc>
        <w:tc>
          <w:tcPr>
            <w:tcW w:type="dxa" w:w="2160"/>
          </w:tcPr>
          <w:p>
            <w:r>
              <w:t>Start of construction; monthly</w:t>
            </w:r>
          </w:p>
        </w:tc>
      </w:tr>
      <w:tr>
        <w:tc>
          <w:tcPr>
            <w:tcW w:type="dxa" w:w="2160"/>
          </w:tcPr>
          <w:p>
            <w:r/>
            <w:r>
              <w:rPr>
                <w:b/>
              </w:rPr>
              <w:t>Traffic Management</w:t>
            </w:r>
            <w:r/>
          </w:p>
        </w:tc>
        <w:tc>
          <w:tcPr>
            <w:tcW w:type="dxa" w:w="2160"/>
          </w:tcPr>
          <w:p>
            <w:r>
              <w:t>Use alternate haul route; restrict truck movements to 08:00‑17:00; implement speed limits and signage; conduct quarterly road condition surveys.</w:t>
            </w:r>
          </w:p>
        </w:tc>
        <w:tc>
          <w:tcPr>
            <w:tcW w:type="dxa" w:w="2160"/>
          </w:tcPr>
          <w:p>
            <w:r>
              <w:t xml:space="preserve">Logistics Coordinator </w:t>
            </w:r>
            <w:r>
              <w:rPr>
                <w:b/>
              </w:rPr>
              <w:t>[MISSING: TRUCK VOLUME]</w:t>
            </w:r>
            <w:r/>
          </w:p>
        </w:tc>
        <w:tc>
          <w:tcPr>
            <w:tcW w:type="dxa" w:w="2160"/>
          </w:tcPr>
          <w:p>
            <w:r>
              <w:t>Prior to first haul; quarterly</w:t>
            </w:r>
          </w:p>
        </w:tc>
      </w:tr>
      <w:tr>
        <w:tc>
          <w:tcPr>
            <w:tcW w:type="dxa" w:w="2160"/>
          </w:tcPr>
          <w:p>
            <w:r/>
            <w:r>
              <w:rPr>
                <w:b/>
              </w:rPr>
              <w:t>Air Quality Monitoring</w:t>
            </w:r>
            <w:r/>
          </w:p>
        </w:tc>
        <w:tc>
          <w:tcPr>
            <w:tcW w:type="dxa" w:w="2160"/>
          </w:tcPr>
          <w:p>
            <w:r>
              <w:t>Install continuous PM₂.₅/PM₁₀ monitors at the site perimeter and at the health centre; report exceedances &gt;10 % above baseline to NEMA within 24 h.</w:t>
            </w:r>
          </w:p>
        </w:tc>
        <w:tc>
          <w:tcPr>
            <w:tcW w:type="dxa" w:w="2160"/>
          </w:tcPr>
          <w:p>
            <w:r>
              <w:t>Health &amp; Safety Officer</w:t>
            </w:r>
          </w:p>
        </w:tc>
        <w:tc>
          <w:tcPr>
            <w:tcW w:type="dxa" w:w="2160"/>
          </w:tcPr>
          <w:p>
            <w:r>
              <w:t>Start of crushing; continuous</w:t>
            </w:r>
          </w:p>
        </w:tc>
      </w:tr>
      <w:tr>
        <w:tc>
          <w:tcPr>
            <w:tcW w:type="dxa" w:w="2160"/>
          </w:tcPr>
          <w:p>
            <w:r/>
            <w:r>
              <w:rPr>
                <w:b/>
              </w:rPr>
              <w:t>Community Grievance Redress</w:t>
            </w:r>
            <w:r/>
          </w:p>
        </w:tc>
        <w:tc>
          <w:tcPr>
            <w:tcW w:type="dxa" w:w="2160"/>
          </w:tcPr>
          <w:p>
            <w:r>
              <w:t>Operate the GRM Committee; maintain a publicly accessible grievance log; resolve complaints within 30 days.</w:t>
            </w:r>
          </w:p>
        </w:tc>
        <w:tc>
          <w:tcPr>
            <w:tcW w:type="dxa" w:w="2160"/>
          </w:tcPr>
          <w:p>
            <w:r>
              <w:t>Community Liaison Officer</w:t>
            </w:r>
          </w:p>
        </w:tc>
        <w:tc>
          <w:tcPr>
            <w:tcW w:type="dxa" w:w="2160"/>
          </w:tcPr>
          <w:p>
            <w:r>
              <w:t>Ongoing</w:t>
            </w:r>
          </w:p>
        </w:tc>
      </w:tr>
      <w:tr>
        <w:tc>
          <w:tcPr>
            <w:tcW w:type="dxa" w:w="2160"/>
          </w:tcPr>
          <w:p>
            <w:r/>
            <w:r>
              <w:rPr>
                <w:b/>
              </w:rPr>
              <w:t>Emergency Preparedness</w:t>
            </w:r>
            <w:r/>
          </w:p>
        </w:tc>
        <w:tc>
          <w:tcPr>
            <w:tcW w:type="dxa" w:w="2160"/>
          </w:tcPr>
          <w:p>
            <w:r>
              <w:t>Develop site‑specific emergency response plan (including spill containment, fire, blast incident); conduct semi‑annual drills with local emergency services.</w:t>
            </w:r>
          </w:p>
        </w:tc>
        <w:tc>
          <w:tcPr>
            <w:tcW w:type="dxa" w:w="2160"/>
          </w:tcPr>
          <w:p>
            <w:r>
              <w:t>Safety Manager</w:t>
            </w:r>
          </w:p>
        </w:tc>
        <w:tc>
          <w:tcPr>
            <w:tcW w:type="dxa" w:w="2160"/>
          </w:tcPr>
          <w:p>
            <w:r>
              <w:t>Prior to commissioning; semi‑annual</w:t>
            </w:r>
          </w:p>
        </w:tc>
      </w:tr>
    </w:tbl>
    <w:p>
      <w:r>
        <w:t>### 9.3.2 Monitoring and Reporting</w:t>
      </w:r>
    </w:p>
    <w:p>
      <w:pPr>
        <w:pStyle w:val="ListNumber"/>
      </w:pPr>
      <w:r/>
      <w:r>
        <w:rPr>
          <w:b/>
        </w:rPr>
        <w:t>Air Quality</w:t>
      </w:r>
      <w:r>
        <w:t xml:space="preserve"> – Continuous PM monitoring; quarterly reporting to NEMA and the GRM.</w:t>
      </w:r>
    </w:p>
    <w:p>
      <w:pPr>
        <w:pStyle w:val="ListNumber"/>
      </w:pPr>
      <w:r/>
      <w:r>
        <w:rPr>
          <w:b/>
        </w:rPr>
        <w:t>Noise &amp; Vibration</w:t>
      </w:r>
      <w:r>
        <w:t xml:space="preserve"> – Daily noise logs; vibration measurements after each blast; annual compliance audit.</w:t>
      </w:r>
    </w:p>
    <w:p>
      <w:pPr>
        <w:pStyle w:val="ListNumber"/>
      </w:pPr>
      <w:r/>
      <w:r>
        <w:rPr>
          <w:b/>
        </w:rPr>
        <w:t>Water Quality</w:t>
      </w:r>
      <w:r>
        <w:t xml:space="preserve"> – Monthly sampling of river water and on‑site borehole; immediate notification of any parameter exceeding Water Act 2016 limits.</w:t>
      </w:r>
    </w:p>
    <w:p>
      <w:pPr>
        <w:pStyle w:val="ListNumber"/>
      </w:pPr>
      <w:r/>
      <w:r>
        <w:rPr>
          <w:b/>
        </w:rPr>
        <w:t>Biodiversity</w:t>
      </w:r>
      <w:r>
        <w:t xml:space="preserve"> – Bi‑annual surveys of the Kieni Forest Buffer Zone to detect any encroachment or disturbance.</w:t>
      </w:r>
    </w:p>
    <w:p>
      <w:pPr>
        <w:pStyle w:val="ListNumber"/>
      </w:pPr>
      <w:r/>
      <w:r>
        <w:rPr>
          <w:b/>
        </w:rPr>
        <w:t>Traffic</w:t>
      </w:r>
      <w:r>
        <w:t xml:space="preserve"> – Quarterly traffic counts and road wear assessments; submission of findings to the County Transport Authority.</w:t>
      </w:r>
    </w:p>
    <w:p>
      <w:r>
        <w:t xml:space="preserve">All monitoring data shall be compiled into an </w:t>
      </w:r>
      <w:r>
        <w:rPr>
          <w:b/>
        </w:rPr>
        <w:t>Annual ESMP Performance Report</w:t>
      </w:r>
      <w:r>
        <w:t xml:space="preserve"> and submitted to NEMA, the County Environmental Management Unit, and made publicly available on the proponent’s website.</w:t>
      </w:r>
    </w:p>
    <w:p>
      <w:r>
        <w:t>### 9.3.3 Adaptive Management</w:t>
      </w:r>
    </w:p>
    <w:p>
      <w:pPr>
        <w:pStyle w:val="ListBullet"/>
      </w:pPr>
      <w:r>
        <w:t>If dust concentrations exceed the 24‑hour standard on three consecutive days, increase water spray frequency and consider additional enclosure of crushing equipment.</w:t>
      </w:r>
    </w:p>
    <w:p>
      <w:pPr>
        <w:pStyle w:val="ListBullet"/>
      </w:pPr>
      <w:r>
        <w:t>Should vibration readings approach the KS 2003 limit, revise blast design (e.g., reduce charge per hole) and increase the distance between blast points and sensitive receptors.</w:t>
      </w:r>
    </w:p>
    <w:p>
      <w:pPr>
        <w:pStyle w:val="ListBullet"/>
      </w:pPr>
      <w:r>
        <w:t>In the event of river turbidity spikes &gt;30 NTU, suspend all runoff discharge for 48 h and implement emergency sediment capture measures.</w:t>
      </w:r>
    </w:p>
    <w:p>
      <w:r>
        <w:t>### 9.3.4 Stakeholder Engagement</w:t>
      </w:r>
    </w:p>
    <w:p>
      <w:pPr>
        <w:pStyle w:val="ListBullet"/>
      </w:pPr>
      <w:r>
        <w:t>Continue quarterly barazas and maintain the GRM Committee as the primary conduit for community feedback.</w:t>
      </w:r>
    </w:p>
    <w:p>
      <w:pPr>
        <w:pStyle w:val="ListBullet"/>
      </w:pPr>
      <w:r>
        <w:t>Provide annual updates on ESMP performance, including visual summaries of monitoring results, at community meetings.</w:t>
      </w:r>
    </w:p>
    <w:p>
      <w:pPr>
        <w:pStyle w:val="ListBullet"/>
      </w:pPr>
      <w:r>
        <w:t>Prioritize transport assistance for elderly residents during blasting windows, as previously agreed.</w:t>
      </w:r>
    </w:p>
    <w:p>
      <w:r>
        <w:t>### 9.3.5 Legal and Institutional Compliance</w:t>
      </w:r>
    </w:p>
    <w:p>
      <w:pPr>
        <w:pStyle w:val="ListBullet"/>
      </w:pPr>
      <w:r>
        <w:t xml:space="preserve">Ensure all operational activities comply with the </w:t>
      </w:r>
      <w:r>
        <w:rPr>
          <w:b/>
        </w:rPr>
        <w:t>Environmental Management and Coordination Act 1999</w:t>
      </w:r>
      <w:r>
        <w:t xml:space="preserve">, </w:t>
      </w:r>
      <w:r>
        <w:rPr>
          <w:b/>
        </w:rPr>
        <w:t>Water Act 2016</w:t>
      </w:r>
      <w:r>
        <w:t xml:space="preserve">, </w:t>
      </w:r>
      <w:r>
        <w:rPr>
          <w:b/>
        </w:rPr>
        <w:t>Kenya Standard KS 2003 (Vibration)</w:t>
      </w:r>
      <w:r>
        <w:t xml:space="preserve">, and the </w:t>
      </w:r>
      <w:r>
        <w:rPr>
          <w:b/>
        </w:rPr>
        <w:t>World Bank Environmental and Social Framework (ESF)</w:t>
      </w:r>
      <w:r>
        <w:t>.</w:t>
      </w:r>
    </w:p>
    <w:p>
      <w:pPr>
        <w:pStyle w:val="ListBullet"/>
      </w:pPr>
      <w:r>
        <w:t>Obtain all required permits (e.g., water abstraction, blasting licence) before commencement of the respective activities.</w:t>
      </w:r>
    </w:p>
    <w:p>
      <w:r>
        <w:t>### 9.3.6 Capacity Building</w:t>
      </w:r>
    </w:p>
    <w:p>
      <w:pPr>
        <w:pStyle w:val="ListBullet"/>
      </w:pPr>
      <w:r>
        <w:t>Provide training for site staff on ESMP implementation, monitoring techniques, and emergency response.</w:t>
      </w:r>
    </w:p>
    <w:p>
      <w:pPr>
        <w:pStyle w:val="ListBullet"/>
      </w:pPr>
      <w:r>
        <w:t>Conduct capacity‑building workshops for the GRM Committee to enhance effective grievance handling and community participation.</w:t>
      </w:r>
    </w:p>
    <w:p>
      <w:r>
        <w:t>## 9.4 Final Statement</w:t>
      </w:r>
    </w:p>
    <w:p>
      <w:r>
        <w:t>The Kiuu Quarry &amp; Aggregate Processing Facility presents a viable opportunity to meet regional construction material demand while delivering socio‑economic benefits to the Gatundu South community. The ESIA indicates that, with diligent implementation of the recommended ESMP measures, the project’s environmental and social impacts can be managed to an acceptable level. The proponent is therefore advised to proceed to the next stage of the NEMA licensing process, ensuring that all identified mitigation actions, monitoring programmes, and stakeholder engagement mechanisms are fully operational prior to the start of construction on 11 May 2027.</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