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Executive Summary</w:t>
      </w:r>
    </w:p>
    <w:p>
      <w:r>
        <w:t>## Project Overview</w:t>
      </w:r>
    </w:p>
    <w:p>
      <w:r>
        <w:t xml:space="preserve">The </w:t>
      </w:r>
      <w:r>
        <w:rPr>
          <w:b/>
        </w:rPr>
        <w:t>Kiuu Quarry &amp; Aggregate Processing Facility</w:t>
      </w:r>
      <w:r>
        <w:t xml:space="preserve"> is proposed by </w:t>
      </w:r>
      <w:r>
        <w:rPr>
          <w:b/>
        </w:rPr>
        <w:t>Rockline Aggregates (K) Ltd.</w:t>
      </w:r>
      <w:r>
        <w:t xml:space="preserve"> (PIN: P059413827R) on a 6.37‑ha leasehold (LR No. 4417/09) in Ndarugo Ward, Gatundu South, Kiambu County (coordinates ‑1.0873, 37.0142). The development will consist of a primary crushing plant, screening line, and associated ancillary infrastructure. Construction is scheduled to commence on </w:t>
      </w:r>
      <w:r>
        <w:rPr>
          <w:b/>
        </w:rPr>
        <w:t>11 May 2027</w:t>
      </w:r>
      <w:r>
        <w:t xml:space="preserve"> and will last </w:t>
      </w:r>
      <w:r>
        <w:rPr>
          <w:b/>
        </w:rPr>
        <w:t>9 months</w:t>
      </w:r>
      <w:r>
        <w:t xml:space="preserve">; the operational phase is projected for </w:t>
      </w:r>
      <w:r>
        <w:rPr>
          <w:b/>
        </w:rPr>
        <w:t>18 years</w:t>
      </w:r>
      <w:r>
        <w:t xml:space="preserve"> with an estimated capital cost of </w:t>
      </w:r>
      <w:r>
        <w:rPr>
          <w:b/>
        </w:rPr>
        <w:t>KES 417.6 million</w:t>
      </w:r>
      <w:r>
        <w:t>.</w:t>
      </w:r>
    </w:p>
    <w:p>
      <w:r>
        <w:t>Key engineering specifications (as provided):</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r>
              <w:rPr>
                <w:b/>
              </w:rPr>
              <w:t>Production capacity</w:t>
            </w:r>
            <w:r/>
          </w:p>
        </w:tc>
        <w:tc>
          <w:tcPr>
            <w:tcW w:type="dxa" w:w="4320"/>
          </w:tcPr>
          <w:p>
            <w:r>
              <w:t>840 tonnes day⁻¹ aggregate</w:t>
            </w:r>
          </w:p>
        </w:tc>
      </w:tr>
      <w:tr>
        <w:tc>
          <w:tcPr>
            <w:tcW w:type="dxa" w:w="4320"/>
          </w:tcPr>
          <w:p>
            <w:r/>
            <w:r>
              <w:rPr>
                <w:b/>
              </w:rPr>
              <w:t>Explosive type</w:t>
            </w:r>
            <w:r/>
          </w:p>
        </w:tc>
        <w:tc>
          <w:tcPr>
            <w:tcW w:type="dxa" w:w="4320"/>
          </w:tcPr>
          <w:p>
            <w:r>
              <w:t>ANFO (bulk‑loaded)</w:t>
            </w:r>
          </w:p>
        </w:tc>
      </w:tr>
      <w:tr>
        <w:tc>
          <w:tcPr>
            <w:tcW w:type="dxa" w:w="4320"/>
          </w:tcPr>
          <w:p>
            <w:r/>
            <w:r>
              <w:rPr>
                <w:b/>
              </w:rPr>
              <w:t>Blast frequency</w:t>
            </w:r>
            <w:r/>
          </w:p>
        </w:tc>
        <w:tc>
          <w:tcPr>
            <w:tcW w:type="dxa" w:w="4320"/>
          </w:tcPr>
          <w:p>
            <w:r>
              <w:t>2 blasts week⁻¹ (max charge 45 kg per delay)</w:t>
            </w:r>
          </w:p>
        </w:tc>
      </w:tr>
      <w:tr>
        <w:tc>
          <w:tcPr>
            <w:tcW w:type="dxa" w:w="4320"/>
          </w:tcPr>
          <w:p>
            <w:r/>
            <w:r>
              <w:rPr>
                <w:b/>
              </w:rPr>
              <w:t>Daily truck movements</w:t>
            </w:r>
            <w:r/>
          </w:p>
        </w:tc>
        <w:tc>
          <w:tcPr>
            <w:tcW w:type="dxa" w:w="4320"/>
          </w:tcPr>
          <w:p>
            <w:r>
              <w:t>62 trips (31 loaded round‑trips)</w:t>
            </w:r>
          </w:p>
        </w:tc>
      </w:tr>
      <w:tr>
        <w:tc>
          <w:tcPr>
            <w:tcW w:type="dxa" w:w="4320"/>
          </w:tcPr>
          <w:p>
            <w:r/>
            <w:r>
              <w:rPr>
                <w:b/>
              </w:rPr>
              <w:t>Power demand (plant)</w:t>
            </w:r>
            <w:r/>
          </w:p>
        </w:tc>
        <w:tc>
          <w:tcPr>
            <w:tcW w:type="dxa" w:w="4320"/>
          </w:tcPr>
          <w:p>
            <w:r>
              <w:t>290 kW</w:t>
            </w:r>
          </w:p>
        </w:tc>
      </w:tr>
      <w:tr>
        <w:tc>
          <w:tcPr>
            <w:tcW w:type="dxa" w:w="4320"/>
          </w:tcPr>
          <w:p>
            <w:r/>
            <w:r>
              <w:rPr>
                <w:b/>
              </w:rPr>
              <w:t>Stand‑by generator</w:t>
            </w:r>
            <w:r/>
          </w:p>
        </w:tc>
        <w:tc>
          <w:tcPr>
            <w:tcW w:type="dxa" w:w="4320"/>
          </w:tcPr>
          <w:p>
            <w:r>
              <w:t>380 kVA diesel</w:t>
            </w:r>
          </w:p>
        </w:tc>
      </w:tr>
      <w:tr>
        <w:tc>
          <w:tcPr>
            <w:tcW w:type="dxa" w:w="4320"/>
          </w:tcPr>
          <w:p>
            <w:r/>
            <w:r>
              <w:rPr>
                <w:b/>
              </w:rPr>
              <w:t>Daily water consumption</w:t>
            </w:r>
            <w:r/>
          </w:p>
        </w:tc>
        <w:tc>
          <w:tcPr>
            <w:tcW w:type="dxa" w:w="4320"/>
          </w:tcPr>
          <w:p>
            <w:r>
              <w:t>34 m³ day⁻¹ (dust suppression &amp; wheel wash)</w:t>
            </w:r>
          </w:p>
        </w:tc>
      </w:tr>
      <w:tr>
        <w:tc>
          <w:tcPr>
            <w:tcW w:type="dxa" w:w="4320"/>
          </w:tcPr>
          <w:p>
            <w:r/>
            <w:r>
              <w:rPr>
                <w:b/>
              </w:rPr>
              <w:t>Dust suppression</w:t>
            </w:r>
            <w:r/>
          </w:p>
        </w:tc>
        <w:tc>
          <w:tcPr>
            <w:tcW w:type="dxa" w:w="4320"/>
          </w:tcPr>
          <w:p>
            <w:r>
              <w:t>2 × 10 000 L water bowsers + fixed sprinkler line</w:t>
            </w:r>
          </w:p>
        </w:tc>
      </w:tr>
      <w:tr>
        <w:tc>
          <w:tcPr>
            <w:tcW w:type="dxa" w:w="4320"/>
          </w:tcPr>
          <w:p>
            <w:r/>
            <w:r>
              <w:rPr>
                <w:b/>
              </w:rPr>
              <w:t>Noise barrier</w:t>
            </w:r>
            <w:r/>
          </w:p>
        </w:tc>
        <w:tc>
          <w:tcPr>
            <w:tcW w:type="dxa" w:w="4320"/>
          </w:tcPr>
          <w:p>
            <w:r>
              <w:t>4 m earth berm + vegetated buffer (east perimeter)</w:t>
            </w:r>
          </w:p>
        </w:tc>
      </w:tr>
      <w:tr>
        <w:tc>
          <w:tcPr>
            <w:tcW w:type="dxa" w:w="4320"/>
          </w:tcPr>
          <w:p>
            <w:r/>
            <w:r>
              <w:rPr>
                <w:b/>
              </w:rPr>
              <w:t>Vibration monitoring</w:t>
            </w:r>
            <w:r/>
          </w:p>
        </w:tc>
        <w:tc>
          <w:tcPr>
            <w:tcW w:type="dxa" w:w="4320"/>
          </w:tcPr>
          <w:p>
            <w:r>
              <w:t>3 × Instantel Minimate Pro seismographs</w:t>
            </w:r>
          </w:p>
        </w:tc>
      </w:tr>
      <w:tr>
        <w:tc>
          <w:tcPr>
            <w:tcW w:type="dxa" w:w="4320"/>
          </w:tcPr>
          <w:p>
            <w:r/>
            <w:r>
              <w:rPr>
                <w:b/>
              </w:rPr>
              <w:t>[MISSING: TANK VOLUME]</w:t>
            </w:r>
            <w:r/>
          </w:p>
        </w:tc>
        <w:tc>
          <w:tcPr>
            <w:tcW w:type="dxa" w:w="4320"/>
          </w:tcPr>
          <w:p>
            <w:r/>
          </w:p>
        </w:tc>
      </w:tr>
      <w:tr>
        <w:tc>
          <w:tcPr>
            <w:tcW w:type="dxa" w:w="4320"/>
          </w:tcPr>
          <w:p>
            <w:r/>
            <w:r>
              <w:rPr>
                <w:b/>
              </w:rPr>
              <w:t>[MISSING: EMPLOYEE COUNT]</w:t>
            </w:r>
            <w:r/>
          </w:p>
        </w:tc>
        <w:tc>
          <w:tcPr>
            <w:tcW w:type="dxa" w:w="4320"/>
          </w:tcPr>
          <w:p>
            <w:r/>
          </w:p>
        </w:tc>
      </w:tr>
    </w:tbl>
    <w:p>
      <w:r>
        <w:t xml:space="preserve">The </w:t>
      </w:r>
      <w:r>
        <w:rPr>
          <w:b/>
        </w:rPr>
        <w:t>Lead Expert</w:t>
      </w:r>
      <w:r>
        <w:t xml:space="preserve"> for the ESIA is </w:t>
      </w:r>
      <w:r>
        <w:rPr>
          <w:b/>
        </w:rPr>
        <w:t>Eliud Michura</w:t>
      </w:r>
      <w:r>
        <w:t xml:space="preserve"> (EIA/EA/0532).</w:t>
      </w:r>
    </w:p>
    <w:p>
      <w:r>
        <w:t>---</w:t>
      </w:r>
    </w:p>
    <w:p>
      <w:r>
        <w:t>## Baseline Environmental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Medium</w:t>
            </w:r>
          </w:p>
        </w:tc>
        <w:tc>
          <w:tcPr>
            <w:tcW w:type="dxa" w:w="2880"/>
          </w:tcPr>
          <w:p>
            <w:r>
              <w:rPr>
                <w:b/>
              </w:rPr>
              <w:t>Baseline (measured 03 May 2026)</w:t>
            </w:r>
          </w:p>
        </w:tc>
        <w:tc>
          <w:tcPr>
            <w:tcW w:type="dxa" w:w="2880"/>
          </w:tcPr>
          <w:p>
            <w:r>
              <w:rPr>
                <w:b/>
              </w:rPr>
              <w:t>Relevant Standards</w:t>
            </w:r>
          </w:p>
        </w:tc>
      </w:tr>
      <w:tr>
        <w:tc>
          <w:tcPr>
            <w:tcW w:type="dxa" w:w="2880"/>
          </w:tcPr>
          <w:p>
            <w:r/>
            <w:r>
              <w:rPr>
                <w:b/>
              </w:rPr>
              <w:t>Air – PM2.5</w:t>
            </w:r>
            <w:r/>
          </w:p>
        </w:tc>
        <w:tc>
          <w:tcPr>
            <w:tcW w:type="dxa" w:w="2880"/>
          </w:tcPr>
          <w:p>
            <w:r>
              <w:t>22 µg m⁻³</w:t>
            </w:r>
          </w:p>
        </w:tc>
        <w:tc>
          <w:tcPr>
            <w:tcW w:type="dxa" w:w="2880"/>
          </w:tcPr>
          <w:p>
            <w:r>
              <w:t xml:space="preserve">WHO 24‑hr guideline = 15 µg m⁻³ → </w:t>
            </w:r>
            <w:r>
              <w:rPr>
                <w:b/>
              </w:rPr>
              <w:t>EXCEEDS</w:t>
            </w:r>
            <w:r/>
          </w:p>
        </w:tc>
      </w:tr>
      <w:tr>
        <w:tc>
          <w:tcPr>
            <w:tcW w:type="dxa" w:w="2880"/>
          </w:tcPr>
          <w:p>
            <w:r/>
            <w:r>
              <w:rPr>
                <w:b/>
              </w:rPr>
              <w:t>Air – PM10</w:t>
            </w:r>
            <w:r/>
          </w:p>
        </w:tc>
        <w:tc>
          <w:tcPr>
            <w:tcW w:type="dxa" w:w="2880"/>
          </w:tcPr>
          <w:p>
            <w:r>
              <w:t>63 µg m⁻³</w:t>
            </w:r>
          </w:p>
        </w:tc>
        <w:tc>
          <w:tcPr>
            <w:tcW w:type="dxa" w:w="2880"/>
          </w:tcPr>
          <w:p>
            <w:r>
              <w:t xml:space="preserve">WHO 24‑hr guideline = 45 µg m⁻³ → </w:t>
            </w:r>
            <w:r>
              <w:rPr>
                <w:b/>
              </w:rPr>
              <w:t>EXCEEDS</w:t>
            </w:r>
            <w:r>
              <w:t>; NEMA limit = 75 µg m⁻³ → within</w:t>
            </w:r>
          </w:p>
        </w:tc>
      </w:tr>
      <w:tr>
        <w:tc>
          <w:tcPr>
            <w:tcW w:type="dxa" w:w="2880"/>
          </w:tcPr>
          <w:p>
            <w:r/>
            <w:r>
              <w:rPr>
                <w:b/>
              </w:rPr>
              <w:t>Noise (ambient)</w:t>
            </w:r>
            <w:r/>
          </w:p>
        </w:tc>
        <w:tc>
          <w:tcPr>
            <w:tcW w:type="dxa" w:w="2880"/>
          </w:tcPr>
          <w:p>
            <w:r>
              <w:t>58 dBA (A)</w:t>
            </w:r>
          </w:p>
        </w:tc>
        <w:tc>
          <w:tcPr>
            <w:tcW w:type="dxa" w:w="2880"/>
          </w:tcPr>
          <w:p>
            <w:r>
              <w:t xml:space="preserve">NEMA residential night limit = 45 dBA → </w:t>
            </w:r>
            <w:r>
              <w:rPr>
                <w:b/>
              </w:rPr>
              <w:t>EXCEEDS</w:t>
            </w:r>
            <w:r/>
          </w:p>
        </w:tc>
      </w:tr>
      <w:tr>
        <w:tc>
          <w:tcPr>
            <w:tcW w:type="dxa" w:w="2880"/>
          </w:tcPr>
          <w:p>
            <w:r/>
            <w:r>
              <w:rPr>
                <w:b/>
              </w:rPr>
              <w:t>Land use</w:t>
            </w:r>
            <w:r/>
          </w:p>
        </w:tc>
        <w:tc>
          <w:tcPr>
            <w:tcW w:type="dxa" w:w="2880"/>
          </w:tcPr>
          <w:p>
            <w:r>
              <w:t>Rocky scrubland / partially disused quarry pit</w:t>
            </w:r>
          </w:p>
        </w:tc>
        <w:tc>
          <w:tcPr>
            <w:tcW w:type="dxa" w:w="2880"/>
          </w:tcPr>
          <w:p>
            <w:r>
              <w:t>–</w:t>
            </w:r>
          </w:p>
        </w:tc>
      </w:tr>
      <w:tr>
        <w:tc>
          <w:tcPr>
            <w:tcW w:type="dxa" w:w="2880"/>
          </w:tcPr>
          <w:p>
            <w:r/>
            <w:r>
              <w:rPr>
                <w:b/>
              </w:rPr>
              <w:t>Groundwater depth</w:t>
            </w:r>
            <w:r/>
          </w:p>
        </w:tc>
        <w:tc>
          <w:tcPr>
            <w:tcW w:type="dxa" w:w="2880"/>
          </w:tcPr>
          <w:p>
            <w:r>
              <w:t>61 m below ground surface</w:t>
            </w:r>
          </w:p>
        </w:tc>
        <w:tc>
          <w:tcPr>
            <w:tcW w:type="dxa" w:w="2880"/>
          </w:tcPr>
          <w:p>
            <w:r>
              <w:t>–</w:t>
            </w:r>
          </w:p>
        </w:tc>
      </w:tr>
      <w:tr>
        <w:tc>
          <w:tcPr>
            <w:tcW w:type="dxa" w:w="2880"/>
          </w:tcPr>
          <w:p>
            <w:r/>
            <w:r>
              <w:rPr>
                <w:b/>
              </w:rPr>
              <w:t>Surface water</w:t>
            </w:r>
            <w:r/>
          </w:p>
        </w:tc>
        <w:tc>
          <w:tcPr>
            <w:tcW w:type="dxa" w:w="2880"/>
          </w:tcPr>
          <w:p>
            <w:r>
              <w:t>Ndarugo River (95 m NE of site)</w:t>
            </w:r>
          </w:p>
        </w:tc>
        <w:tc>
          <w:tcPr>
            <w:tcW w:type="dxa" w:w="2880"/>
          </w:tcPr>
          <w:p>
            <w:r>
              <w:t>–</w:t>
            </w:r>
          </w:p>
        </w:tc>
      </w:tr>
    </w:tbl>
    <w:p>
      <w:r>
        <w:t xml:space="preserve">Receptors located within a 1 km radius include </w:t>
      </w:r>
      <w:r>
        <w:rPr>
          <w:b/>
        </w:rPr>
        <w:t>Ndarugo Health Centre (740 m), Gatundu South Academy (410 m), Ndarugo SDA Church (890 m), Kiuu Trading Centre (310 m), Kieni Forest Buffer (970 m)</w:t>
      </w:r>
      <w:r>
        <w:t xml:space="preserve"> and the </w:t>
      </w:r>
      <w:r>
        <w:rPr>
          <w:b/>
        </w:rPr>
        <w:t>Rockline staff borehole (on‑site, 20 m)</w:t>
      </w:r>
      <w:r>
        <w:t>.</w:t>
      </w:r>
    </w:p>
    <w:p>
      <w:r>
        <w:t>---</w:t>
      </w:r>
    </w:p>
    <w:p>
      <w:r>
        <w:t>## Anticipated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 Category</w:t>
            </w:r>
          </w:p>
        </w:tc>
        <w:tc>
          <w:tcPr>
            <w:tcW w:type="dxa" w:w="2160"/>
          </w:tcPr>
          <w:p>
            <w:r>
              <w:rPr>
                <w:b/>
              </w:rPr>
              <w:t>Predicted Change</w:t>
            </w:r>
          </w:p>
        </w:tc>
        <w:tc>
          <w:tcPr>
            <w:tcW w:type="dxa" w:w="2160"/>
          </w:tcPr>
          <w:p>
            <w:r>
              <w:rPr>
                <w:b/>
              </w:rPr>
              <w:t>Significance (Pre‑mitigation)</w:t>
            </w:r>
          </w:p>
        </w:tc>
        <w:tc>
          <w:tcPr>
            <w:tcW w:type="dxa" w:w="2160"/>
          </w:tcPr>
          <w:p>
            <w:r>
              <w:rPr>
                <w:b/>
              </w:rPr>
              <w:t>Key Receptors</w:t>
            </w:r>
          </w:p>
        </w:tc>
      </w:tr>
      <w:tr>
        <w:tc>
          <w:tcPr>
            <w:tcW w:type="dxa" w:w="2160"/>
          </w:tcPr>
          <w:p>
            <w:r/>
            <w:r>
              <w:rPr>
                <w:b/>
              </w:rPr>
              <w:t>Air quality</w:t>
            </w:r>
            <w:r>
              <w:t xml:space="preserve"> – fugitive dust from blasting, crushing, and haulage</w:t>
            </w:r>
          </w:p>
        </w:tc>
        <w:tc>
          <w:tcPr>
            <w:tcW w:type="dxa" w:w="2160"/>
          </w:tcPr>
          <w:p>
            <w:r>
              <w:t>Incremental PM2.5/PM10 concentrations, especially during dry periods</w:t>
            </w:r>
          </w:p>
        </w:tc>
        <w:tc>
          <w:tcPr>
            <w:tcW w:type="dxa" w:w="2160"/>
          </w:tcPr>
          <w:p>
            <w:r>
              <w:t>Moderate – may raise already elevated PM levels above WHO limits</w:t>
            </w:r>
          </w:p>
        </w:tc>
        <w:tc>
          <w:tcPr>
            <w:tcW w:type="dxa" w:w="2160"/>
          </w:tcPr>
          <w:p>
            <w:r>
              <w:t>Nearby schools, health centre, community</w:t>
            </w:r>
          </w:p>
        </w:tc>
      </w:tr>
      <w:tr>
        <w:tc>
          <w:tcPr>
            <w:tcW w:type="dxa" w:w="2160"/>
          </w:tcPr>
          <w:p>
            <w:r/>
            <w:r>
              <w:rPr>
                <w:b/>
              </w:rPr>
              <w:t>Noise</w:t>
            </w:r>
            <w:r>
              <w:t xml:space="preserve"> – blast detonations, crusher operation, truck traffic</w:t>
            </w:r>
          </w:p>
        </w:tc>
        <w:tc>
          <w:tcPr>
            <w:tcW w:type="dxa" w:w="2160"/>
          </w:tcPr>
          <w:p>
            <w:r>
              <w:t>Peak noise levels up to 85 dBA at source; 68‑70 dBA at 200 m</w:t>
            </w:r>
          </w:p>
        </w:tc>
        <w:tc>
          <w:tcPr>
            <w:tcW w:type="dxa" w:w="2160"/>
          </w:tcPr>
          <w:p>
            <w:r>
              <w:t>High – exceeds NEMA night limit for residential zones</w:t>
            </w:r>
          </w:p>
        </w:tc>
        <w:tc>
          <w:tcPr>
            <w:tcW w:type="dxa" w:w="2160"/>
          </w:tcPr>
          <w:p>
            <w:r>
              <w:t>Residential clusters near the east perimeter, school</w:t>
            </w:r>
          </w:p>
        </w:tc>
      </w:tr>
      <w:tr>
        <w:tc>
          <w:tcPr>
            <w:tcW w:type="dxa" w:w="2160"/>
          </w:tcPr>
          <w:p>
            <w:r/>
            <w:r>
              <w:rPr>
                <w:b/>
              </w:rPr>
              <w:t>Ground vibration</w:t>
            </w:r>
            <w:r>
              <w:t xml:space="preserve"> – controlled ANFO blasts</w:t>
            </w:r>
          </w:p>
        </w:tc>
        <w:tc>
          <w:tcPr>
            <w:tcW w:type="dxa" w:w="2160"/>
          </w:tcPr>
          <w:p>
            <w:r>
              <w:t>Peak particle velocity (PPV) up to 5 mm s⁻¹ within 200 m (per KS 2003)</w:t>
            </w:r>
          </w:p>
        </w:tc>
        <w:tc>
          <w:tcPr>
            <w:tcW w:type="dxa" w:w="2160"/>
          </w:tcPr>
          <w:p>
            <w:r>
              <w:t>Low‑moderate – unlikely to cause structural damage but may be perceptible</w:t>
            </w:r>
          </w:p>
        </w:tc>
        <w:tc>
          <w:tcPr>
            <w:tcW w:type="dxa" w:w="2160"/>
          </w:tcPr>
          <w:p>
            <w:r>
              <w:t>Dwellings within 500 m</w:t>
            </w:r>
          </w:p>
        </w:tc>
      </w:tr>
      <w:tr>
        <w:tc>
          <w:tcPr>
            <w:tcW w:type="dxa" w:w="2160"/>
          </w:tcPr>
          <w:p>
            <w:r/>
            <w:r>
              <w:rPr>
                <w:b/>
              </w:rPr>
              <w:t>Water resources</w:t>
            </w:r>
            <w:r>
              <w:t xml:space="preserve"> – abstraction of 34 m³ day⁻¹; potential runoff contamination</w:t>
            </w:r>
          </w:p>
        </w:tc>
        <w:tc>
          <w:tcPr>
            <w:tcW w:type="dxa" w:w="2160"/>
          </w:tcPr>
          <w:p>
            <w:r>
              <w:t>Increased abstraction from the on‑site borehole; risk of sediment and hydrocarbon loading to Ndarugo River</w:t>
            </w:r>
          </w:p>
        </w:tc>
        <w:tc>
          <w:tcPr>
            <w:tcW w:type="dxa" w:w="2160"/>
          </w:tcPr>
          <w:p>
            <w:r>
              <w:t xml:space="preserve">Moderate – requires compliance with </w:t>
            </w:r>
            <w:r>
              <w:rPr>
                <w:b/>
              </w:rPr>
              <w:t>Water Act 2016</w:t>
            </w:r>
            <w:r>
              <w:t xml:space="preserve"> and implementation of sediment controls</w:t>
            </w:r>
          </w:p>
        </w:tc>
        <w:tc>
          <w:tcPr>
            <w:tcW w:type="dxa" w:w="2160"/>
          </w:tcPr>
          <w:p>
            <w:r>
              <w:t>River ecosystem, downstream users</w:t>
            </w:r>
          </w:p>
        </w:tc>
      </w:tr>
      <w:tr>
        <w:tc>
          <w:tcPr>
            <w:tcW w:type="dxa" w:w="2160"/>
          </w:tcPr>
          <w:p>
            <w:r/>
            <w:r>
              <w:rPr>
                <w:b/>
              </w:rPr>
              <w:t>Traffic &amp; road safety</w:t>
            </w:r>
            <w:r>
              <w:t xml:space="preserve"> – 62 truck movements/day</w:t>
            </w:r>
          </w:p>
        </w:tc>
        <w:tc>
          <w:tcPr>
            <w:tcW w:type="dxa" w:w="2160"/>
          </w:tcPr>
          <w:p>
            <w:r>
              <w:t>Increased heavy vehicle traffic on local roads, potential for accidents and road wear</w:t>
            </w:r>
          </w:p>
        </w:tc>
        <w:tc>
          <w:tcPr>
            <w:tcW w:type="dxa" w:w="2160"/>
          </w:tcPr>
          <w:p>
            <w:r>
              <w:t>Moderate – mitigated by alternate haul route</w:t>
            </w:r>
          </w:p>
        </w:tc>
        <w:tc>
          <w:tcPr>
            <w:tcW w:type="dxa" w:w="2160"/>
          </w:tcPr>
          <w:p>
            <w:r>
              <w:t>Kiuu Trading Centre, local commuters</w:t>
            </w:r>
          </w:p>
        </w:tc>
      </w:tr>
      <w:tr>
        <w:tc>
          <w:tcPr>
            <w:tcW w:type="dxa" w:w="2160"/>
          </w:tcPr>
          <w:p>
            <w:r/>
            <w:r>
              <w:rPr>
                <w:b/>
              </w:rPr>
              <w:t>Ecology</w:t>
            </w:r>
            <w:r>
              <w:t xml:space="preserve"> – proximity to Kieni Forest Buffer (970 m)</w:t>
            </w:r>
          </w:p>
        </w:tc>
        <w:tc>
          <w:tcPr>
            <w:tcW w:type="dxa" w:w="2160"/>
          </w:tcPr>
          <w:p>
            <w:r>
              <w:t>Minimal direct habitat loss; indirect disturbance from noise and dust</w:t>
            </w:r>
          </w:p>
        </w:tc>
        <w:tc>
          <w:tcPr>
            <w:tcW w:type="dxa" w:w="2160"/>
          </w:tcPr>
          <w:p>
            <w:r>
              <w:t>Low</w:t>
            </w:r>
          </w:p>
        </w:tc>
        <w:tc>
          <w:tcPr>
            <w:tcW w:type="dxa" w:w="2160"/>
          </w:tcPr>
          <w:p>
            <w:r>
              <w:t>Forest buffer, wildlife corridors</w:t>
            </w:r>
          </w:p>
        </w:tc>
      </w:tr>
    </w:tbl>
    <w:p>
      <w:r>
        <w:t>---</w:t>
      </w:r>
    </w:p>
    <w:p>
      <w:r>
        <w:t>## Mitigation Measures (Integrated into the ESMP)</w:t>
      </w:r>
    </w:p>
    <w:p>
      <w:pPr>
        <w:pStyle w:val="ListNumber"/>
      </w:pPr>
      <w:r/>
      <w:r>
        <w:rPr>
          <w:b/>
        </w:rPr>
        <w:t>Ground Vibration</w:t>
      </w:r>
      <w:r/>
    </w:p>
    <w:p>
      <w:pPr>
        <w:pStyle w:val="ListBullet"/>
      </w:pPr>
      <w:r>
        <w:t>Pre‑blast structural surveys for all dwellings within 500 m.</w:t>
      </w:r>
    </w:p>
    <w:p>
      <w:pPr>
        <w:pStyle w:val="ListBullet"/>
      </w:pPr>
      <w:r>
        <w:t>Blast design limited to 45 kg charge per delay; compliance with KS 2003 vibration standards.</w:t>
      </w:r>
    </w:p>
    <w:p>
      <w:pPr>
        <w:pStyle w:val="ListBullet"/>
      </w:pPr>
      <w:r>
        <w:t>Real‑time vibration monitoring using Instantel Minimate Pro units; immediate suspension of blasting if PPV exceeds 5 mm s⁻¹.</w:t>
      </w:r>
    </w:p>
    <w:p>
      <w:pPr>
        <w:pStyle w:val="ListNumber"/>
      </w:pPr>
      <w:r/>
      <w:r>
        <w:rPr>
          <w:b/>
        </w:rPr>
        <w:t>Dust Control</w:t>
      </w:r>
      <w:r/>
    </w:p>
    <w:p>
      <w:pPr>
        <w:pStyle w:val="ListBullet"/>
      </w:pPr>
      <w:r>
        <w:t>Continuous water spray on crusher and screening equipment (fixed sprinklers).</w:t>
      </w:r>
    </w:p>
    <w:p>
      <w:pPr>
        <w:pStyle w:val="ListBullet"/>
      </w:pPr>
      <w:r>
        <w:t>Mobile water bowsers (10 000 L each) for wheel‑wash stations and road‑dust suppression.</w:t>
      </w:r>
    </w:p>
    <w:p>
      <w:pPr>
        <w:pStyle w:val="ListBullet"/>
      </w:pPr>
      <w:r>
        <w:t>Enclosed conveyor belts and covered aggregate stockpiles.</w:t>
      </w:r>
    </w:p>
    <w:p>
      <w:pPr>
        <w:pStyle w:val="ListBullet"/>
      </w:pPr>
      <w:r>
        <w:t>Perimeter vegetated buffer (native grasses) along the east side to trap airborne particulates.</w:t>
      </w:r>
    </w:p>
    <w:p>
      <w:pPr>
        <w:pStyle w:val="ListNumber"/>
      </w:pPr>
      <w:r/>
      <w:r>
        <w:rPr>
          <w:b/>
        </w:rPr>
        <w:t>Noise Management</w:t>
      </w:r>
      <w:r/>
    </w:p>
    <w:p>
      <w:pPr>
        <w:pStyle w:val="ListBullet"/>
      </w:pPr>
      <w:r>
        <w:t>4 m earth berm combined with a vegetated buffer along the east perimeter.</w:t>
      </w:r>
    </w:p>
    <w:p>
      <w:pPr>
        <w:pStyle w:val="ListBullet"/>
      </w:pPr>
      <w:r>
        <w:t>Operational window for blasting and crushing limited to 08:00–17:00.</w:t>
      </w:r>
    </w:p>
    <w:p>
      <w:pPr>
        <w:pStyle w:val="ListBullet"/>
      </w:pPr>
      <w:r>
        <w:t>Use of low‑noise crushers and mufflers; regular maintenance of equipment.</w:t>
      </w:r>
    </w:p>
    <w:p>
      <w:pPr>
        <w:pStyle w:val="ListBullet"/>
      </w:pPr>
      <w:r>
        <w:t>Noise monitoring at the Gatundu South Academy and Ndarugo Health Centre; corrective actions if 24‑hr Leq exceeds 65 dBA.</w:t>
      </w:r>
    </w:p>
    <w:p>
      <w:pPr>
        <w:pStyle w:val="ListNumber"/>
      </w:pPr>
      <w:r/>
      <w:r>
        <w:rPr>
          <w:b/>
        </w:rPr>
        <w:t>Water Resources</w:t>
      </w:r>
      <w:r/>
    </w:p>
    <w:p>
      <w:pPr>
        <w:pStyle w:val="ListBullet"/>
      </w:pPr>
      <w:r>
        <w:t xml:space="preserve">Extraction limited to 34 m³ day⁻¹ from the on‑site borehole, with a </w:t>
      </w:r>
      <w:r>
        <w:rPr>
          <w:b/>
        </w:rPr>
        <w:t>Water Act 2016</w:t>
      </w:r>
      <w:r>
        <w:t xml:space="preserve"> abstraction permit to be secured prior to operation.</w:t>
      </w:r>
    </w:p>
    <w:p>
      <w:pPr>
        <w:pStyle w:val="ListBullet"/>
      </w:pPr>
      <w:r>
        <w:t>Installation of sediment traps and oil‑water separators on all runoff channels.</w:t>
      </w:r>
    </w:p>
    <w:p>
      <w:pPr>
        <w:pStyle w:val="ListBullet"/>
      </w:pPr>
      <w:r>
        <w:t>30 m no‑disturbance buffer from the Ndarugo River bank; regular water quality sampling (pH, turbidity, TSS).</w:t>
      </w:r>
    </w:p>
    <w:p>
      <w:pPr>
        <w:pStyle w:val="ListNumber"/>
      </w:pPr>
      <w:r/>
      <w:r>
        <w:rPr>
          <w:b/>
        </w:rPr>
        <w:t>Traffic Management</w:t>
      </w:r>
      <w:r/>
    </w:p>
    <w:p>
      <w:pPr>
        <w:pStyle w:val="ListBullet"/>
      </w:pPr>
      <w:r>
        <w:t>Designated alternate haul route that bypasses Kiuu Trading Centre.</w:t>
      </w:r>
    </w:p>
    <w:p>
      <w:pPr>
        <w:pStyle w:val="ListBullet"/>
      </w:pPr>
      <w:r>
        <w:t>Scheduling of truck movements to avoid school start/end times.</w:t>
      </w:r>
    </w:p>
    <w:p>
      <w:pPr>
        <w:pStyle w:val="ListBullet"/>
      </w:pPr>
      <w:r>
        <w:t>Speed limits and signage enforced by site traffic marshal.</w:t>
      </w:r>
    </w:p>
    <w:p>
      <w:pPr>
        <w:pStyle w:val="ListNumber"/>
      </w:pPr>
      <w:r/>
      <w:r>
        <w:rPr>
          <w:b/>
        </w:rPr>
        <w:t>Ecological Safeguards</w:t>
      </w:r>
      <w:r/>
    </w:p>
    <w:p>
      <w:pPr>
        <w:pStyle w:val="ListBullet"/>
      </w:pPr>
      <w:r>
        <w:t>No clearing of the Kieni Forest Buffer; a minimum 970 m setback maintained.</w:t>
      </w:r>
    </w:p>
    <w:p>
      <w:pPr>
        <w:pStyle w:val="ListBullet"/>
      </w:pPr>
      <w:r>
        <w:t>Periodic biodiversity surveys to detect any indirect impacts.</w:t>
      </w:r>
    </w:p>
    <w:p>
      <w:r>
        <w:t xml:space="preserve">All mitigation actions are incorporated in the </w:t>
      </w:r>
      <w:r>
        <w:rPr>
          <w:b/>
        </w:rPr>
        <w:t>Environmental and Social Management Plan (ESMP)</w:t>
      </w:r>
      <w:r>
        <w:t>, with clear responsibilities, timelines, and monitoring protocols.</w:t>
      </w:r>
    </w:p>
    <w:p>
      <w:r>
        <w:t>---</w:t>
      </w:r>
    </w:p>
    <w:p>
      <w:r>
        <w:t>## Stakeholder Engagement</w:t>
      </w:r>
    </w:p>
    <w:p>
      <w:pPr>
        <w:pStyle w:val="ListBullet"/>
      </w:pPr>
      <w:r/>
      <w:r>
        <w:rPr>
          <w:b/>
        </w:rPr>
        <w:t>Public Notice</w:t>
      </w:r>
      <w:r>
        <w:t xml:space="preserve"> – Advertisement in </w:t>
      </w:r>
      <w:r>
        <w:rPr>
          <w:i/>
        </w:rPr>
        <w:t>The Star</w:t>
      </w:r>
      <w:r>
        <w:t xml:space="preserve"> on 02 Sep 2026 (21‑day notice).</w:t>
      </w:r>
    </w:p>
    <w:p>
      <w:pPr>
        <w:pStyle w:val="ListBullet"/>
      </w:pPr>
      <w:r/>
      <w:r>
        <w:rPr>
          <w:b/>
        </w:rPr>
        <w:t>Baraza</w:t>
      </w:r>
      <w:r>
        <w:t xml:space="preserve"> – Held on 23 Sep 2026 at Kiuu Trading Centre Grounds; 173 participants, including community elders, school representatives, health workers, and vulnerable groups (elderly residents offered priority transport during blasting windows).</w:t>
      </w:r>
    </w:p>
    <w:p>
      <w:pPr>
        <w:pStyle w:val="ListBullet"/>
      </w:pPr>
      <w:r/>
      <w:r>
        <w:rPr>
          <w:b/>
        </w:rPr>
        <w:t>Grievance Redress Mechanism (GRM)</w:t>
      </w:r>
      <w:r>
        <w:t xml:space="preserve"> – Established; a multi‑stakeholder committee (community leaders, proponent, NEMA liaison) oversees receipt, investigation, and resolution of complaints.</w:t>
      </w:r>
    </w:p>
    <w:p>
      <w:r>
        <w:t>Key concerns raised: dust, noise, traffic safety, and river protection. The proponent’s responses are documented in the ESMP and include the mitigation measures listed above.</w:t>
      </w:r>
    </w:p>
    <w:p>
      <w:r>
        <w:t>---</w:t>
      </w:r>
    </w:p>
    <w:p>
      <w:r>
        <w:t>## Summary of Findings</w:t>
      </w:r>
    </w:p>
    <w:p>
      <w:pPr>
        <w:pStyle w:val="ListBullet"/>
      </w:pPr>
      <w:r>
        <w:t xml:space="preserve">The project will introduce a </w:t>
      </w:r>
      <w:r>
        <w:rPr>
          <w:b/>
        </w:rPr>
        <w:t>significant source of particulate matter and noise</w:t>
      </w:r>
      <w:r>
        <w:t xml:space="preserve"> in an area where baseline air quality already exceeds WHO guidelines and ambient noise exceeds NEMA night limits.</w:t>
      </w:r>
    </w:p>
    <w:p>
      <w:pPr>
        <w:pStyle w:val="ListBullet"/>
      </w:pPr>
      <w:r>
        <w:t xml:space="preserve">With the </w:t>
      </w:r>
      <w:r>
        <w:rPr>
          <w:b/>
        </w:rPr>
        <w:t>proposed ESMP</w:t>
      </w:r>
      <w:r>
        <w:t xml:space="preserve">, predicted incremental emissions are expected to remain </w:t>
      </w:r>
      <w:r>
        <w:rPr>
          <w:b/>
        </w:rPr>
        <w:t>below the NEMA PM10 threshold (75 µg m⁻³)</w:t>
      </w:r>
      <w:r>
        <w:t xml:space="preserve"> and </w:t>
      </w:r>
      <w:r>
        <w:rPr>
          <w:b/>
        </w:rPr>
        <w:t>below the NEMA daytime noise limit for industrial zones (70 dBA)</w:t>
      </w:r>
      <w:r>
        <w:t>, though night‑time residential noise may still marginally exceed the 45 dBA limit; continuous monitoring and adaptive management are required.</w:t>
      </w:r>
    </w:p>
    <w:p>
      <w:pPr>
        <w:pStyle w:val="ListBullet"/>
      </w:pPr>
      <w:r/>
      <w:r>
        <w:rPr>
          <w:b/>
        </w:rPr>
        <w:t>Ground vibration</w:t>
      </w:r>
      <w:r>
        <w:t xml:space="preserve"> is controlled through strict blast design and real‑time monitoring, keeping PPV within acceptable limits.</w:t>
      </w:r>
    </w:p>
    <w:p>
      <w:pPr>
        <w:pStyle w:val="ListBullet"/>
      </w:pPr>
      <w:r/>
      <w:r>
        <w:rPr>
          <w:b/>
        </w:rPr>
        <w:t>Water abstraction</w:t>
      </w:r>
      <w:r>
        <w:t xml:space="preserve"> (34 m³ day⁻¹) is modest relative to the deep groundwater table (61 m) but must be authorized under the </w:t>
      </w:r>
      <w:r>
        <w:rPr>
          <w:b/>
        </w:rPr>
        <w:t>Water Act 2016</w:t>
      </w:r>
      <w:r>
        <w:t>; sediment control measures will protect the Ndarugo River.</w:t>
      </w:r>
    </w:p>
    <w:p>
      <w:pPr>
        <w:pStyle w:val="ListBullet"/>
      </w:pPr>
      <w:r/>
      <w:r>
        <w:rPr>
          <w:b/>
        </w:rPr>
        <w:t>Traffic impacts</w:t>
      </w:r>
      <w:r>
        <w:t xml:space="preserve"> are mitigated by an alternate haul route and time‑restricted movements, reducing risk to the nearby trading centre and school.</w:t>
      </w:r>
    </w:p>
    <w:p>
      <w:pPr>
        <w:pStyle w:val="ListBullet"/>
      </w:pPr>
      <w:r/>
      <w:r>
        <w:rPr>
          <w:b/>
        </w:rPr>
        <w:t>Ecological impacts</w:t>
      </w:r>
      <w:r>
        <w:t xml:space="preserve"> are minimal due to the maintained buffer from the Kieni Forest.</w:t>
      </w:r>
    </w:p>
    <w:p>
      <w:r>
        <w:t xml:space="preserve">Overall, the ESIA concludes that, </w:t>
      </w:r>
      <w:r>
        <w:rPr>
          <w:b/>
        </w:rPr>
        <w:t>subject to full implementation of the ESMP, issuance of the required water abstraction permit, and ongoing compliance monitoring</w:t>
      </w:r>
      <w:r>
        <w:t>, the Kiuu Quarry &amp; Aggregate Processing Facility can operate within the regulatory framework while managing adverse environmental and social effects to acceptable levels. Continuous stakeholder engagement and a functional GRM are essential to address any emerging issues throughout the 18‑year operational life.</w:t>
      </w:r>
    </w:p>
    <w:p>
      <w:r>
        <w:br w:type="page"/>
      </w:r>
    </w:p>
    <w:p>
      <w:pPr>
        <w:pStyle w:val="Heading1"/>
      </w:pPr>
      <w:r>
        <w:t>Chapter 1: Introduction</w:t>
      </w:r>
    </w:p>
    <w:p>
      <w:r>
        <w:t>## 1.1 Project Background</w:t>
      </w:r>
    </w:p>
    <w:p>
      <w:r>
        <w:t xml:space="preserve">Rockline Aggregates (K) Ltd. proposes the development of the </w:t>
      </w:r>
      <w:r>
        <w:rPr>
          <w:b/>
        </w:rPr>
        <w:t>Kiuu Quarry &amp; Aggregate Processing Facility</w:t>
      </w:r>
      <w:r>
        <w:t xml:space="preserve"> on a 6.37‑hectare leasehold (LR No. 4417/09) in Ndarugo Ward, Gatundu South, Kiambu County (coordinates ‑1.0873, 37.0142). The project will extract and process hard rock aggregate to supply the growing construction market in the Greater Nairobi region.</w:t>
      </w:r>
    </w:p>
    <w:p>
      <w:pPr>
        <w:pStyle w:val="ListBullet"/>
      </w:pPr>
      <w:r/>
      <w:r>
        <w:rPr>
          <w:b/>
        </w:rPr>
        <w:t>Proponent:</w:t>
      </w:r>
      <w:r>
        <w:t xml:space="preserve"> Rockline Aggregates (K) Ltd. (PIN: P059413827R)</w:t>
      </w:r>
    </w:p>
    <w:p>
      <w:pPr>
        <w:pStyle w:val="ListBullet"/>
      </w:pPr>
      <w:r/>
      <w:r>
        <w:rPr>
          <w:b/>
        </w:rPr>
        <w:t>Lead Expert:</w:t>
      </w:r>
      <w:r>
        <w:t xml:space="preserve"> Eliud Michura (EIA/EA/0532)</w:t>
      </w:r>
    </w:p>
    <w:p>
      <w:pPr>
        <w:pStyle w:val="ListBullet"/>
      </w:pPr>
      <w:r/>
      <w:r>
        <w:rPr>
          <w:b/>
        </w:rPr>
        <w:t>Project Cost:</w:t>
      </w:r>
      <w:r>
        <w:t xml:space="preserve"> KES 417,600,000</w:t>
      </w:r>
    </w:p>
    <w:p>
      <w:pPr>
        <w:pStyle w:val="ListBullet"/>
      </w:pPr>
      <w:r/>
      <w:r>
        <w:rPr>
          <w:b/>
        </w:rPr>
        <w:t>Construction Period:</w:t>
      </w:r>
      <w:r>
        <w:t xml:space="preserve"> 9 months (commencing 2027‑05‑11)</w:t>
      </w:r>
    </w:p>
    <w:p>
      <w:pPr>
        <w:pStyle w:val="ListBullet"/>
      </w:pPr>
      <w:r/>
      <w:r>
        <w:rPr>
          <w:b/>
        </w:rPr>
        <w:t>Operational Lifespan:</w:t>
      </w:r>
      <w:r>
        <w:t xml:space="preserve"> 18 years</w:t>
      </w:r>
    </w:p>
    <w:p>
      <w:r>
        <w:t xml:space="preserve">The facility will operate a primary crusher, screening line, and ancillary services (water supply, power generation, dust and noise control). Production is targeted at </w:t>
      </w:r>
      <w:r>
        <w:rPr>
          <w:b/>
        </w:rPr>
        <w:t>840 tonnes day⁻¹</w:t>
      </w:r>
      <w:r>
        <w:t xml:space="preserve"> of aggregate.</w:t>
      </w:r>
    </w:p>
    <w:p>
      <w:r>
        <w:t>## 1.2 Project Objectives</w:t>
      </w:r>
    </w:p>
    <w:p>
      <w:pPr>
        <w:pStyle w:val="ListNumber"/>
      </w:pPr>
      <w:r/>
      <w:r>
        <w:rPr>
          <w:b/>
        </w:rPr>
        <w:t>Supply reliable aggregate</w:t>
      </w:r>
      <w:r>
        <w:t xml:space="preserve"> to meet regional construction demand while adhering to Kenyan mining and environmental standards.</w:t>
      </w:r>
    </w:p>
    <w:p>
      <w:pPr>
        <w:pStyle w:val="ListNumber"/>
      </w:pPr>
      <w:r/>
      <w:r>
        <w:rPr>
          <w:b/>
        </w:rPr>
        <w:t>Generate local employment</w:t>
      </w:r>
      <w:r>
        <w:t xml:space="preserve"> and ancillary business opportunities throughout construction and operation phases.</w:t>
      </w:r>
    </w:p>
    <w:p>
      <w:pPr>
        <w:pStyle w:val="ListNumber"/>
      </w:pPr>
      <w:r/>
      <w:r>
        <w:rPr>
          <w:b/>
        </w:rPr>
        <w:t>Implement an ESMP</w:t>
      </w:r>
      <w:r>
        <w:t xml:space="preserve"> that minimizes adverse environmental and social impacts and ensures compliance with the Water Act 2016, NEMA air‑quality and noise standards, and WHO health guidelines.</w:t>
      </w:r>
    </w:p>
    <w:p>
      <w:r>
        <w:t>## 1.3 Legal and Institutional Framework</w:t>
      </w:r>
    </w:p>
    <w:tbl>
      <w:tblPr>
        <w:tblStyle w:val="TableGrid"/>
        <w:tblW w:type="auto" w:w="0"/>
        <w:tblLook w:firstColumn="1" w:firstRow="1" w:lastColumn="0" w:lastRow="0" w:noHBand="0" w:noVBand="1" w:val="04A0"/>
      </w:tblPr>
      <w:tblGrid>
        <w:gridCol w:w="4320"/>
        <w:gridCol w:w="4320"/>
      </w:tblGrid>
      <w:tr>
        <w:tc>
          <w:tcPr>
            <w:tcW w:type="dxa" w:w="4320"/>
          </w:tcPr>
          <w:p>
            <w:r>
              <w:rPr>
                <w:b/>
              </w:rPr>
              <w:t>Sector</w:t>
            </w:r>
          </w:p>
        </w:tc>
        <w:tc>
          <w:tcPr>
            <w:tcW w:type="dxa" w:w="4320"/>
          </w:tcPr>
          <w:p>
            <w:r>
              <w:rPr>
                <w:b/>
              </w:rPr>
              <w:t>Relevant Legislation / Policy</w:t>
            </w:r>
          </w:p>
        </w:tc>
      </w:tr>
      <w:tr>
        <w:tc>
          <w:tcPr>
            <w:tcW w:type="dxa" w:w="4320"/>
          </w:tcPr>
          <w:p>
            <w:r>
              <w:t>Mining &amp; Quarrying</w:t>
            </w:r>
          </w:p>
        </w:tc>
        <w:tc>
          <w:tcPr>
            <w:tcW w:type="dxa" w:w="4320"/>
          </w:tcPr>
          <w:p>
            <w:r/>
            <w:r>
              <w:rPr>
                <w:b/>
              </w:rPr>
              <w:t>Mining Act 2009</w:t>
            </w:r>
            <w:r>
              <w:t xml:space="preserve">, </w:t>
            </w:r>
            <w:r>
              <w:rPr>
                <w:b/>
              </w:rPr>
              <w:t>Environmental Management and Coordination Act (EMCA) 1999</w:t>
            </w:r>
            <w:r>
              <w:t xml:space="preserve">, </w:t>
            </w:r>
            <w:r>
              <w:rPr>
                <w:b/>
              </w:rPr>
              <w:t>Regulations on Mining Operations (Second Schedule – High Risk)</w:t>
            </w:r>
            <w:r/>
          </w:p>
        </w:tc>
      </w:tr>
      <w:tr>
        <w:tc>
          <w:tcPr>
            <w:tcW w:type="dxa" w:w="4320"/>
          </w:tcPr>
          <w:p>
            <w:r>
              <w:t>Water</w:t>
            </w:r>
          </w:p>
        </w:tc>
        <w:tc>
          <w:tcPr>
            <w:tcW w:type="dxa" w:w="4320"/>
          </w:tcPr>
          <w:p>
            <w:r/>
            <w:r>
              <w:rPr>
                <w:b/>
              </w:rPr>
              <w:t>Water Act 2016</w:t>
            </w:r>
            <w:r>
              <w:t xml:space="preserve"> (including provisions on abstraction, discharge and protection of water bodies)</w:t>
            </w:r>
          </w:p>
        </w:tc>
      </w:tr>
      <w:tr>
        <w:tc>
          <w:tcPr>
            <w:tcW w:type="dxa" w:w="4320"/>
          </w:tcPr>
          <w:p>
            <w:r>
              <w:t>Air Quality</w:t>
            </w:r>
          </w:p>
        </w:tc>
        <w:tc>
          <w:tcPr>
            <w:tcW w:type="dxa" w:w="4320"/>
          </w:tcPr>
          <w:p>
            <w:r/>
            <w:r>
              <w:rPr>
                <w:b/>
              </w:rPr>
              <w:t>NEMA Air Quality Guidelines</w:t>
            </w:r>
            <w:r>
              <w:t xml:space="preserve"> (PM2.5 ≤ 15 µg m⁻³ (WHO 24‑hr), PM10 ≤ 75 µg m⁻³)</w:t>
            </w:r>
          </w:p>
        </w:tc>
      </w:tr>
      <w:tr>
        <w:tc>
          <w:tcPr>
            <w:tcW w:type="dxa" w:w="4320"/>
          </w:tcPr>
          <w:p>
            <w:r>
              <w:t>Noise</w:t>
            </w:r>
          </w:p>
        </w:tc>
        <w:tc>
          <w:tcPr>
            <w:tcW w:type="dxa" w:w="4320"/>
          </w:tcPr>
          <w:p>
            <w:r/>
            <w:r>
              <w:rPr>
                <w:b/>
              </w:rPr>
              <w:t>NEMA Noise Guidelines</w:t>
            </w:r>
            <w:r>
              <w:t xml:space="preserve"> (Residential night ≤ 45 dBA)</w:t>
            </w:r>
          </w:p>
        </w:tc>
      </w:tr>
      <w:tr>
        <w:tc>
          <w:tcPr>
            <w:tcW w:type="dxa" w:w="4320"/>
          </w:tcPr>
          <w:p>
            <w:r>
              <w:t>Occupational Health &amp; Safety</w:t>
            </w:r>
          </w:p>
        </w:tc>
        <w:tc>
          <w:tcPr>
            <w:tcW w:type="dxa" w:w="4320"/>
          </w:tcPr>
          <w:p>
            <w:r/>
            <w:r>
              <w:rPr>
                <w:b/>
              </w:rPr>
              <w:t>Occupational Safety and Health Act 2007</w:t>
            </w:r>
            <w:r/>
          </w:p>
        </w:tc>
      </w:tr>
      <w:tr>
        <w:tc>
          <w:tcPr>
            <w:tcW w:type="dxa" w:w="4320"/>
          </w:tcPr>
          <w:p>
            <w:r>
              <w:t>Community Participation</w:t>
            </w:r>
          </w:p>
        </w:tc>
        <w:tc>
          <w:tcPr>
            <w:tcW w:type="dxa" w:w="4320"/>
          </w:tcPr>
          <w:p>
            <w:r/>
            <w:r>
              <w:rPr>
                <w:b/>
              </w:rPr>
              <w:t>Public Participation Guidelines (NEMA)</w:t>
            </w:r>
            <w:r/>
          </w:p>
        </w:tc>
      </w:tr>
      <w:tr>
        <w:tc>
          <w:tcPr>
            <w:tcW w:type="dxa" w:w="4320"/>
          </w:tcPr>
          <w:p>
            <w:r>
              <w:t>International Standards</w:t>
            </w:r>
          </w:p>
        </w:tc>
        <w:tc>
          <w:tcPr>
            <w:tcW w:type="dxa" w:w="4320"/>
          </w:tcPr>
          <w:p>
            <w:r/>
            <w:r>
              <w:rPr>
                <w:b/>
              </w:rPr>
              <w:t>World Bank Environmental and Social Framework (ESF)</w:t>
            </w:r>
            <w:r/>
          </w:p>
        </w:tc>
      </w:tr>
    </w:tbl>
    <w:p>
      <w:r>
        <w:t>The ESIA is prepared in accordance with the above statutes and the NEMA ESIA Guidelines for High‑Risk Mining Projects.</w:t>
      </w:r>
    </w:p>
    <w:p>
      <w:r>
        <w:t>## 1.4 Site Description</w:t>
      </w:r>
    </w:p>
    <w:p>
      <w:pPr>
        <w:pStyle w:val="ListBullet"/>
      </w:pPr>
      <w:r/>
      <w:r>
        <w:rPr>
          <w:b/>
        </w:rPr>
        <w:t>Topography &amp; Geology:</w:t>
      </w:r>
      <w:r>
        <w:t xml:space="preserve"> The site comprises a partially disused quarry pit within a rocky scrubland matrix. Bedrock is predominantly granitic, suitable for high‑quality aggregate production.</w:t>
      </w:r>
    </w:p>
    <w:p>
      <w:pPr>
        <w:pStyle w:val="ListBullet"/>
      </w:pPr>
      <w:r/>
      <w:r>
        <w:rPr>
          <w:b/>
        </w:rPr>
        <w:t>Land Use:</w:t>
      </w:r>
      <w:r>
        <w:t xml:space="preserve"> Existing land use is classified as </w:t>
      </w:r>
      <w:r>
        <w:rPr>
          <w:i/>
        </w:rPr>
        <w:t>rocky scrubland / disused quarry pit (partial)</w:t>
      </w:r>
      <w:r>
        <w:t>.</w:t>
      </w:r>
    </w:p>
    <w:p>
      <w:pPr>
        <w:pStyle w:val="ListBullet"/>
      </w:pPr>
      <w:r/>
      <w:r>
        <w:rPr>
          <w:b/>
        </w:rPr>
        <w:t>Hydrology:</w:t>
      </w:r>
      <w:r>
        <w:t xml:space="preserve"> Groundwater occurs at a depth of </w:t>
      </w:r>
      <w:r>
        <w:rPr>
          <w:b/>
        </w:rPr>
        <w:t>61 m</w:t>
      </w:r>
      <w:r>
        <w:t xml:space="preserve">. The </w:t>
      </w:r>
      <w:r>
        <w:rPr>
          <w:b/>
        </w:rPr>
        <w:t>Ndarugo River</w:t>
      </w:r>
      <w:r>
        <w:t xml:space="preserve"> lies </w:t>
      </w:r>
      <w:r>
        <w:rPr>
          <w:b/>
        </w:rPr>
        <w:t>95 m</w:t>
      </w:r>
      <w:r>
        <w:t xml:space="preserve"> to the northeast of the proposed processing plant.</w:t>
      </w:r>
    </w:p>
    <w:p>
      <w:pPr>
        <w:pStyle w:val="ListBullet"/>
      </w:pPr>
      <w:r/>
      <w:r>
        <w:rPr>
          <w:b/>
        </w:rPr>
        <w:t>Climate:</w:t>
      </w:r>
      <w:r>
        <w:t xml:space="preserve"> Mean annual rainfall is 1 200 mm; mean temperature 22 °C.</w:t>
      </w:r>
    </w:p>
    <w:p>
      <w:pPr>
        <w:pStyle w:val="ListBullet"/>
      </w:pPr>
      <w:r/>
      <w:r>
        <w:rPr>
          <w:b/>
        </w:rPr>
        <w:t>Infrastructure:</w:t>
      </w:r>
      <w:r>
        <w:t xml:space="preserve"> Access is via an existing haul road that will be upgraded; a 380 kVA diesel standby generator will supply the plant’s </w:t>
      </w:r>
      <w:r>
        <w:rPr>
          <w:b/>
        </w:rPr>
        <w:t>290 kW</w:t>
      </w:r>
      <w:r>
        <w:t xml:space="preserve"> power demand.</w:t>
      </w:r>
    </w:p>
    <w:p>
      <w:r>
        <w:t>### Engineering Specifications (provided)</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Specification</w:t>
            </w:r>
          </w:p>
        </w:tc>
      </w:tr>
      <w:tr>
        <w:tc>
          <w:tcPr>
            <w:tcW w:type="dxa" w:w="4320"/>
          </w:tcPr>
          <w:p>
            <w:r>
              <w:t>Production Capacity</w:t>
            </w:r>
          </w:p>
        </w:tc>
        <w:tc>
          <w:tcPr>
            <w:tcW w:type="dxa" w:w="4320"/>
          </w:tcPr>
          <w:p>
            <w:r/>
            <w:r>
              <w:rPr>
                <w:b/>
              </w:rPr>
              <w:t>840 tonnes day⁻¹</w:t>
            </w:r>
            <w:r/>
          </w:p>
        </w:tc>
      </w:tr>
      <w:tr>
        <w:tc>
          <w:tcPr>
            <w:tcW w:type="dxa" w:w="4320"/>
          </w:tcPr>
          <w:p>
            <w:r>
              <w:t>Explosive Type</w:t>
            </w:r>
          </w:p>
        </w:tc>
        <w:tc>
          <w:tcPr>
            <w:tcW w:type="dxa" w:w="4320"/>
          </w:tcPr>
          <w:p>
            <w:r>
              <w:t>ANFO (bulk‑loaded)</w:t>
            </w:r>
          </w:p>
        </w:tc>
      </w:tr>
      <w:tr>
        <w:tc>
          <w:tcPr>
            <w:tcW w:type="dxa" w:w="4320"/>
          </w:tcPr>
          <w:p>
            <w:r>
              <w:t>Blast Frequency</w:t>
            </w:r>
          </w:p>
        </w:tc>
        <w:tc>
          <w:tcPr>
            <w:tcW w:type="dxa" w:w="4320"/>
          </w:tcPr>
          <w:p>
            <w:r>
              <w:t>2 blasts week⁻¹ (max charge 45 kg per delay)</w:t>
            </w:r>
          </w:p>
        </w:tc>
      </w:tr>
      <w:tr>
        <w:tc>
          <w:tcPr>
            <w:tcW w:type="dxa" w:w="4320"/>
          </w:tcPr>
          <w:p>
            <w:r>
              <w:t>Daily Truck Movements</w:t>
            </w:r>
          </w:p>
        </w:tc>
        <w:tc>
          <w:tcPr>
            <w:tcW w:type="dxa" w:w="4320"/>
          </w:tcPr>
          <w:p>
            <w:r>
              <w:t>62 movements (31 loaded round trips)</w:t>
            </w:r>
          </w:p>
        </w:tc>
      </w:tr>
      <w:tr>
        <w:tc>
          <w:tcPr>
            <w:tcW w:type="dxa" w:w="4320"/>
          </w:tcPr>
          <w:p>
            <w:r>
              <w:t>Generator Rating</w:t>
            </w:r>
          </w:p>
        </w:tc>
        <w:tc>
          <w:tcPr>
            <w:tcW w:type="dxa" w:w="4320"/>
          </w:tcPr>
          <w:p>
            <w:r>
              <w:t>380 kVA diesel standby</w:t>
            </w:r>
          </w:p>
        </w:tc>
      </w:tr>
      <w:tr>
        <w:tc>
          <w:tcPr>
            <w:tcW w:type="dxa" w:w="4320"/>
          </w:tcPr>
          <w:p>
            <w:r>
              <w:t>Water Consumption</w:t>
            </w:r>
          </w:p>
        </w:tc>
        <w:tc>
          <w:tcPr>
            <w:tcW w:type="dxa" w:w="4320"/>
          </w:tcPr>
          <w:p>
            <w:r>
              <w:t>34 m³ day⁻¹ (dust suppression + wheel wash)</w:t>
            </w:r>
          </w:p>
        </w:tc>
      </w:tr>
      <w:tr>
        <w:tc>
          <w:tcPr>
            <w:tcW w:type="dxa" w:w="4320"/>
          </w:tcPr>
          <w:p>
            <w:r>
              <w:t>Vibration Monitoring</w:t>
            </w:r>
          </w:p>
        </w:tc>
        <w:tc>
          <w:tcPr>
            <w:tcW w:type="dxa" w:w="4320"/>
          </w:tcPr>
          <w:p>
            <w:r>
              <w:t>3 × Instantel Minimate Pro seismographs</w:t>
            </w:r>
          </w:p>
        </w:tc>
      </w:tr>
      <w:tr>
        <w:tc>
          <w:tcPr>
            <w:tcW w:type="dxa" w:w="4320"/>
          </w:tcPr>
          <w:p>
            <w:r>
              <w:t>Dust Suppression</w:t>
            </w:r>
          </w:p>
        </w:tc>
        <w:tc>
          <w:tcPr>
            <w:tcW w:type="dxa" w:w="4320"/>
          </w:tcPr>
          <w:p>
            <w:r>
              <w:t>2 × 10 000 L water bowsers, fixed sprinkler line on crusher</w:t>
            </w:r>
          </w:p>
        </w:tc>
      </w:tr>
      <w:tr>
        <w:tc>
          <w:tcPr>
            <w:tcW w:type="dxa" w:w="4320"/>
          </w:tcPr>
          <w:p>
            <w:r>
              <w:t>Noise Barrier</w:t>
            </w:r>
          </w:p>
        </w:tc>
        <w:tc>
          <w:tcPr>
            <w:tcW w:type="dxa" w:w="4320"/>
          </w:tcPr>
          <w:p>
            <w:r>
              <w:t>4 m earth berm + vegetated buffer (east perimeter)</w:t>
            </w:r>
          </w:p>
        </w:tc>
      </w:tr>
    </w:tbl>
    <w:p>
      <w:r>
        <w:t>## 1.5 Baseline Environmental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Measured Value (2026‑05‑03)</w:t>
            </w:r>
          </w:p>
        </w:tc>
        <w:tc>
          <w:tcPr>
            <w:tcW w:type="dxa" w:w="2160"/>
          </w:tcPr>
          <w:p>
            <w:r>
              <w:rPr>
                <w:b/>
              </w:rPr>
              <w:t>Guideline</w:t>
            </w:r>
          </w:p>
        </w:tc>
        <w:tc>
          <w:tcPr>
            <w:tcW w:type="dxa" w:w="2160"/>
          </w:tcPr>
          <w:p>
            <w:r>
              <w:rPr>
                <w:b/>
              </w:rPr>
              <w:t>Compliance</w:t>
            </w:r>
          </w:p>
        </w:tc>
      </w:tr>
      <w:tr>
        <w:tc>
          <w:tcPr>
            <w:tcW w:type="dxa" w:w="2160"/>
          </w:tcPr>
          <w:p>
            <w:r>
              <w:t>PM2.5 (24‑hr)</w:t>
            </w:r>
          </w:p>
        </w:tc>
        <w:tc>
          <w:tcPr>
            <w:tcW w:type="dxa" w:w="2160"/>
          </w:tcPr>
          <w:p>
            <w:r/>
            <w:r>
              <w:rPr>
                <w:b/>
              </w:rPr>
              <w:t>22 µg m⁻³</w:t>
            </w:r>
            <w:r/>
          </w:p>
        </w:tc>
        <w:tc>
          <w:tcPr>
            <w:tcW w:type="dxa" w:w="2160"/>
          </w:tcPr>
          <w:p>
            <w:r>
              <w:t>WHO 24‑hr limit 15 µg m⁻³</w:t>
            </w:r>
          </w:p>
        </w:tc>
        <w:tc>
          <w:tcPr>
            <w:tcW w:type="dxa" w:w="2160"/>
          </w:tcPr>
          <w:p>
            <w:r/>
            <w:r>
              <w:rPr>
                <w:b/>
              </w:rPr>
              <w:t>EXCEEDS</w:t>
            </w:r>
            <w:r/>
          </w:p>
        </w:tc>
      </w:tr>
      <w:tr>
        <w:tc>
          <w:tcPr>
            <w:tcW w:type="dxa" w:w="2160"/>
          </w:tcPr>
          <w:p>
            <w:r>
              <w:t>PM10 (24‑hr)</w:t>
            </w:r>
          </w:p>
        </w:tc>
        <w:tc>
          <w:tcPr>
            <w:tcW w:type="dxa" w:w="2160"/>
          </w:tcPr>
          <w:p>
            <w:r/>
            <w:r>
              <w:rPr>
                <w:b/>
              </w:rPr>
              <w:t>63 µg m⁻³</w:t>
            </w:r>
            <w:r/>
          </w:p>
        </w:tc>
        <w:tc>
          <w:tcPr>
            <w:tcW w:type="dxa" w:w="2160"/>
          </w:tcPr>
          <w:p>
            <w:r>
              <w:t>NEMA limit 75 µg m⁻³</w:t>
            </w:r>
          </w:p>
        </w:tc>
        <w:tc>
          <w:tcPr>
            <w:tcW w:type="dxa" w:w="2160"/>
          </w:tcPr>
          <w:p>
            <w:r>
              <w:t>Within</w:t>
            </w:r>
          </w:p>
        </w:tc>
      </w:tr>
      <w:tr>
        <w:tc>
          <w:tcPr>
            <w:tcW w:type="dxa" w:w="2160"/>
          </w:tcPr>
          <w:p>
            <w:r>
              <w:t>Ambient Noise (day)</w:t>
            </w:r>
          </w:p>
        </w:tc>
        <w:tc>
          <w:tcPr>
            <w:tcW w:type="dxa" w:w="2160"/>
          </w:tcPr>
          <w:p>
            <w:r/>
            <w:r>
              <w:rPr>
                <w:b/>
              </w:rPr>
              <w:t>58 dBA</w:t>
            </w:r>
            <w:r/>
          </w:p>
        </w:tc>
        <w:tc>
          <w:tcPr>
            <w:tcW w:type="dxa" w:w="2160"/>
          </w:tcPr>
          <w:p>
            <w:r>
              <w:t>NEMA residential night 45 dBA (daytime limit higher)</w:t>
            </w:r>
          </w:p>
        </w:tc>
        <w:tc>
          <w:tcPr>
            <w:tcW w:type="dxa" w:w="2160"/>
          </w:tcPr>
          <w:p>
            <w:r>
              <w:t>Exceeds night‑time residential standard</w:t>
            </w:r>
          </w:p>
        </w:tc>
      </w:tr>
      <w:tr>
        <w:tc>
          <w:tcPr>
            <w:tcW w:type="dxa" w:w="2160"/>
          </w:tcPr>
          <w:p>
            <w:r>
              <w:t>Groundwater Depth</w:t>
            </w:r>
          </w:p>
        </w:tc>
        <w:tc>
          <w:tcPr>
            <w:tcW w:type="dxa" w:w="2160"/>
          </w:tcPr>
          <w:p>
            <w:r>
              <w:t>61 m</w:t>
            </w:r>
          </w:p>
        </w:tc>
        <w:tc>
          <w:tcPr>
            <w:tcW w:type="dxa" w:w="2160"/>
          </w:tcPr>
          <w:p>
            <w:r>
              <w:t>–</w:t>
            </w:r>
          </w:p>
        </w:tc>
        <w:tc>
          <w:tcPr>
            <w:tcW w:type="dxa" w:w="2160"/>
          </w:tcPr>
          <w:p>
            <w:r>
              <w:t>–</w:t>
            </w:r>
          </w:p>
        </w:tc>
      </w:tr>
      <w:tr>
        <w:tc>
          <w:tcPr>
            <w:tcW w:type="dxa" w:w="2160"/>
          </w:tcPr>
          <w:p>
            <w:r>
              <w:t>Land Use</w:t>
            </w:r>
          </w:p>
        </w:tc>
        <w:tc>
          <w:tcPr>
            <w:tcW w:type="dxa" w:w="2160"/>
          </w:tcPr>
          <w:p>
            <w:r>
              <w:t>Rocky scrubland / disused quarry pit (partial)</w:t>
            </w:r>
          </w:p>
        </w:tc>
        <w:tc>
          <w:tcPr>
            <w:tcW w:type="dxa" w:w="2160"/>
          </w:tcPr>
          <w:p>
            <w:r>
              <w:t>–</w:t>
            </w:r>
          </w:p>
        </w:tc>
        <w:tc>
          <w:tcPr>
            <w:tcW w:type="dxa" w:w="2160"/>
          </w:tcPr>
          <w:p>
            <w:r>
              <w:t>–</w:t>
            </w:r>
          </w:p>
        </w:tc>
      </w:tr>
    </w:tbl>
    <w:p>
      <w:r>
        <w:t>The baseline indicates that ambient particulate matter already exceeds the WHO health guideline for PM2.5, while noise levels are above the residential night threshold, underscoring the need for robust mitigation.</w:t>
      </w:r>
    </w:p>
    <w:p>
      <w:r>
        <w:t>## 1.6 Receptors Within 1 km</w:t>
      </w:r>
    </w:p>
    <w:p>
      <w:pPr>
        <w:pStyle w:val="ListBullet"/>
      </w:pPr>
      <w:r/>
      <w:r>
        <w:rPr>
          <w:b/>
        </w:rPr>
        <w:t>Ndarugo Health Centre</w:t>
      </w:r>
      <w:r>
        <w:t xml:space="preserve"> – 740 m East</w:t>
      </w:r>
    </w:p>
    <w:p>
      <w:pPr>
        <w:pStyle w:val="ListBullet"/>
      </w:pPr>
      <w:r/>
      <w:r>
        <w:rPr>
          <w:b/>
        </w:rPr>
        <w:t>Gatundu South Academy</w:t>
      </w:r>
      <w:r>
        <w:t xml:space="preserve"> – 410 m Southwest</w:t>
      </w:r>
    </w:p>
    <w:p>
      <w:pPr>
        <w:pStyle w:val="ListBullet"/>
      </w:pPr>
      <w:r/>
      <w:r>
        <w:rPr>
          <w:b/>
        </w:rPr>
        <w:t>Ndarugo SDA Church</w:t>
      </w:r>
      <w:r>
        <w:t xml:space="preserve"> – 890 m North</w:t>
      </w:r>
    </w:p>
    <w:p>
      <w:pPr>
        <w:pStyle w:val="ListBullet"/>
      </w:pPr>
      <w:r/>
      <w:r>
        <w:rPr>
          <w:b/>
        </w:rPr>
        <w:t>Ndarugo River</w:t>
      </w:r>
      <w:r>
        <w:t xml:space="preserve"> – 95 m Northeast (critical water body)</w:t>
      </w:r>
    </w:p>
    <w:p>
      <w:pPr>
        <w:pStyle w:val="ListBullet"/>
      </w:pPr>
      <w:r/>
      <w:r>
        <w:rPr>
          <w:b/>
        </w:rPr>
        <w:t>Rockline Staff Borehole</w:t>
      </w:r>
      <w:r>
        <w:t xml:space="preserve"> – 20 m On‑site (groundwater monitoring)</w:t>
      </w:r>
    </w:p>
    <w:p>
      <w:pPr>
        <w:pStyle w:val="ListBullet"/>
      </w:pPr>
      <w:r/>
      <w:r>
        <w:rPr>
          <w:b/>
        </w:rPr>
        <w:t>Kieni Forest Buffer Zone</w:t>
      </w:r>
      <w:r>
        <w:t xml:space="preserve"> – 970 m West (biodiversity buffer)</w:t>
      </w:r>
    </w:p>
    <w:p>
      <w:pPr>
        <w:pStyle w:val="ListBullet"/>
      </w:pPr>
      <w:r/>
      <w:r>
        <w:rPr>
          <w:b/>
        </w:rPr>
        <w:t>Kiuu Trading Centre</w:t>
      </w:r>
      <w:r>
        <w:t xml:space="preserve"> – 310 m South (commercial hub)</w:t>
      </w:r>
    </w:p>
    <w:p>
      <w:r>
        <w:t>## 1.7 Stakeholder Engagement</w:t>
      </w:r>
    </w:p>
    <w:p>
      <w:r>
        <w:t>A structured stakeholder engagement programme has been undertaken in line with NEMA’s Public Participation Guidelines.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Date</w:t>
            </w:r>
          </w:p>
        </w:tc>
        <w:tc>
          <w:tcPr>
            <w:tcW w:type="dxa" w:w="2880"/>
          </w:tcPr>
          <w:p>
            <w:r>
              <w:rPr>
                <w:b/>
              </w:rPr>
              <w:t>Details</w:t>
            </w:r>
          </w:p>
        </w:tc>
      </w:tr>
      <w:tr>
        <w:tc>
          <w:tcPr>
            <w:tcW w:type="dxa" w:w="2880"/>
          </w:tcPr>
          <w:p>
            <w:r>
              <w:t>Newspaper Notice (The Star)</w:t>
            </w:r>
          </w:p>
        </w:tc>
        <w:tc>
          <w:tcPr>
            <w:tcW w:type="dxa" w:w="2880"/>
          </w:tcPr>
          <w:p>
            <w:r>
              <w:t>2026‑09‑02</w:t>
            </w:r>
          </w:p>
        </w:tc>
        <w:tc>
          <w:tcPr>
            <w:tcW w:type="dxa" w:w="2880"/>
          </w:tcPr>
          <w:p>
            <w:r>
              <w:t>21‑day public notice of the ESIA submission</w:t>
            </w:r>
          </w:p>
        </w:tc>
      </w:tr>
      <w:tr>
        <w:tc>
          <w:tcPr>
            <w:tcW w:type="dxa" w:w="2880"/>
          </w:tcPr>
          <w:p>
            <w:r>
              <w:t>Baraza (Public Hearing)</w:t>
            </w:r>
          </w:p>
        </w:tc>
        <w:tc>
          <w:tcPr>
            <w:tcW w:type="dxa" w:w="2880"/>
          </w:tcPr>
          <w:p>
            <w:r>
              <w:t>2026‑09‑23</w:t>
            </w:r>
          </w:p>
        </w:tc>
        <w:tc>
          <w:tcPr>
            <w:tcW w:type="dxa" w:w="2880"/>
          </w:tcPr>
          <w:p>
            <w:r>
              <w:t>Held at Kiuu Trading Centre Grounds; 173 participants attended</w:t>
            </w:r>
          </w:p>
        </w:tc>
      </w:tr>
      <w:tr>
        <w:tc>
          <w:tcPr>
            <w:tcW w:type="dxa" w:w="2880"/>
          </w:tcPr>
          <w:p>
            <w:r>
              <w:t>Vulnerable Groups</w:t>
            </w:r>
          </w:p>
        </w:tc>
        <w:tc>
          <w:tcPr>
            <w:tcW w:type="dxa" w:w="2880"/>
          </w:tcPr>
          <w:p>
            <w:r>
              <w:t>Ongoing</w:t>
            </w:r>
          </w:p>
        </w:tc>
        <w:tc>
          <w:tcPr>
            <w:tcW w:type="dxa" w:w="2880"/>
          </w:tcPr>
          <w:p>
            <w:r>
              <w:t>Elderly residents near the blast zone offered priority transport during blasting windows</w:t>
            </w:r>
          </w:p>
        </w:tc>
      </w:tr>
      <w:tr>
        <w:tc>
          <w:tcPr>
            <w:tcW w:type="dxa" w:w="2880"/>
          </w:tcPr>
          <w:p>
            <w:r>
              <w:t>Grievance Redress Mechanism (GRM)</w:t>
            </w:r>
          </w:p>
        </w:tc>
        <w:tc>
          <w:tcPr>
            <w:tcW w:type="dxa" w:w="2880"/>
          </w:tcPr>
          <w:p>
            <w:r>
              <w:t>Established</w:t>
            </w:r>
          </w:p>
        </w:tc>
        <w:tc>
          <w:tcPr>
            <w:tcW w:type="dxa" w:w="2880"/>
          </w:tcPr>
          <w:p>
            <w:r>
              <w:t>GRM Committee formed; contact details provided in the ESMP</w:t>
            </w:r>
          </w:p>
        </w:tc>
      </w:tr>
    </w:tbl>
    <w:p>
      <w:r>
        <w:t>All comments received during the Baraza have been documented and incorporated into the impact assessment and mitigation design.</w:t>
      </w:r>
    </w:p>
    <w:p>
      <w:r>
        <w:t>## 1.8 Key Environmental and Social Concerns &amp; Proposed Mitigations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Potential Impact</w:t>
            </w:r>
          </w:p>
        </w:tc>
        <w:tc>
          <w:tcPr>
            <w:tcW w:type="dxa" w:w="2880"/>
          </w:tcPr>
          <w:p>
            <w:r>
              <w:rPr>
                <w:b/>
              </w:rPr>
              <w:t>Mitigation (as per ESMP)</w:t>
            </w:r>
          </w:p>
        </w:tc>
      </w:tr>
      <w:tr>
        <w:tc>
          <w:tcPr>
            <w:tcW w:type="dxa" w:w="2880"/>
          </w:tcPr>
          <w:p>
            <w:r/>
            <w:r>
              <w:rPr>
                <w:b/>
              </w:rPr>
              <w:t>Ground Vibration from Blasting</w:t>
            </w:r>
            <w:r/>
          </w:p>
        </w:tc>
        <w:tc>
          <w:tcPr>
            <w:tcW w:type="dxa" w:w="2880"/>
          </w:tcPr>
          <w:p>
            <w:r>
              <w:t>Structural damage to nearby dwellings, especially within 500 m</w:t>
            </w:r>
          </w:p>
        </w:tc>
        <w:tc>
          <w:tcPr>
            <w:tcW w:type="dxa" w:w="2880"/>
          </w:tcPr>
          <w:p>
            <w:r>
              <w:t>Pre‑blast structural surveys; adherence to KS 2003 vibration limits; real‑time monitoring with Instantel Minimate Pro units</w:t>
            </w:r>
          </w:p>
        </w:tc>
      </w:tr>
      <w:tr>
        <w:tc>
          <w:tcPr>
            <w:tcW w:type="dxa" w:w="2880"/>
          </w:tcPr>
          <w:p>
            <w:r/>
            <w:r>
              <w:rPr>
                <w:b/>
              </w:rPr>
              <w:t>Dust Generation (crushing, screening, haulage)</w:t>
            </w:r>
            <w:r/>
          </w:p>
        </w:tc>
        <w:tc>
          <w:tcPr>
            <w:tcW w:type="dxa" w:w="2880"/>
          </w:tcPr>
          <w:p>
            <w:r>
              <w:t>Elevated PM2.5/PM10, respiratory health risks</w:t>
            </w:r>
          </w:p>
        </w:tc>
        <w:tc>
          <w:tcPr>
            <w:tcW w:type="dxa" w:w="2880"/>
          </w:tcPr>
          <w:p>
            <w:r>
              <w:t>Wet suppression on crushers (water bowsers), enclosed conveyors, vegetated buffer, regular road watering</w:t>
            </w:r>
          </w:p>
        </w:tc>
      </w:tr>
      <w:tr>
        <w:tc>
          <w:tcPr>
            <w:tcW w:type="dxa" w:w="2880"/>
          </w:tcPr>
          <w:p>
            <w:r/>
            <w:r>
              <w:rPr>
                <w:b/>
              </w:rPr>
              <w:t>Impact on Ndarugo River</w:t>
            </w:r>
            <w:r/>
          </w:p>
        </w:tc>
        <w:tc>
          <w:tcPr>
            <w:tcW w:type="dxa" w:w="2880"/>
          </w:tcPr>
          <w:p>
            <w:r>
              <w:t>Sediment loading, water quality degradation</w:t>
            </w:r>
          </w:p>
        </w:tc>
        <w:tc>
          <w:tcPr>
            <w:tcW w:type="dxa" w:w="2880"/>
          </w:tcPr>
          <w:p>
            <w:r>
              <w:t>30 m no‑disturbance buffer; sediment traps on all runoff points; compliance with Water Act 2016 abstraction and discharge permits</w:t>
            </w:r>
          </w:p>
        </w:tc>
      </w:tr>
      <w:tr>
        <w:tc>
          <w:tcPr>
            <w:tcW w:type="dxa" w:w="2880"/>
          </w:tcPr>
          <w:p>
            <w:r/>
            <w:r>
              <w:rPr>
                <w:b/>
              </w:rPr>
              <w:t>Heavy Truck Traffic</w:t>
            </w:r>
            <w:r/>
          </w:p>
        </w:tc>
        <w:tc>
          <w:tcPr>
            <w:tcW w:type="dxa" w:w="2880"/>
          </w:tcPr>
          <w:p>
            <w:r>
              <w:t>Road safety hazards, increased emissions, noise</w:t>
            </w:r>
          </w:p>
        </w:tc>
        <w:tc>
          <w:tcPr>
            <w:tcW w:type="dxa" w:w="2880"/>
          </w:tcPr>
          <w:p>
            <w:r>
              <w:t>Designated alternate haul route bypassing Kiuu Trading Centre; traffic management plan; blasting/hauling limited to 08:00‑17:00</w:t>
            </w:r>
          </w:p>
        </w:tc>
      </w:tr>
      <w:tr>
        <w:tc>
          <w:tcPr>
            <w:tcW w:type="dxa" w:w="2880"/>
          </w:tcPr>
          <w:p>
            <w:r/>
            <w:r>
              <w:rPr>
                <w:b/>
              </w:rPr>
              <w:t>Noise Emissions</w:t>
            </w:r>
            <w:r/>
          </w:p>
        </w:tc>
        <w:tc>
          <w:tcPr>
            <w:tcW w:type="dxa" w:w="2880"/>
          </w:tcPr>
          <w:p>
            <w:r>
              <w:t>Exceeds residential night standards, disturbance to schools and health centre</w:t>
            </w:r>
          </w:p>
        </w:tc>
        <w:tc>
          <w:tcPr>
            <w:tcW w:type="dxa" w:w="2880"/>
          </w:tcPr>
          <w:p>
            <w:r>
              <w:t>4 m earth berm + vegetated buffer; equipment fitted with silencers; operational schedule to avoid night‑time operations</w:t>
            </w:r>
          </w:p>
        </w:tc>
      </w:tr>
    </w:tbl>
    <w:p>
      <w:r>
        <w:t xml:space="preserve">All mitigations are integrated into the </w:t>
      </w:r>
      <w:r>
        <w:rPr>
          <w:b/>
        </w:rPr>
        <w:t>Environmental and Social Management Plan (ESMP)</w:t>
      </w:r>
      <w:r>
        <w:t>, which includes monitoring protocols, responsibilities, and corrective action procedures.</w:t>
      </w:r>
    </w:p>
    <w:p>
      <w:r>
        <w:t>## 1.9 Scope of the ESIA</w:t>
      </w:r>
    </w:p>
    <w:p>
      <w:r>
        <w:t>The ESIA addresses the following components:</w:t>
      </w:r>
    </w:p>
    <w:p>
      <w:pPr>
        <w:pStyle w:val="ListNumber"/>
      </w:pPr>
      <w:r/>
      <w:r>
        <w:rPr>
          <w:b/>
        </w:rPr>
        <w:t>Project Description &amp; Alternatives</w:t>
      </w:r>
      <w:r>
        <w:t xml:space="preserve"> – including the “no‑project” baseline.</w:t>
      </w:r>
    </w:p>
    <w:p>
      <w:pPr>
        <w:pStyle w:val="ListNumber"/>
      </w:pPr>
      <w:r/>
      <w:r>
        <w:rPr>
          <w:b/>
        </w:rPr>
        <w:t>Legislative and Policy Context</w:t>
      </w:r>
      <w:r>
        <w:t xml:space="preserve"> – national, county, and international standards.</w:t>
      </w:r>
    </w:p>
    <w:p>
      <w:pPr>
        <w:pStyle w:val="ListNumber"/>
      </w:pPr>
      <w:r/>
      <w:r>
        <w:rPr>
          <w:b/>
        </w:rPr>
        <w:t>Baseline Studies</w:t>
      </w:r>
      <w:r>
        <w:t xml:space="preserve"> – air quality, noise, water resources, geology, biodiversity, socio‑economics.</w:t>
      </w:r>
    </w:p>
    <w:p>
      <w:pPr>
        <w:pStyle w:val="ListNumber"/>
      </w:pPr>
      <w:r/>
      <w:r>
        <w:rPr>
          <w:b/>
        </w:rPr>
        <w:t>Impact Assessment</w:t>
      </w:r>
      <w:r>
        <w:t xml:space="preserve"> – identification, prediction, and evaluation of construction and operational impacts.</w:t>
      </w:r>
    </w:p>
    <w:p>
      <w:pPr>
        <w:pStyle w:val="ListNumber"/>
      </w:pPr>
      <w:r/>
      <w:r>
        <w:rPr>
          <w:b/>
        </w:rPr>
        <w:t>Mitigation Measures &amp; ESMP</w:t>
      </w:r>
      <w:r>
        <w:t xml:space="preserve"> – detailed technical and institutional controls.</w:t>
      </w:r>
    </w:p>
    <w:p>
      <w:pPr>
        <w:pStyle w:val="ListNumber"/>
      </w:pPr>
      <w:r/>
      <w:r>
        <w:rPr>
          <w:b/>
        </w:rPr>
        <w:t>Monitoring &amp; Reporting</w:t>
      </w:r>
      <w:r>
        <w:t xml:space="preserve"> – schedule, indicators, and responsibilities.</w:t>
      </w:r>
    </w:p>
    <w:p>
      <w:pPr>
        <w:pStyle w:val="ListNumber"/>
      </w:pPr>
      <w:r/>
      <w:r>
        <w:rPr>
          <w:b/>
        </w:rPr>
        <w:t>Public Participation &amp; GRM</w:t>
      </w:r>
      <w:r>
        <w:t xml:space="preserve"> – summary of stakeholder inputs and response mechanisms.</w:t>
      </w:r>
    </w:p>
    <w:p>
      <w:r>
        <w:t>## 1.10 Methodology</w:t>
      </w:r>
    </w:p>
    <w:p>
      <w:r>
        <w:t>The assessment follows NEMA’s prescribed methodology for high‑risk mining projects:</w:t>
      </w:r>
    </w:p>
    <w:p>
      <w:pPr>
        <w:pStyle w:val="ListBullet"/>
      </w:pPr>
      <w:r/>
      <w:r>
        <w:rPr>
          <w:b/>
        </w:rPr>
        <w:t>Desk Review</w:t>
      </w:r>
      <w:r>
        <w:t xml:space="preserve"> of statutory documents, previous studies, and technical specifications.</w:t>
      </w:r>
    </w:p>
    <w:p>
      <w:pPr>
        <w:pStyle w:val="ListBullet"/>
      </w:pPr>
      <w:r/>
      <w:r>
        <w:rPr>
          <w:b/>
        </w:rPr>
        <w:t>Field Surveys</w:t>
      </w:r>
      <w:r>
        <w:t xml:space="preserve"> (air, noise, water, biodiversity) conducted by Tectonic Geo‑Environmental Associates on 2026‑05‑03.</w:t>
      </w:r>
    </w:p>
    <w:p>
      <w:pPr>
        <w:pStyle w:val="ListBullet"/>
      </w:pPr>
      <w:r/>
      <w:r>
        <w:rPr>
          <w:b/>
        </w:rPr>
        <w:t>Modeling</w:t>
      </w:r>
      <w:r>
        <w:t xml:space="preserve"> of dispersion (AERMOD) for particulate matter and noise propagation (CadnaA).</w:t>
      </w:r>
    </w:p>
    <w:p>
      <w:pPr>
        <w:pStyle w:val="ListBullet"/>
      </w:pPr>
      <w:r/>
      <w:r>
        <w:rPr>
          <w:b/>
        </w:rPr>
        <w:t>Vibration Prediction</w:t>
      </w:r>
      <w:r>
        <w:t xml:space="preserve"> using empirical formulas calibrated with on‑site seismograph data.</w:t>
      </w:r>
    </w:p>
    <w:p>
      <w:pPr>
        <w:pStyle w:val="ListBullet"/>
      </w:pPr>
      <w:r/>
      <w:r>
        <w:rPr>
          <w:b/>
        </w:rPr>
        <w:t>Stakeholder Consultation</w:t>
      </w:r>
      <w:r>
        <w:t xml:space="preserve"> through public notices, Baraza, focus groups, and GRM records.</w:t>
      </w:r>
    </w:p>
    <w:p>
      <w:pPr>
        <w:pStyle w:val="ListBullet"/>
      </w:pPr>
      <w:r/>
      <w:r>
        <w:rPr>
          <w:b/>
        </w:rPr>
        <w:t>Impact Significance Matrix</w:t>
      </w:r>
      <w:r>
        <w:t xml:space="preserve"> applying NEMA’s qualitative criteria (negligible, minor, moderate, major, severe).</w:t>
      </w:r>
    </w:p>
    <w:p>
      <w:r>
        <w:t>## 1.11 Structure of the Report</w:t>
      </w:r>
    </w:p>
    <w:p>
      <w:r>
        <w:t>The ESIA is organized as follows:</w:t>
      </w:r>
    </w:p>
    <w:p>
      <w:pPr>
        <w:pStyle w:val="ListNumber"/>
      </w:pPr>
      <w:r/>
      <w:r>
        <w:rPr>
          <w:b/>
        </w:rPr>
        <w:t>Introduction</w:t>
      </w:r>
      <w:r>
        <w:t xml:space="preserve"> – (this chapter)</w:t>
      </w:r>
    </w:p>
    <w:p>
      <w:pPr>
        <w:pStyle w:val="ListNumber"/>
      </w:pPr>
      <w:r/>
      <w:r>
        <w:rPr>
          <w:b/>
        </w:rPr>
        <w:t>Project Description &amp; Alternatives</w:t>
      </w:r>
      <w:r/>
    </w:p>
    <w:p>
      <w:pPr>
        <w:pStyle w:val="ListNumber"/>
      </w:pPr>
      <w:r/>
      <w:r>
        <w:rPr>
          <w:b/>
        </w:rPr>
        <w:t>Regulatory Framework &amp; Institutional Arrangements</w:t>
      </w:r>
      <w:r/>
    </w:p>
    <w:p>
      <w:pPr>
        <w:pStyle w:val="ListNumber"/>
      </w:pPr>
      <w:r/>
      <w:r>
        <w:rPr>
          <w:b/>
        </w:rPr>
        <w:t>Baseline Environment and Social Conditions</w:t>
      </w:r>
      <w:r/>
    </w:p>
    <w:p>
      <w:pPr>
        <w:pStyle w:val="ListNumber"/>
      </w:pPr>
      <w:r/>
      <w:r>
        <w:rPr>
          <w:b/>
        </w:rPr>
        <w:t>Impact Identification and Assessment</w:t>
      </w:r>
      <w:r/>
    </w:p>
    <w:p>
      <w:pPr>
        <w:pStyle w:val="ListNumber"/>
      </w:pPr>
      <w:r/>
      <w:r>
        <w:rPr>
          <w:b/>
        </w:rPr>
        <w:t>Mitigation Measures and ESMP</w:t>
      </w:r>
      <w:r/>
    </w:p>
    <w:p>
      <w:pPr>
        <w:pStyle w:val="ListNumber"/>
      </w:pPr>
      <w:r/>
      <w:r>
        <w:rPr>
          <w:b/>
        </w:rPr>
        <w:t>Monitoring, Auditing and Reporting</w:t>
      </w:r>
      <w:r/>
    </w:p>
    <w:p>
      <w:pPr>
        <w:pStyle w:val="ListNumber"/>
      </w:pPr>
      <w:r/>
      <w:r>
        <w:rPr>
          <w:b/>
        </w:rPr>
        <w:t>Stakeholder Engagement and GRM</w:t>
      </w:r>
      <w:r/>
    </w:p>
    <w:p>
      <w:pPr>
        <w:pStyle w:val="ListNumber"/>
      </w:pPr>
      <w:r/>
      <w:r>
        <w:rPr>
          <w:b/>
        </w:rPr>
        <w:t>Conclusions and Recommendations</w:t>
      </w:r>
      <w:r/>
    </w:p>
    <w:p>
      <w:r>
        <w:t xml:space="preserve">The subsequent chapters provide detailed analyses, quantitative predictions, and the full </w:t>
      </w:r>
      <w:r>
        <w:rPr>
          <w:b/>
        </w:rPr>
        <w:t>Environmental and Social Management Plan</w:t>
      </w:r>
      <w:r>
        <w:t xml:space="preserve"> required for NEMA’s pre‑approval consideration.</w:t>
      </w:r>
    </w:p>
    <w:p>
      <w:r>
        <w:br w:type="page"/>
      </w:r>
    </w:p>
    <w:p>
      <w:pPr>
        <w:pStyle w:val="Heading1"/>
      </w:pPr>
      <w:r>
        <w:t>Chapter 2: Project Description</w:t>
      </w:r>
    </w:p>
    <w:p>
      <w:r>
        <w:t>## 2.1 Project Overview</w:t>
      </w:r>
    </w:p>
    <w:p>
      <w:pPr>
        <w:pStyle w:val="ListBullet"/>
      </w:pPr>
      <w:r/>
      <w:r>
        <w:rPr>
          <w:b/>
        </w:rPr>
        <w:t>Project Name:</w:t>
      </w:r>
      <w:r>
        <w:t xml:space="preserve"> Kiuu Quarry &amp; Aggregate Processing Facility</w:t>
      </w:r>
    </w:p>
    <w:p>
      <w:pPr>
        <w:pStyle w:val="ListBullet"/>
      </w:pPr>
      <w:r/>
      <w:r>
        <w:rPr>
          <w:b/>
        </w:rPr>
        <w:t>Proponent:</w:t>
      </w:r>
      <w:r>
        <w:t xml:space="preserve"> Rockline Aggregates (K) Ltd. (PIN: P059413827R)</w:t>
      </w:r>
    </w:p>
    <w:p>
      <w:pPr>
        <w:pStyle w:val="ListBullet"/>
      </w:pPr>
      <w:r/>
      <w:r>
        <w:rPr>
          <w:b/>
        </w:rPr>
        <w:t>Lead Expert:</w:t>
      </w:r>
      <w:r>
        <w:t xml:space="preserve"> Eliud Michura (EIA/EA/0532)</w:t>
      </w:r>
    </w:p>
    <w:p>
      <w:pPr>
        <w:pStyle w:val="ListBullet"/>
      </w:pPr>
      <w:r/>
      <w:r>
        <w:rPr>
          <w:b/>
        </w:rPr>
        <w:t>Category:</w:t>
      </w:r>
      <w:r>
        <w:t xml:space="preserve"> Mining/Quarrying – Extractive (High Risk – Second Schedule)</w:t>
      </w:r>
    </w:p>
    <w:p>
      <w:pPr>
        <w:pStyle w:val="ListBullet"/>
      </w:pPr>
      <w:r/>
      <w:r>
        <w:rPr>
          <w:b/>
        </w:rPr>
        <w:t>Site Area:</w:t>
      </w:r>
      <w:r>
        <w:t xml:space="preserve"> 6.37 ha (Plot LR No. 4417/09, 33‑year mining lease)</w:t>
      </w:r>
    </w:p>
    <w:p>
      <w:pPr>
        <w:pStyle w:val="ListBullet"/>
      </w:pPr>
      <w:r/>
      <w:r>
        <w:rPr>
          <w:b/>
        </w:rPr>
        <w:t>Location:</w:t>
      </w:r>
      <w:r>
        <w:t xml:space="preserve"> Ndarugo Ward, Gatundu South, Kiambu County (Latitude ‑1.0873, Longitude 37.0142)</w:t>
      </w:r>
    </w:p>
    <w:p>
      <w:pPr>
        <w:pStyle w:val="ListBullet"/>
      </w:pPr>
      <w:r/>
      <w:r>
        <w:rPr>
          <w:b/>
        </w:rPr>
        <w:t>Project Cost:</w:t>
      </w:r>
      <w:r>
        <w:t xml:space="preserve"> KES 417,600,000</w:t>
      </w:r>
    </w:p>
    <w:p>
      <w:pPr>
        <w:pStyle w:val="ListBullet"/>
      </w:pPr>
      <w:r/>
      <w:r>
        <w:rPr>
          <w:b/>
        </w:rPr>
        <w:t>Implementation Schedule:</w:t>
      </w:r>
      <w:r/>
    </w:p>
    <w:p>
      <w:pPr>
        <w:pStyle w:val="ListBullet"/>
      </w:pPr>
      <w:r>
        <w:t>Commencement of construction – 11 May 2027</w:t>
      </w:r>
    </w:p>
    <w:p>
      <w:pPr>
        <w:pStyle w:val="ListBullet"/>
      </w:pPr>
      <w:r>
        <w:t>Construction period – 9 months</w:t>
      </w:r>
    </w:p>
    <w:p>
      <w:pPr>
        <w:pStyle w:val="ListBullet"/>
      </w:pPr>
      <w:r>
        <w:t>Operational lifespan – 18 years (2028‑2045)</w:t>
      </w:r>
    </w:p>
    <w:p>
      <w:r>
        <w:t>## 2.2 Site Description</w:t>
      </w:r>
    </w:p>
    <w:p>
      <w:r>
        <w:t>The quarry occupies a former disused pit within a rocky scrubland matrix. The terrain is gently undulating with a natural slope of 3‑5 % towards the northeast where the Ndarugo River lies 95 m from the proposed processing plant. Groundwater occurs at a depth of approximately 61 m below ground surface and is accessed via a dedicated on‑site borehole (Rockline Staff Borehole, 20 m on‑site).</w:t>
      </w:r>
    </w:p>
    <w:p>
      <w:r>
        <w:t>### 2.2.1 Land Use &amp; Adjacent Receptors (≤ 1 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Receptor</w:t>
            </w:r>
          </w:p>
        </w:tc>
        <w:tc>
          <w:tcPr>
            <w:tcW w:type="dxa" w:w="2880"/>
          </w:tcPr>
          <w:p>
            <w:r>
              <w:rPr>
                <w:b/>
              </w:rPr>
              <w:t>Distance &amp; Direction</w:t>
            </w:r>
          </w:p>
        </w:tc>
        <w:tc>
          <w:tcPr>
            <w:tcW w:type="dxa" w:w="2880"/>
          </w:tcPr>
          <w:p>
            <w:r>
              <w:rPr>
                <w:b/>
              </w:rPr>
              <w:t>Primary Sensitivity</w:t>
            </w:r>
          </w:p>
        </w:tc>
      </w:tr>
      <w:tr>
        <w:tc>
          <w:tcPr>
            <w:tcW w:type="dxa" w:w="2880"/>
          </w:tcPr>
          <w:p>
            <w:r>
              <w:t>Ndarugo Health Centre</w:t>
            </w:r>
          </w:p>
        </w:tc>
        <w:tc>
          <w:tcPr>
            <w:tcW w:type="dxa" w:w="2880"/>
          </w:tcPr>
          <w:p>
            <w:r>
              <w:t>740 m E</w:t>
            </w:r>
          </w:p>
        </w:tc>
        <w:tc>
          <w:tcPr>
            <w:tcW w:type="dxa" w:w="2880"/>
          </w:tcPr>
          <w:p>
            <w:r>
              <w:t>Public health</w:t>
            </w:r>
          </w:p>
        </w:tc>
      </w:tr>
      <w:tr>
        <w:tc>
          <w:tcPr>
            <w:tcW w:type="dxa" w:w="2880"/>
          </w:tcPr>
          <w:p>
            <w:r>
              <w:t>Gatundu South Academy</w:t>
            </w:r>
          </w:p>
        </w:tc>
        <w:tc>
          <w:tcPr>
            <w:tcW w:type="dxa" w:w="2880"/>
          </w:tcPr>
          <w:p>
            <w:r>
              <w:t>410 m SW</w:t>
            </w:r>
          </w:p>
        </w:tc>
        <w:tc>
          <w:tcPr>
            <w:tcW w:type="dxa" w:w="2880"/>
          </w:tcPr>
          <w:p>
            <w:r>
              <w:t>Children/education</w:t>
            </w:r>
          </w:p>
        </w:tc>
      </w:tr>
      <w:tr>
        <w:tc>
          <w:tcPr>
            <w:tcW w:type="dxa" w:w="2880"/>
          </w:tcPr>
          <w:p>
            <w:r>
              <w:t>Ndarugo SDA Church</w:t>
            </w:r>
          </w:p>
        </w:tc>
        <w:tc>
          <w:tcPr>
            <w:tcW w:type="dxa" w:w="2880"/>
          </w:tcPr>
          <w:p>
            <w:r>
              <w:t>890 m N</w:t>
            </w:r>
          </w:p>
        </w:tc>
        <w:tc>
          <w:tcPr>
            <w:tcW w:type="dxa" w:w="2880"/>
          </w:tcPr>
          <w:p>
            <w:r>
              <w:t>Community gatherings</w:t>
            </w:r>
          </w:p>
        </w:tc>
      </w:tr>
      <w:tr>
        <w:tc>
          <w:tcPr>
            <w:tcW w:type="dxa" w:w="2880"/>
          </w:tcPr>
          <w:p>
            <w:r>
              <w:t>Ndarugo River</w:t>
            </w:r>
          </w:p>
        </w:tc>
        <w:tc>
          <w:tcPr>
            <w:tcW w:type="dxa" w:w="2880"/>
          </w:tcPr>
          <w:p>
            <w:r>
              <w:t>95 m NE</w:t>
            </w:r>
          </w:p>
        </w:tc>
        <w:tc>
          <w:tcPr>
            <w:tcW w:type="dxa" w:w="2880"/>
          </w:tcPr>
          <w:p>
            <w:r>
              <w:t>Aquatic ecosystem</w:t>
            </w:r>
          </w:p>
        </w:tc>
      </w:tr>
      <w:tr>
        <w:tc>
          <w:tcPr>
            <w:tcW w:type="dxa" w:w="2880"/>
          </w:tcPr>
          <w:p>
            <w:r>
              <w:t>Kieni Forest Buffer Zone</w:t>
            </w:r>
          </w:p>
        </w:tc>
        <w:tc>
          <w:tcPr>
            <w:tcW w:type="dxa" w:w="2880"/>
          </w:tcPr>
          <w:p>
            <w:r>
              <w:t>970 m W</w:t>
            </w:r>
          </w:p>
        </w:tc>
        <w:tc>
          <w:tcPr>
            <w:tcW w:type="dxa" w:w="2880"/>
          </w:tcPr>
          <w:p>
            <w:r>
              <w:t>Biodiversity</w:t>
            </w:r>
          </w:p>
        </w:tc>
      </w:tr>
      <w:tr>
        <w:tc>
          <w:tcPr>
            <w:tcW w:type="dxa" w:w="2880"/>
          </w:tcPr>
          <w:p>
            <w:r>
              <w:t>Kiuu Trading Centre</w:t>
            </w:r>
          </w:p>
        </w:tc>
        <w:tc>
          <w:tcPr>
            <w:tcW w:type="dxa" w:w="2880"/>
          </w:tcPr>
          <w:p>
            <w:r>
              <w:t>310 m S</w:t>
            </w:r>
          </w:p>
        </w:tc>
        <w:tc>
          <w:tcPr>
            <w:tcW w:type="dxa" w:w="2880"/>
          </w:tcPr>
          <w:p>
            <w:r>
              <w:t>Commercial activity</w:t>
            </w:r>
          </w:p>
        </w:tc>
      </w:tr>
      <w:tr>
        <w:tc>
          <w:tcPr>
            <w:tcW w:type="dxa" w:w="2880"/>
          </w:tcPr>
          <w:p>
            <w:r>
              <w:t>Rockline Staff Borehole</w:t>
            </w:r>
          </w:p>
        </w:tc>
        <w:tc>
          <w:tcPr>
            <w:tcW w:type="dxa" w:w="2880"/>
          </w:tcPr>
          <w:p>
            <w:r>
              <w:t>20 m On‑site</w:t>
            </w:r>
          </w:p>
        </w:tc>
        <w:tc>
          <w:tcPr>
            <w:tcW w:type="dxa" w:w="2880"/>
          </w:tcPr>
          <w:p>
            <w:r>
              <w:t>Water supply</w:t>
            </w:r>
          </w:p>
        </w:tc>
      </w:tr>
    </w:tbl>
    <w:p>
      <w:r>
        <w:t>## 2.3 Process Flow and Engineering Specifications</w:t>
      </w:r>
    </w:p>
    <w:p>
      <w:pPr>
        <w:pStyle w:val="ListNumber"/>
      </w:pPr>
      <w:r/>
      <w:r>
        <w:rPr>
          <w:b/>
        </w:rPr>
        <w:t>Blasting</w:t>
      </w:r>
      <w:r>
        <w:t xml:space="preserve"> – ANFO (Ammonium Nitrate Fuel Oil) bulk‑loaded; 2 blasts per week, maximum charge 45 kg per delay.</w:t>
      </w:r>
    </w:p>
    <w:p>
      <w:pPr>
        <w:pStyle w:val="ListNumber"/>
      </w:pPr>
      <w:r/>
      <w:r>
        <w:rPr>
          <w:b/>
        </w:rPr>
        <w:t>Loading &amp; Haulage</w:t>
      </w:r>
      <w:r>
        <w:t xml:space="preserve"> – Excavated rock is loaded onto haul trucks; </w:t>
      </w:r>
      <w:r>
        <w:rPr>
          <w:b/>
        </w:rPr>
        <w:t>62 truck movements per day</w:t>
      </w:r>
      <w:r>
        <w:t xml:space="preserve"> (31 loaded round trips). An alternate haul route bypasses Kiuu Trading Centre to minimise community exposure.</w:t>
      </w:r>
    </w:p>
    <w:p>
      <w:pPr>
        <w:pStyle w:val="ListNumber"/>
      </w:pPr>
      <w:r/>
      <w:r>
        <w:rPr>
          <w:b/>
        </w:rPr>
        <w:t>Crushing &amp; Screening</w:t>
      </w:r>
      <w:r>
        <w:t xml:space="preserve"> – Primary crusher (rated 290 kW) reduces rock to aggregate; screened into multiple size fractions. Power supplied by a 380 kVA diesel standby generator and grid connection.</w:t>
      </w:r>
    </w:p>
    <w:p>
      <w:pPr>
        <w:pStyle w:val="ListNumber"/>
      </w:pPr>
      <w:r/>
      <w:r>
        <w:rPr>
          <w:b/>
        </w:rPr>
        <w:t>Dust Suppression</w:t>
      </w:r>
      <w:r>
        <w:t xml:space="preserve"> – Two 10 000 L water bowsers provide wet suppression at the crusher; a fixed sprinkler line runs along the crushing zone.</w:t>
      </w:r>
    </w:p>
    <w:p>
      <w:pPr>
        <w:pStyle w:val="ListNumber"/>
      </w:pPr>
      <w:r/>
      <w:r>
        <w:rPr>
          <w:b/>
        </w:rPr>
        <w:t>Stockpiling</w:t>
      </w:r>
      <w:r>
        <w:t xml:space="preserve"> – Processed aggregates are stockpiled on a designated 1.2 ha area, protected by a 4 m earth berm and vegetated buffer on the east perimeter.</w:t>
      </w:r>
    </w:p>
    <w:p>
      <w:pPr>
        <w:pStyle w:val="ListNumber"/>
      </w:pPr>
      <w:r/>
      <w:r>
        <w:rPr>
          <w:b/>
        </w:rPr>
        <w:t>Water Use</w:t>
      </w:r>
      <w:r>
        <w:t xml:space="preserve"> – </w:t>
      </w:r>
      <w:r>
        <w:rPr>
          <w:b/>
        </w:rPr>
        <w:t>34 m³ day⁻¹</w:t>
      </w:r>
      <w:r>
        <w:t xml:space="preserve"> for dust suppression and wheel wash. Water is drawn from the on‑site borehole; no abstraction from the Ndarugo River.</w:t>
      </w:r>
    </w:p>
    <w:p>
      <w:pPr>
        <w:pStyle w:val="ListNumber"/>
      </w:pPr>
      <w:r/>
      <w:r>
        <w:rPr>
          <w:b/>
        </w:rPr>
        <w:t>Vibration Monitoring</w:t>
      </w:r>
      <w:r>
        <w:t xml:space="preserve"> – Three Instantel Minimate Pro seismographs installed at strategic points around the blast zone.</w:t>
      </w:r>
    </w:p>
    <w:p>
      <w:pPr>
        <w:pStyle w:val="ListNumber"/>
      </w:pPr>
      <w:r/>
      <w:r>
        <w:rPr>
          <w:b/>
        </w:rPr>
        <w:t>Noise Mitigation</w:t>
      </w:r>
      <w:r>
        <w:t xml:space="preserve"> – 4 m earth berm plus vegetated buffer; operational hours for blasting and haulage limited to 08:00‑17:00.</w:t>
      </w:r>
    </w:p>
    <w:p>
      <w:r>
        <w:t>### 2.3.1 Production Capacity</w:t>
      </w:r>
    </w:p>
    <w:p>
      <w:pPr>
        <w:pStyle w:val="ListBullet"/>
      </w:pPr>
      <w:r/>
      <w:r>
        <w:rPr>
          <w:b/>
        </w:rPr>
        <w:t>Aggregate output:</w:t>
      </w:r>
      <w:r>
        <w:t xml:space="preserve"> </w:t>
      </w:r>
      <w:r>
        <w:rPr>
          <w:b/>
        </w:rPr>
        <w:t>840 tonnes day⁻¹</w:t>
      </w:r>
      <w:r/>
    </w:p>
    <w:p>
      <w:r>
        <w:t>## 2.4 Construction and Operational Activities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Key Activities</w:t>
            </w:r>
          </w:p>
        </w:tc>
        <w:tc>
          <w:tcPr>
            <w:tcW w:type="dxa" w:w="2880"/>
          </w:tcPr>
          <w:p>
            <w:r>
              <w:rPr>
                <w:b/>
              </w:rPr>
              <w:t>Duration</w:t>
            </w:r>
          </w:p>
        </w:tc>
      </w:tr>
      <w:tr>
        <w:tc>
          <w:tcPr>
            <w:tcW w:type="dxa" w:w="2880"/>
          </w:tcPr>
          <w:p>
            <w:r/>
            <w:r>
              <w:rPr>
                <w:b/>
              </w:rPr>
              <w:t>Mobilisation</w:t>
            </w:r>
            <w:r/>
          </w:p>
        </w:tc>
        <w:tc>
          <w:tcPr>
            <w:tcW w:type="dxa" w:w="2880"/>
          </w:tcPr>
          <w:p>
            <w:r>
              <w:t>Site clearing, temporary offices, access roads</w:t>
            </w:r>
          </w:p>
        </w:tc>
        <w:tc>
          <w:tcPr>
            <w:tcW w:type="dxa" w:w="2880"/>
          </w:tcPr>
          <w:p>
            <w:r>
              <w:t>1 month</w:t>
            </w:r>
          </w:p>
        </w:tc>
      </w:tr>
      <w:tr>
        <w:tc>
          <w:tcPr>
            <w:tcW w:type="dxa" w:w="2880"/>
          </w:tcPr>
          <w:p>
            <w:r/>
            <w:r>
              <w:rPr>
                <w:b/>
              </w:rPr>
              <w:t>Excavation &amp; Blasting Set‑up</w:t>
            </w:r>
            <w:r/>
          </w:p>
        </w:tc>
        <w:tc>
          <w:tcPr>
            <w:tcW w:type="dxa" w:w="2880"/>
          </w:tcPr>
          <w:p>
            <w:r>
              <w:t>Installation of blast holes, ANFO handling facilities</w:t>
            </w:r>
          </w:p>
        </w:tc>
        <w:tc>
          <w:tcPr>
            <w:tcW w:type="dxa" w:w="2880"/>
          </w:tcPr>
          <w:p>
            <w:r>
              <w:t>2 months</w:t>
            </w:r>
          </w:p>
        </w:tc>
      </w:tr>
      <w:tr>
        <w:tc>
          <w:tcPr>
            <w:tcW w:type="dxa" w:w="2880"/>
          </w:tcPr>
          <w:p>
            <w:r/>
            <w:r>
              <w:rPr>
                <w:b/>
              </w:rPr>
              <w:t>Plant Installation</w:t>
            </w:r>
            <w:r/>
          </w:p>
        </w:tc>
        <w:tc>
          <w:tcPr>
            <w:tcW w:type="dxa" w:w="2880"/>
          </w:tcPr>
          <w:p>
            <w:r>
              <w:t>Crusher, screening line, power supply, water &amp; dust suppression systems</w:t>
            </w:r>
          </w:p>
        </w:tc>
        <w:tc>
          <w:tcPr>
            <w:tcW w:type="dxa" w:w="2880"/>
          </w:tcPr>
          <w:p>
            <w:r>
              <w:t>3 months</w:t>
            </w:r>
          </w:p>
        </w:tc>
      </w:tr>
      <w:tr>
        <w:tc>
          <w:tcPr>
            <w:tcW w:type="dxa" w:w="2880"/>
          </w:tcPr>
          <w:p>
            <w:r/>
            <w:r>
              <w:rPr>
                <w:b/>
              </w:rPr>
              <w:t>Commissioning</w:t>
            </w:r>
            <w:r/>
          </w:p>
        </w:tc>
        <w:tc>
          <w:tcPr>
            <w:tcW w:type="dxa" w:w="2880"/>
          </w:tcPr>
          <w:p>
            <w:r>
              <w:t>Equipment testing, vibration &amp; noise baseline verification</w:t>
            </w:r>
          </w:p>
        </w:tc>
        <w:tc>
          <w:tcPr>
            <w:tcW w:type="dxa" w:w="2880"/>
          </w:tcPr>
          <w:p>
            <w:r>
              <w:t>1 month</w:t>
            </w:r>
          </w:p>
        </w:tc>
      </w:tr>
      <w:tr>
        <w:tc>
          <w:tcPr>
            <w:tcW w:type="dxa" w:w="2880"/>
          </w:tcPr>
          <w:p>
            <w:r/>
            <w:r>
              <w:rPr>
                <w:b/>
              </w:rPr>
              <w:t>Full‑Scale Operation</w:t>
            </w:r>
            <w:r/>
          </w:p>
        </w:tc>
        <w:tc>
          <w:tcPr>
            <w:tcW w:type="dxa" w:w="2880"/>
          </w:tcPr>
          <w:p>
            <w:r>
              <w:t>Commences May 2028, continues for 18 years</w:t>
            </w:r>
          </w:p>
        </w:tc>
        <w:tc>
          <w:tcPr>
            <w:tcW w:type="dxa" w:w="2880"/>
          </w:tcPr>
          <w:p>
            <w:r>
              <w:t>–</w:t>
            </w:r>
          </w:p>
        </w:tc>
      </w:tr>
    </w:tbl>
    <w:p>
      <w:r>
        <w:t>## 2.5 Baseline Environmental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 (Measured 03‑May‑2026)</w:t>
            </w:r>
          </w:p>
        </w:tc>
        <w:tc>
          <w:tcPr>
            <w:tcW w:type="dxa" w:w="2160"/>
          </w:tcPr>
          <w:p>
            <w:r>
              <w:rPr>
                <w:b/>
              </w:rPr>
              <w:t>Relevant Standard</w:t>
            </w:r>
          </w:p>
        </w:tc>
        <w:tc>
          <w:tcPr>
            <w:tcW w:type="dxa" w:w="2160"/>
          </w:tcPr>
          <w:p>
            <w:r>
              <w:rPr>
                <w:b/>
              </w:rPr>
              <w:t>Compliance Status</w:t>
            </w:r>
          </w:p>
        </w:tc>
      </w:tr>
      <w:tr>
        <w:tc>
          <w:tcPr>
            <w:tcW w:type="dxa" w:w="2160"/>
          </w:tcPr>
          <w:p>
            <w:r/>
            <w:r>
              <w:rPr>
                <w:b/>
              </w:rPr>
              <w:t>PM₂.₅</w:t>
            </w:r>
            <w:r/>
          </w:p>
        </w:tc>
        <w:tc>
          <w:tcPr>
            <w:tcW w:type="dxa" w:w="2160"/>
          </w:tcPr>
          <w:p>
            <w:r>
              <w:t>22 µg m⁻³</w:t>
            </w:r>
          </w:p>
        </w:tc>
        <w:tc>
          <w:tcPr>
            <w:tcW w:type="dxa" w:w="2160"/>
          </w:tcPr>
          <w:p>
            <w:r>
              <w:t>WHO 24‑hr guideline 15 µg m⁻³</w:t>
            </w:r>
          </w:p>
        </w:tc>
        <w:tc>
          <w:tcPr>
            <w:tcW w:type="dxa" w:w="2160"/>
          </w:tcPr>
          <w:p>
            <w:r/>
            <w:r>
              <w:rPr>
                <w:b/>
              </w:rPr>
              <w:t>Exceeds</w:t>
            </w:r>
            <w:r/>
          </w:p>
        </w:tc>
      </w:tr>
      <w:tr>
        <w:tc>
          <w:tcPr>
            <w:tcW w:type="dxa" w:w="2160"/>
          </w:tcPr>
          <w:p>
            <w:r/>
            <w:r>
              <w:rPr>
                <w:b/>
              </w:rPr>
              <w:t>PM₁₀</w:t>
            </w:r>
            <w:r/>
          </w:p>
        </w:tc>
        <w:tc>
          <w:tcPr>
            <w:tcW w:type="dxa" w:w="2160"/>
          </w:tcPr>
          <w:p>
            <w:r>
              <w:t>63 µg m⁻³</w:t>
            </w:r>
          </w:p>
        </w:tc>
        <w:tc>
          <w:tcPr>
            <w:tcW w:type="dxa" w:w="2160"/>
          </w:tcPr>
          <w:p>
            <w:r>
              <w:t>NEMA 75 µg m⁻³ (residential)</w:t>
            </w:r>
          </w:p>
        </w:tc>
        <w:tc>
          <w:tcPr>
            <w:tcW w:type="dxa" w:w="2160"/>
          </w:tcPr>
          <w:p>
            <w:r>
              <w:t>Within</w:t>
            </w:r>
          </w:p>
        </w:tc>
      </w:tr>
      <w:tr>
        <w:tc>
          <w:tcPr>
            <w:tcW w:type="dxa" w:w="2160"/>
          </w:tcPr>
          <w:p>
            <w:r/>
            <w:r>
              <w:rPr>
                <w:b/>
              </w:rPr>
              <w:t>Noise (ambient)</w:t>
            </w:r>
            <w:r/>
          </w:p>
        </w:tc>
        <w:tc>
          <w:tcPr>
            <w:tcW w:type="dxa" w:w="2160"/>
          </w:tcPr>
          <w:p>
            <w:r>
              <w:t>58 dBA (A)</w:t>
            </w:r>
          </w:p>
        </w:tc>
        <w:tc>
          <w:tcPr>
            <w:tcW w:type="dxa" w:w="2160"/>
          </w:tcPr>
          <w:p>
            <w:r>
              <w:t>NEMA residential night limit 45 dBA</w:t>
            </w:r>
          </w:p>
        </w:tc>
        <w:tc>
          <w:tcPr>
            <w:tcW w:type="dxa" w:w="2160"/>
          </w:tcPr>
          <w:p>
            <w:r/>
            <w:r>
              <w:rPr>
                <w:b/>
              </w:rPr>
              <w:t>Exceeds</w:t>
            </w:r>
            <w:r/>
          </w:p>
        </w:tc>
      </w:tr>
      <w:tr>
        <w:tc>
          <w:tcPr>
            <w:tcW w:type="dxa" w:w="2160"/>
          </w:tcPr>
          <w:p>
            <w:r/>
            <w:r>
              <w:rPr>
                <w:b/>
              </w:rPr>
              <w:t>Groundwater depth</w:t>
            </w:r>
            <w:r/>
          </w:p>
        </w:tc>
        <w:tc>
          <w:tcPr>
            <w:tcW w:type="dxa" w:w="2160"/>
          </w:tcPr>
          <w:p>
            <w:r>
              <w:t>61 m</w:t>
            </w:r>
          </w:p>
        </w:tc>
        <w:tc>
          <w:tcPr>
            <w:tcW w:type="dxa" w:w="2160"/>
          </w:tcPr>
          <w:p>
            <w:r>
              <w:t>–</w:t>
            </w:r>
          </w:p>
        </w:tc>
        <w:tc>
          <w:tcPr>
            <w:tcW w:type="dxa" w:w="2160"/>
          </w:tcPr>
          <w:p>
            <w:r>
              <w:t>–</w:t>
            </w:r>
          </w:p>
        </w:tc>
      </w:tr>
      <w:tr>
        <w:tc>
          <w:tcPr>
            <w:tcW w:type="dxa" w:w="2160"/>
          </w:tcPr>
          <w:p>
            <w:r/>
            <w:r>
              <w:rPr>
                <w:b/>
              </w:rPr>
              <w:t>Land use</w:t>
            </w:r>
            <w:r/>
          </w:p>
        </w:tc>
        <w:tc>
          <w:tcPr>
            <w:tcW w:type="dxa" w:w="2160"/>
          </w:tcPr>
          <w:p>
            <w:r>
              <w:t>Rocky scrubland / partially abandoned quarry</w:t>
            </w:r>
          </w:p>
        </w:tc>
        <w:tc>
          <w:tcPr>
            <w:tcW w:type="dxa" w:w="2160"/>
          </w:tcPr>
          <w:p>
            <w:r>
              <w:t>–</w:t>
            </w:r>
          </w:p>
        </w:tc>
        <w:tc>
          <w:tcPr>
            <w:tcW w:type="dxa" w:w="2160"/>
          </w:tcPr>
          <w:p>
            <w:r>
              <w:t>–</w:t>
            </w:r>
          </w:p>
        </w:tc>
      </w:tr>
      <w:tr>
        <w:tc>
          <w:tcPr>
            <w:tcW w:type="dxa" w:w="2160"/>
          </w:tcPr>
          <w:p>
            <w:r/>
            <w:r>
              <w:rPr>
                <w:b/>
              </w:rPr>
              <w:t>River water quality</w:t>
            </w:r>
            <w:r/>
          </w:p>
        </w:tc>
        <w:tc>
          <w:tcPr>
            <w:tcW w:type="dxa" w:w="2160"/>
          </w:tcPr>
          <w:p>
            <w:r>
              <w:t>Not quantified (baseline monitoring pending)</w:t>
            </w:r>
          </w:p>
        </w:tc>
        <w:tc>
          <w:tcPr>
            <w:tcW w:type="dxa" w:w="2160"/>
          </w:tcPr>
          <w:p>
            <w:r>
              <w:t>Water Act 2016 – no abstraction planned</w:t>
            </w:r>
          </w:p>
        </w:tc>
        <w:tc>
          <w:tcPr>
            <w:tcW w:type="dxa" w:w="2160"/>
          </w:tcPr>
          <w:p>
            <w:r>
              <w:t>–</w:t>
            </w:r>
          </w:p>
        </w:tc>
      </w:tr>
    </w:tbl>
    <w:p>
      <w:r>
        <w:t>## 2.6 Potential Environmental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Source</w:t>
            </w:r>
          </w:p>
        </w:tc>
        <w:tc>
          <w:tcPr>
            <w:tcW w:type="dxa" w:w="2160"/>
          </w:tcPr>
          <w:p>
            <w:r>
              <w:rPr>
                <w:b/>
              </w:rPr>
              <w:t>Potential Receptor(s)</w:t>
            </w:r>
          </w:p>
        </w:tc>
        <w:tc>
          <w:tcPr>
            <w:tcW w:type="dxa" w:w="2160"/>
          </w:tcPr>
          <w:p>
            <w:r>
              <w:rPr>
                <w:b/>
              </w:rPr>
              <w:t>Significance (Pre‑mitigation)</w:t>
            </w:r>
          </w:p>
        </w:tc>
      </w:tr>
      <w:tr>
        <w:tc>
          <w:tcPr>
            <w:tcW w:type="dxa" w:w="2160"/>
          </w:tcPr>
          <w:p>
            <w:r/>
            <w:r>
              <w:rPr>
                <w:b/>
              </w:rPr>
              <w:t>Airborne dust</w:t>
            </w:r>
            <w:r/>
          </w:p>
        </w:tc>
        <w:tc>
          <w:tcPr>
            <w:tcW w:type="dxa" w:w="2160"/>
          </w:tcPr>
          <w:p>
            <w:r>
              <w:t>Crushing, screening, truck movements</w:t>
            </w:r>
          </w:p>
        </w:tc>
        <w:tc>
          <w:tcPr>
            <w:tcW w:type="dxa" w:w="2160"/>
          </w:tcPr>
          <w:p>
            <w:r>
              <w:t>Health centre, school, community</w:t>
            </w:r>
          </w:p>
        </w:tc>
        <w:tc>
          <w:tcPr>
            <w:tcW w:type="dxa" w:w="2160"/>
          </w:tcPr>
          <w:p>
            <w:r>
              <w:t>Moderate</w:t>
            </w:r>
          </w:p>
        </w:tc>
      </w:tr>
      <w:tr>
        <w:tc>
          <w:tcPr>
            <w:tcW w:type="dxa" w:w="2160"/>
          </w:tcPr>
          <w:p>
            <w:r/>
            <w:r>
              <w:rPr>
                <w:b/>
              </w:rPr>
              <w:t>Noise</w:t>
            </w:r>
            <w:r/>
          </w:p>
        </w:tc>
        <w:tc>
          <w:tcPr>
            <w:tcW w:type="dxa" w:w="2160"/>
          </w:tcPr>
          <w:p>
            <w:r>
              <w:t>Blasting, crusher operation, truck traffic</w:t>
            </w:r>
          </w:p>
        </w:tc>
        <w:tc>
          <w:tcPr>
            <w:tcW w:type="dxa" w:w="2160"/>
          </w:tcPr>
          <w:p>
            <w:r>
              <w:t>Health centre, academy, church, trading centre</w:t>
            </w:r>
          </w:p>
        </w:tc>
        <w:tc>
          <w:tcPr>
            <w:tcW w:type="dxa" w:w="2160"/>
          </w:tcPr>
          <w:p>
            <w:r>
              <w:t>High (baseline already above night limit)</w:t>
            </w:r>
          </w:p>
        </w:tc>
      </w:tr>
      <w:tr>
        <w:tc>
          <w:tcPr>
            <w:tcW w:type="dxa" w:w="2160"/>
          </w:tcPr>
          <w:p>
            <w:r/>
            <w:r>
              <w:rPr>
                <w:b/>
              </w:rPr>
              <w:t>Ground vibration</w:t>
            </w:r>
            <w:r/>
          </w:p>
        </w:tc>
        <w:tc>
          <w:tcPr>
            <w:tcW w:type="dxa" w:w="2160"/>
          </w:tcPr>
          <w:p>
            <w:r>
              <w:t>Blasting (2 × week)</w:t>
            </w:r>
          </w:p>
        </w:tc>
        <w:tc>
          <w:tcPr>
            <w:tcW w:type="dxa" w:w="2160"/>
          </w:tcPr>
          <w:p>
            <w:r>
              <w:t>Residential houses within 500 m</w:t>
            </w:r>
          </w:p>
        </w:tc>
        <w:tc>
          <w:tcPr>
            <w:tcW w:type="dxa" w:w="2160"/>
          </w:tcPr>
          <w:p>
            <w:r>
              <w:t>Moderate</w:t>
            </w:r>
          </w:p>
        </w:tc>
      </w:tr>
      <w:tr>
        <w:tc>
          <w:tcPr>
            <w:tcW w:type="dxa" w:w="2160"/>
          </w:tcPr>
          <w:p>
            <w:r/>
            <w:r>
              <w:rPr>
                <w:b/>
              </w:rPr>
              <w:t>Water quality degradation</w:t>
            </w:r>
            <w:r/>
          </w:p>
        </w:tc>
        <w:tc>
          <w:tcPr>
            <w:tcW w:type="dxa" w:w="2160"/>
          </w:tcPr>
          <w:p>
            <w:r>
              <w:t>Run‑off, sediment from site</w:t>
            </w:r>
          </w:p>
        </w:tc>
        <w:tc>
          <w:tcPr>
            <w:tcW w:type="dxa" w:w="2160"/>
          </w:tcPr>
          <w:p>
            <w:r>
              <w:t>Ndarugo River (95 m)</w:t>
            </w:r>
          </w:p>
        </w:tc>
        <w:tc>
          <w:tcPr>
            <w:tcW w:type="dxa" w:w="2160"/>
          </w:tcPr>
          <w:p>
            <w:r>
              <w:t>Moderate</w:t>
            </w:r>
          </w:p>
        </w:tc>
      </w:tr>
      <w:tr>
        <w:tc>
          <w:tcPr>
            <w:tcW w:type="dxa" w:w="2160"/>
          </w:tcPr>
          <w:p>
            <w:r/>
            <w:r>
              <w:rPr>
                <w:b/>
              </w:rPr>
              <w:t>Traffic congestion &amp; road wear</w:t>
            </w:r>
            <w:r/>
          </w:p>
        </w:tc>
        <w:tc>
          <w:tcPr>
            <w:tcW w:type="dxa" w:w="2160"/>
          </w:tcPr>
          <w:p>
            <w:r>
              <w:t>62 daily truck movements</w:t>
            </w:r>
          </w:p>
        </w:tc>
        <w:tc>
          <w:tcPr>
            <w:tcW w:type="dxa" w:w="2160"/>
          </w:tcPr>
          <w:p>
            <w:r>
              <w:t>Local road network, trading centre</w:t>
            </w:r>
          </w:p>
        </w:tc>
        <w:tc>
          <w:tcPr>
            <w:tcW w:type="dxa" w:w="2160"/>
          </w:tcPr>
          <w:p>
            <w:r>
              <w:t>Low‑moderate</w:t>
            </w:r>
          </w:p>
        </w:tc>
      </w:tr>
      <w:tr>
        <w:tc>
          <w:tcPr>
            <w:tcW w:type="dxa" w:w="2160"/>
          </w:tcPr>
          <w:p>
            <w:r/>
            <w:r>
              <w:rPr>
                <w:b/>
              </w:rPr>
              <w:t>Ecological disturbance</w:t>
            </w:r>
            <w:r/>
          </w:p>
        </w:tc>
        <w:tc>
          <w:tcPr>
            <w:tcW w:type="dxa" w:w="2160"/>
          </w:tcPr>
          <w:p>
            <w:r>
              <w:t>Clearing of vegetated buffer, proximity to Kieni Forest</w:t>
            </w:r>
          </w:p>
        </w:tc>
        <w:tc>
          <w:tcPr>
            <w:tcW w:type="dxa" w:w="2160"/>
          </w:tcPr>
          <w:p>
            <w:r>
              <w:t>Forest buffer zone</w:t>
            </w:r>
          </w:p>
        </w:tc>
        <w:tc>
          <w:tcPr>
            <w:tcW w:type="dxa" w:w="2160"/>
          </w:tcPr>
          <w:p>
            <w:r>
              <w:t>Low</w:t>
            </w:r>
          </w:p>
        </w:tc>
      </w:tr>
    </w:tbl>
    <w:p>
      <w:r>
        <w:t>## 2.7 Mitigation Measures (Integrated into the ESMP)</w:t>
      </w:r>
    </w:p>
    <w:p>
      <w:pPr>
        <w:pStyle w:val="ListNumber"/>
      </w:pPr>
      <w:r/>
      <w:r>
        <w:rPr>
          <w:b/>
        </w:rPr>
        <w:t>Ground Vibration</w:t>
      </w:r>
      <w:r/>
    </w:p>
    <w:p>
      <w:pPr>
        <w:pStyle w:val="ListBullet"/>
      </w:pPr>
      <w:r>
        <w:t>Pre‑blast structural surveys for all dwellings within 500 m.</w:t>
      </w:r>
    </w:p>
    <w:p>
      <w:pPr>
        <w:pStyle w:val="ListBullet"/>
      </w:pPr>
      <w:r>
        <w:t>Blast charge limited to 45 kg per delay, complying with KS 2003 vibration standards.</w:t>
      </w:r>
    </w:p>
    <w:p>
      <w:pPr>
        <w:pStyle w:val="ListBullet"/>
      </w:pPr>
      <w:r>
        <w:t>Real‑time vibration monitoring using Instantel Minimate Pro units; immediate suspension of blasting if thresholds are exceeded.</w:t>
      </w:r>
    </w:p>
    <w:p>
      <w:pPr>
        <w:pStyle w:val="ListNumber"/>
      </w:pPr>
      <w:r/>
      <w:r>
        <w:rPr>
          <w:b/>
        </w:rPr>
        <w:t>Dust Control</w:t>
      </w:r>
      <w:r/>
    </w:p>
    <w:p>
      <w:pPr>
        <w:pStyle w:val="ListBullet"/>
      </w:pPr>
      <w:r>
        <w:t>Continuous wet suppression on crusher using two 10 000 L water bowsers.</w:t>
      </w:r>
    </w:p>
    <w:p>
      <w:pPr>
        <w:pStyle w:val="ListBullet"/>
      </w:pPr>
      <w:r>
        <w:t>Enclosed conveyor system and covered aggregate stockpiles.</w:t>
      </w:r>
    </w:p>
    <w:p>
      <w:pPr>
        <w:pStyle w:val="ListBullet"/>
      </w:pPr>
      <w:r>
        <w:t>Perimeter tree buffer (minimum 15 m) along east side; regular watering of vegetated berm.</w:t>
      </w:r>
    </w:p>
    <w:p>
      <w:pPr>
        <w:pStyle w:val="ListNumber"/>
      </w:pPr>
      <w:r/>
      <w:r>
        <w:rPr>
          <w:b/>
        </w:rPr>
        <w:t>Water Protection</w:t>
      </w:r>
      <w:r/>
    </w:p>
    <w:p>
      <w:pPr>
        <w:pStyle w:val="ListBullet"/>
      </w:pPr>
      <w:r>
        <w:t>30 m no‑disturbance buffer from the Ndarugo River bank.</w:t>
      </w:r>
    </w:p>
    <w:p>
      <w:pPr>
        <w:pStyle w:val="ListBullet"/>
      </w:pPr>
      <w:r>
        <w:t>Sediment traps and oil‑water separators on all site runoff points.</w:t>
      </w:r>
    </w:p>
    <w:p>
      <w:pPr>
        <w:pStyle w:val="ListBullet"/>
      </w:pPr>
      <w:r>
        <w:t xml:space="preserve">Water abstraction limited to the on‑site borehole; compliance with the </w:t>
      </w:r>
      <w:r>
        <w:rPr>
          <w:b/>
        </w:rPr>
        <w:t>Water Act 2016</w:t>
      </w:r>
      <w:r>
        <w:t xml:space="preserve"> (no abstraction from surface water).</w:t>
      </w:r>
    </w:p>
    <w:p>
      <w:pPr>
        <w:pStyle w:val="ListNumber"/>
      </w:pPr>
      <w:r/>
      <w:r>
        <w:rPr>
          <w:b/>
        </w:rPr>
        <w:t>Noise Management</w:t>
      </w:r>
      <w:r/>
    </w:p>
    <w:p>
      <w:pPr>
        <w:pStyle w:val="ListBullet"/>
      </w:pPr>
      <w:r>
        <w:t>4 m earth berm plus vegetated buffer on east perimeter.</w:t>
      </w:r>
    </w:p>
    <w:p>
      <w:pPr>
        <w:pStyle w:val="ListBullet"/>
      </w:pPr>
      <w:r>
        <w:t>Operational window for blasting and haulage restricted to 08:00‑17:00.</w:t>
      </w:r>
    </w:p>
    <w:p>
      <w:pPr>
        <w:pStyle w:val="ListBullet"/>
      </w:pPr>
      <w:r>
        <w:t>Use of low‑noise hydraulic excavators and mufflers on diesel generators.</w:t>
      </w:r>
    </w:p>
    <w:p>
      <w:pPr>
        <w:pStyle w:val="ListBullet"/>
      </w:pPr>
      <w:r>
        <w:t>Noise monitoring at the health centre and academy; corrective actions if levels exceed NEMA residential night limit (45 dBA).</w:t>
      </w:r>
    </w:p>
    <w:p>
      <w:pPr>
        <w:pStyle w:val="ListNumber"/>
      </w:pPr>
      <w:r/>
      <w:r>
        <w:rPr>
          <w:b/>
        </w:rPr>
        <w:t>Traffic Management</w:t>
      </w:r>
      <w:r/>
    </w:p>
    <w:p>
      <w:pPr>
        <w:pStyle w:val="ListBullet"/>
      </w:pPr>
      <w:r>
        <w:t>Designated alternate haul route that bypasses Kiuu Trading Centre.</w:t>
      </w:r>
    </w:p>
    <w:p>
      <w:pPr>
        <w:pStyle w:val="ListBullet"/>
      </w:pPr>
      <w:r>
        <w:t>Scheduling of truck movements to avoid peak community traffic periods.</w:t>
      </w:r>
    </w:p>
    <w:p>
      <w:pPr>
        <w:pStyle w:val="ListBullet"/>
      </w:pPr>
      <w:r>
        <w:t>Road maintenance plan and speed limits enforced by site traffic marshal.</w:t>
      </w:r>
    </w:p>
    <w:p>
      <w:pPr>
        <w:pStyle w:val="ListNumber"/>
      </w:pPr>
      <w:r/>
      <w:r>
        <w:rPr>
          <w:b/>
        </w:rPr>
        <w:t>Community &amp; Social Safeguards</w:t>
      </w:r>
      <w:r/>
    </w:p>
    <w:p>
      <w:pPr>
        <w:pStyle w:val="ListBullet"/>
      </w:pPr>
      <w:r>
        <w:t>Vulnerable groups (elderly residents near blast zone) offered priority transport during blasting windows.</w:t>
      </w:r>
    </w:p>
    <w:p>
      <w:pPr>
        <w:pStyle w:val="ListBullet"/>
      </w:pPr>
      <w:r>
        <w:t>Ongoing Grievance Redress Mechanism (GRM) with a committee representing local stakeholders.</w:t>
      </w:r>
    </w:p>
    <w:p>
      <w:pPr>
        <w:pStyle w:val="ListBullet"/>
      </w:pPr>
      <w:r>
        <w:t>Regular Baraza meetings (first held 23 Sep 2026) to update community on project progress and address concerns.</w:t>
      </w:r>
    </w:p>
    <w:p>
      <w:r>
        <w:t xml:space="preserve">All mitigation actions are incorporated into the </w:t>
      </w:r>
      <w:r>
        <w:rPr>
          <w:b/>
        </w:rPr>
        <w:t>Environmental and Social Management Plan (ESMP)</w:t>
      </w:r>
      <w:r>
        <w:t xml:space="preserve">, which will be implemented, monitored, and reported in accordance with NEMA guidelines and the </w:t>
      </w:r>
      <w:r>
        <w:rPr>
          <w:b/>
        </w:rPr>
        <w:t>World Bank Environmental and Social Framework (ESF)</w:t>
      </w:r>
      <w:r>
        <w:t>.</w:t>
      </w:r>
    </w:p>
    <w:p>
      <w:r>
        <w:t>## 2.8 Stakeholder Engagement Summary</w:t>
      </w:r>
    </w:p>
    <w:p>
      <w:pPr>
        <w:pStyle w:val="ListBullet"/>
      </w:pPr>
      <w:r/>
      <w:r>
        <w:rPr>
          <w:b/>
        </w:rPr>
        <w:t>Public Notice:</w:t>
      </w:r>
      <w:r>
        <w:t xml:space="preserve"> Published in </w:t>
      </w:r>
      <w:r>
        <w:rPr>
          <w:i/>
        </w:rPr>
        <w:t>The Star</w:t>
      </w:r>
      <w:r>
        <w:t xml:space="preserve"> on 02 Sep 2026 (21‑day notice).</w:t>
      </w:r>
    </w:p>
    <w:p>
      <w:pPr>
        <w:pStyle w:val="ListBullet"/>
      </w:pPr>
      <w:r/>
      <w:r>
        <w:rPr>
          <w:b/>
        </w:rPr>
        <w:t>Baraza:</w:t>
      </w:r>
      <w:r>
        <w:t xml:space="preserve"> Conducted on 23 Sep 2026 at Kiuu Trading Centre Grounds; 173 participants attended.</w:t>
      </w:r>
    </w:p>
    <w:p>
      <w:pPr>
        <w:pStyle w:val="ListBullet"/>
      </w:pPr>
      <w:r/>
      <w:r>
        <w:rPr>
          <w:b/>
        </w:rPr>
        <w:t>GRM:</w:t>
      </w:r>
      <w:r>
        <w:t xml:space="preserve"> Established; committee includes representatives from the health centre, academy, church, and local traders.</w:t>
      </w:r>
    </w:p>
    <w:p>
      <w:pPr>
        <w:pStyle w:val="ListBullet"/>
      </w:pPr>
      <w:r/>
      <w:r>
        <w:rPr>
          <w:b/>
        </w:rPr>
        <w:t>Key Concerns Raised:</w:t>
      </w:r>
      <w:r>
        <w:t xml:space="preserve"> Dust, noise, traffic, and river protection. All addressed through the mitigation measures listed above.</w:t>
      </w:r>
    </w:p>
    <w:p>
      <w:r>
        <w:t>## 2.9 Summary</w:t>
      </w:r>
    </w:p>
    <w:p>
      <w:r>
        <w:t xml:space="preserve">The Kiuu Quarry &amp; Aggregate Processing Facility is designed to produce </w:t>
      </w:r>
      <w:r>
        <w:rPr>
          <w:b/>
        </w:rPr>
        <w:t>840 tonnes day⁻¹</w:t>
      </w:r>
      <w:r>
        <w:t xml:space="preserve"> of aggregate over an 18‑year operational life, employing a modern crushing and screening line powered by a 290 kW plant load and backed by a 380 kVA diesel standby generator. Baseline air quality (PM₂.₅) and noise levels already exceed WHO and NEMA residential standards, respectively; therefore, the ESMP includes robust dust suppression, noise abatement, and continuous monitoring to limit incremental impacts. Ground vibration, water quality, and traffic impacts are similarly managed through engineering controls, operational restrictions, and community‑focused measures. The project remains at the pre‑approval stage; all described activities are subject to NEMA’s final assessment and licensing.</w:t>
      </w:r>
    </w:p>
    <w:p>
      <w:r>
        <w:br w:type="page"/>
      </w:r>
    </w:p>
    <w:p>
      <w:pPr>
        <w:pStyle w:val="Heading1"/>
      </w:pPr>
      <w:r>
        <w:t>Chapter 3: Analysis of Project Alternatives</w:t>
      </w:r>
    </w:p>
    <w:p>
      <w:r>
        <w:t>[Content generation failed.]</w:t>
      </w:r>
    </w:p>
    <w:p>
      <w:r>
        <w:br w:type="page"/>
      </w:r>
    </w:p>
    <w:p>
      <w:pPr>
        <w:pStyle w:val="Heading1"/>
      </w:pPr>
      <w:r>
        <w:t>Chapter 4: Policy, Legal and Institutional Framework</w:t>
      </w:r>
    </w:p>
    <w:p>
      <w:r>
        <w:t>[Content generation failed.]</w:t>
      </w:r>
    </w:p>
    <w:p>
      <w:r>
        <w:br w:type="page"/>
      </w:r>
    </w:p>
    <w:p>
      <w:pPr>
        <w:pStyle w:val="Heading1"/>
      </w:pPr>
      <w:r>
        <w:t>Chapter 5: Baseline Environmental and Social Conditions</w:t>
      </w:r>
    </w:p>
    <w:p>
      <w:r>
        <w:t>## 5.1 Physical Environment</w:t>
      </w:r>
    </w:p>
    <w:p>
      <w:r>
        <w:t>### 5.1.1 Air Quality</w:t>
      </w:r>
    </w:p>
    <w:p>
      <w:r>
        <w:t xml:space="preserve">Baseline monitoring conducted on </w:t>
      </w:r>
      <w:r>
        <w:rPr>
          <w:b/>
        </w:rPr>
        <w:t>3 May 2026</w:t>
      </w:r>
      <w:r>
        <w:t xml:space="preserve"> by </w:t>
      </w:r>
      <w:r>
        <w:rPr>
          <w:b/>
        </w:rPr>
        <w:t>Tectonic Geo‑Environmental Associates</w:t>
      </w:r>
      <w:r>
        <w:t xml:space="preserve"> recorded the following ambient concentrations: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Concentration</w:t>
            </w:r>
          </w:p>
        </w:tc>
        <w:tc>
          <w:tcPr>
            <w:tcW w:type="dxa" w:w="2160"/>
          </w:tcPr>
          <w:p>
            <w:r>
              <w:rPr>
                <w:b/>
              </w:rPr>
              <w:t>Kenyan NEMA Guideline*</w:t>
            </w:r>
          </w:p>
        </w:tc>
        <w:tc>
          <w:tcPr>
            <w:tcW w:type="dxa" w:w="2160"/>
          </w:tcPr>
          <w:p>
            <w:r>
              <w:rPr>
                <w:b/>
              </w:rPr>
              <w:t>WHO Guideline*</w:t>
            </w:r>
          </w:p>
        </w:tc>
      </w:tr>
      <w:tr>
        <w:tc>
          <w:tcPr>
            <w:tcW w:type="dxa" w:w="2160"/>
          </w:tcPr>
          <w:p>
            <w:r>
              <w:t>PM₂.₅</w:t>
            </w:r>
          </w:p>
        </w:tc>
        <w:tc>
          <w:tcPr>
            <w:tcW w:type="dxa" w:w="2160"/>
          </w:tcPr>
          <w:p>
            <w:r>
              <w:t>22 µg m⁻³</w:t>
            </w:r>
          </w:p>
        </w:tc>
        <w:tc>
          <w:tcPr>
            <w:tcW w:type="dxa" w:w="2160"/>
          </w:tcPr>
          <w:p>
            <w:r>
              <w:t>– (no specific NEMA limit)</w:t>
            </w:r>
          </w:p>
        </w:tc>
        <w:tc>
          <w:tcPr>
            <w:tcW w:type="dxa" w:w="2160"/>
          </w:tcPr>
          <w:p>
            <w:r>
              <w:t>15 µg m⁻³ (24‑hr)</w:t>
            </w:r>
          </w:p>
        </w:tc>
      </w:tr>
      <w:tr>
        <w:tc>
          <w:tcPr>
            <w:tcW w:type="dxa" w:w="2160"/>
          </w:tcPr>
          <w:p>
            <w:r>
              <w:t>PM₁₀</w:t>
            </w:r>
          </w:p>
        </w:tc>
        <w:tc>
          <w:tcPr>
            <w:tcW w:type="dxa" w:w="2160"/>
          </w:tcPr>
          <w:p>
            <w:r>
              <w:t>63 µg m⁻³</w:t>
            </w:r>
          </w:p>
        </w:tc>
        <w:tc>
          <w:tcPr>
            <w:tcW w:type="dxa" w:w="2160"/>
          </w:tcPr>
          <w:p>
            <w:r>
              <w:t>75 µg m⁻³ (24‑hr)</w:t>
            </w:r>
          </w:p>
        </w:tc>
        <w:tc>
          <w:tcPr>
            <w:tcW w:type="dxa" w:w="2160"/>
          </w:tcPr>
          <w:p>
            <w:r>
              <w:t>–</w:t>
            </w:r>
          </w:p>
        </w:tc>
      </w:tr>
    </w:tbl>
    <w:p>
      <w:r>
        <w:t>\</w:t>
      </w:r>
      <w:r>
        <w:rPr>
          <w:i/>
        </w:rPr>
        <w:t xml:space="preserve">Guidelines referenced are the latest </w:t>
      </w:r>
      <w:r/>
      <w:r>
        <w:rPr>
          <w:i/>
        </w:rPr>
        <w:t>NEMA</w:t>
      </w:r>
      <w:r/>
      <w:r>
        <w:rPr>
          <w:i/>
        </w:rPr>
        <w:t xml:space="preserve"> (Kenya) and </w:t>
      </w:r>
      <w:r/>
      <w:r>
        <w:rPr>
          <w:i/>
        </w:rPr>
        <w:t>WHO</w:t>
      </w:r>
      <w:r>
        <w:t>* standards.</w:t>
      </w:r>
    </w:p>
    <w:p>
      <w:pPr>
        <w:pStyle w:val="ListBullet"/>
      </w:pPr>
      <w:r/>
      <w:r>
        <w:rPr>
          <w:b/>
        </w:rPr>
        <w:t>PM₂.₅</w:t>
      </w:r>
      <w:r>
        <w:t xml:space="preserve"> exceeds the WHO 24‑hour guideline of 15 µg m⁻³, indicating a potential health concern for the local population.</w:t>
      </w:r>
    </w:p>
    <w:p>
      <w:pPr>
        <w:pStyle w:val="ListBullet"/>
      </w:pPr>
      <w:r/>
      <w:r>
        <w:rPr>
          <w:b/>
        </w:rPr>
        <w:t>PM₁₀</w:t>
      </w:r>
      <w:r>
        <w:t xml:space="preserve"> is below the NEMA 24‑hour limit of 75 µg m⁻³ and therefore complies with the national standard.</w:t>
      </w:r>
    </w:p>
    <w:p>
      <w:r>
        <w:t>No other gaseous pollutants (SO₂, NOₓ, CO) were reported in the baseline dataset; consequently, no quantitative assessment can be made for these parameters.</w:t>
      </w:r>
    </w:p>
    <w:p>
      <w:r>
        <w:t>### 5.1.2 Noise</w:t>
      </w:r>
    </w:p>
    <w:p>
      <w:r>
        <w:t xml:space="preserve">Ambient noise measured at the site perimeter on </w:t>
      </w:r>
      <w:r>
        <w:rPr>
          <w:b/>
        </w:rPr>
        <w:t>3 May 2026</w:t>
      </w:r>
      <w:r>
        <w:t xml:space="preserve"> was </w:t>
      </w:r>
      <w:r>
        <w:rPr>
          <w:b/>
        </w:rPr>
        <w:t>58 dBA (A‑weighted, daytime)</w:t>
      </w:r>
      <w:r>
        <w:t>.</w:t>
      </w:r>
    </w:p>
    <w:p>
      <w:pPr>
        <w:pStyle w:val="ListBullet"/>
      </w:pPr>
      <w:r>
        <w:t xml:space="preserve">The </w:t>
      </w:r>
      <w:r>
        <w:rPr>
          <w:b/>
        </w:rPr>
        <w:t>NEMA residential night‑time noise standard</w:t>
      </w:r>
      <w:r>
        <w:t xml:space="preserve"> is </w:t>
      </w:r>
      <w:r>
        <w:rPr>
          <w:b/>
        </w:rPr>
        <w:t>45 dBA</w:t>
      </w:r>
      <w:r>
        <w:t xml:space="preserve">. The measured daytime level exceeds this benchmark, suggesting that existing background noise already poses a potential nuisance to nearby receptors, particularly residential facilities such as </w:t>
      </w:r>
      <w:r>
        <w:rPr>
          <w:b/>
        </w:rPr>
        <w:t>Gatundu South Academy</w:t>
      </w:r>
      <w:r>
        <w:t xml:space="preserve"> (410 m SW) and </w:t>
      </w:r>
      <w:r>
        <w:rPr>
          <w:b/>
        </w:rPr>
        <w:t>Ndarugo Health Centre</w:t>
      </w:r>
      <w:r>
        <w:t xml:space="preserve"> (740 m E).</w:t>
      </w:r>
    </w:p>
    <w:p>
      <w:r>
        <w:t>No frequency‑specific data were collected; therefore, the spectral composition of the noise cannot be characterised at this stage.</w:t>
      </w:r>
    </w:p>
    <w:p>
      <w:r>
        <w:t>### 5.1.3 Water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Comment</w:t>
            </w:r>
          </w:p>
        </w:tc>
      </w:tr>
      <w:tr>
        <w:tc>
          <w:tcPr>
            <w:tcW w:type="dxa" w:w="2880"/>
          </w:tcPr>
          <w:p>
            <w:r>
              <w:t>Groundwater depth</w:t>
            </w:r>
          </w:p>
        </w:tc>
        <w:tc>
          <w:tcPr>
            <w:tcW w:type="dxa" w:w="2880"/>
          </w:tcPr>
          <w:p>
            <w:r>
              <w:t>61 m below ground surface</w:t>
            </w:r>
          </w:p>
        </w:tc>
        <w:tc>
          <w:tcPr>
            <w:tcW w:type="dxa" w:w="2880"/>
          </w:tcPr>
          <w:p>
            <w:r>
              <w:t xml:space="preserve">Measured at the on‑site </w:t>
            </w:r>
            <w:r>
              <w:rPr>
                <w:b/>
              </w:rPr>
              <w:t>Rockline Staff Borehole</w:t>
            </w:r>
            <w:r>
              <w:t xml:space="preserve"> (20 m on‑site)</w:t>
            </w:r>
          </w:p>
        </w:tc>
      </w:tr>
      <w:tr>
        <w:tc>
          <w:tcPr>
            <w:tcW w:type="dxa" w:w="2880"/>
          </w:tcPr>
          <w:p>
            <w:r>
              <w:t>Surface water</w:t>
            </w:r>
          </w:p>
        </w:tc>
        <w:tc>
          <w:tcPr>
            <w:tcW w:type="dxa" w:w="2880"/>
          </w:tcPr>
          <w:p>
            <w:r/>
            <w:r>
              <w:rPr>
                <w:b/>
              </w:rPr>
              <w:t>Ndarugo River</w:t>
            </w:r>
            <w:r>
              <w:t xml:space="preserve"> located 95 m NE of the proposed quarry boundary</w:t>
            </w:r>
          </w:p>
        </w:tc>
        <w:tc>
          <w:tcPr>
            <w:tcW w:type="dxa" w:w="2880"/>
          </w:tcPr>
          <w:p>
            <w:r>
              <w:t>No baseline flow or quality data supplied</w:t>
            </w:r>
          </w:p>
        </w:tc>
      </w:tr>
    </w:tbl>
    <w:p>
      <w:r>
        <w:t xml:space="preserve">The proximity of the </w:t>
      </w:r>
      <w:r>
        <w:rPr>
          <w:b/>
        </w:rPr>
        <w:t>Ndarugo River</w:t>
      </w:r>
      <w:r>
        <w:t xml:space="preserve"> (≤ 100 m) classifies it as a </w:t>
      </w:r>
      <w:r>
        <w:rPr>
          <w:b/>
        </w:rPr>
        <w:t>high‑sensitivity water body</w:t>
      </w:r>
      <w:r>
        <w:t xml:space="preserve"> under the </w:t>
      </w:r>
      <w:r>
        <w:rPr>
          <w:b/>
        </w:rPr>
        <w:t>Water Act 2016</w:t>
      </w:r>
      <w:r>
        <w:t>. No baseline water quality parameters (e.g., BOD, turbidity, heavy metals) were provided; consequently, a quantitative baseline assessment is not possible.</w:t>
      </w:r>
    </w:p>
    <w:p>
      <w:r>
        <w:t>### 5.1.4 Soil and Geology</w:t>
      </w:r>
    </w:p>
    <w:p>
      <w:r>
        <w:t xml:space="preserve">The site is presently a </w:t>
      </w:r>
      <w:r>
        <w:rPr>
          <w:b/>
        </w:rPr>
        <w:t>rocky scrubland</w:t>
      </w:r>
      <w:r>
        <w:t xml:space="preserve"> with a partially disused quarry pit. The underlying geology consists of </w:t>
      </w:r>
      <w:r>
        <w:rPr>
          <w:b/>
        </w:rPr>
        <w:t>basaltic volcanic rocks</w:t>
      </w:r>
      <w:r>
        <w:t xml:space="preserve"> typical of the Kiambu region. No detailed soil classification, contamination levels, or bearing capacity data were supplied in the baseline package.</w:t>
      </w:r>
    </w:p>
    <w:p>
      <w:r>
        <w:t>### 5.1.5 Vibration</w:t>
      </w:r>
    </w:p>
    <w:p>
      <w:r>
        <w:t xml:space="preserve">Baseline vibration monitoring data are not available. The project will employ </w:t>
      </w:r>
      <w:r>
        <w:rPr>
          <w:b/>
        </w:rPr>
        <w:t>Instantel Minimate Pro</w:t>
      </w:r>
      <w:r>
        <w:t xml:space="preserve"> seismographs (three units) for operational monitoring, but pre‑construction baseline levels are currently undocumented.</w:t>
      </w:r>
    </w:p>
    <w:p>
      <w:r>
        <w:t>---</w:t>
      </w:r>
    </w:p>
    <w:p>
      <w:r>
        <w:t>## 5.2 Biological Environment</w:t>
      </w:r>
    </w:p>
    <w:p>
      <w:r>
        <w:t>### 5.2.1 Vegetation</w:t>
      </w:r>
    </w:p>
    <w:p>
      <w:r>
        <w:t xml:space="preserve">The existing land cover is characterised as </w:t>
      </w:r>
      <w:r>
        <w:rPr>
          <w:b/>
        </w:rPr>
        <w:t>rocky scrubland</w:t>
      </w:r>
      <w:r>
        <w:t xml:space="preserve"> with scattered indigenous shrubs. The </w:t>
      </w:r>
      <w:r>
        <w:rPr>
          <w:b/>
        </w:rPr>
        <w:t>Kieni Forest Buffer Zone</w:t>
      </w:r>
      <w:r>
        <w:t xml:space="preserve"> lies 970 m to the west and serves as a reference for native forest species, but no baseline floristic surveys have been conducted within the 6.37‑ha project area.</w:t>
      </w:r>
    </w:p>
    <w:p>
      <w:r>
        <w:t>### 5.2.2 Fauna</w:t>
      </w:r>
    </w:p>
    <w:p>
      <w:r>
        <w:t xml:space="preserve">No baseline wildlife inventories have been submitted. Given the proximity to the </w:t>
      </w:r>
      <w:r>
        <w:rPr>
          <w:b/>
        </w:rPr>
        <w:t>Kieni Forest Buffer Zone</w:t>
      </w:r>
      <w:r>
        <w:t>, the potential presence of forest‑dependent fauna (e.g., birds, small mammals) cannot be ruled out. A detailed fauna survey is required to establish baseline presence/absence and to identify any protected species under Kenyan law.</w:t>
      </w:r>
    </w:p>
    <w:p>
      <w:r>
        <w:t>### 5.2.3 Protected Areas &amp; Sensitive Ecosystems</w:t>
      </w:r>
    </w:p>
    <w:p>
      <w:r>
        <w:t xml:space="preserve">The site does </w:t>
      </w:r>
      <w:r>
        <w:rPr>
          <w:b/>
        </w:rPr>
        <w:t>not</w:t>
      </w:r>
      <w:r>
        <w:t xml:space="preserve"> fall within a formally designated protected area. However, the </w:t>
      </w:r>
      <w:r>
        <w:rPr>
          <w:b/>
        </w:rPr>
        <w:t>Ndarugo River</w:t>
      </w:r>
      <w:r>
        <w:t xml:space="preserve"> corridor may support riparian habitats that are ecologically sensitive. No baseline ecological assessments of the riverine ecosystem have been provided.</w:t>
      </w:r>
    </w:p>
    <w:p>
      <w:r>
        <w:t>---</w:t>
      </w:r>
    </w:p>
    <w:p>
      <w:r>
        <w:t>## 5.3 Socio‑Economic Environment</w:t>
      </w:r>
    </w:p>
    <w:p>
      <w:r>
        <w:t>### 5.3.1 Land Use &amp; Tenure</w:t>
      </w:r>
    </w:p>
    <w:p>
      <w:pPr>
        <w:pStyle w:val="ListBullet"/>
      </w:pPr>
      <w:r/>
      <w:r>
        <w:rPr>
          <w:b/>
        </w:rPr>
        <w:t>Current land use:</w:t>
      </w:r>
      <w:r>
        <w:t xml:space="preserve"> Rocky scrubland / partially abandoned quarry pit.</w:t>
      </w:r>
    </w:p>
    <w:p>
      <w:pPr>
        <w:pStyle w:val="ListBullet"/>
      </w:pPr>
      <w:r/>
      <w:r>
        <w:rPr>
          <w:b/>
        </w:rPr>
        <w:t>Legal status:</w:t>
      </w:r>
      <w:r>
        <w:t xml:space="preserve"> Leasehold </w:t>
      </w:r>
      <w:r>
        <w:rPr>
          <w:b/>
        </w:rPr>
        <w:t>LR No. 4417/09</w:t>
      </w:r>
      <w:r>
        <w:t xml:space="preserve">, a 33‑year mining lease granted to </w:t>
      </w:r>
      <w:r>
        <w:rPr>
          <w:b/>
        </w:rPr>
        <w:t>Rockline Aggregates (K) Ltd.</w:t>
      </w:r>
      <w:r/>
    </w:p>
    <w:p>
      <w:r>
        <w:t>No existing residential, commercial, or agricultural activities are reported within the immediate site footprint.</w:t>
      </w:r>
    </w:p>
    <w:p>
      <w:r>
        <w:t>### 5.3.2 Demographics &amp; Community Facilities (within 1 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Facility</w:t>
            </w:r>
          </w:p>
        </w:tc>
        <w:tc>
          <w:tcPr>
            <w:tcW w:type="dxa" w:w="2880"/>
          </w:tcPr>
          <w:p>
            <w:r>
              <w:rPr>
                <w:b/>
              </w:rPr>
              <w:t>Distance &amp; Direction</w:t>
            </w:r>
          </w:p>
        </w:tc>
        <w:tc>
          <w:tcPr>
            <w:tcW w:type="dxa" w:w="2880"/>
          </w:tcPr>
          <w:p>
            <w:r>
              <w:rPr>
                <w:b/>
              </w:rPr>
              <w:t>Primary Function</w:t>
            </w:r>
          </w:p>
        </w:tc>
      </w:tr>
      <w:tr>
        <w:tc>
          <w:tcPr>
            <w:tcW w:type="dxa" w:w="2880"/>
          </w:tcPr>
          <w:p>
            <w:r>
              <w:t>Ndarugo Health Centre</w:t>
            </w:r>
          </w:p>
        </w:tc>
        <w:tc>
          <w:tcPr>
            <w:tcW w:type="dxa" w:w="2880"/>
          </w:tcPr>
          <w:p>
            <w:r>
              <w:t>740 m E</w:t>
            </w:r>
          </w:p>
        </w:tc>
        <w:tc>
          <w:tcPr>
            <w:tcW w:type="dxa" w:w="2880"/>
          </w:tcPr>
          <w:p>
            <w:r>
              <w:t>Primary health care</w:t>
            </w:r>
          </w:p>
        </w:tc>
      </w:tr>
      <w:tr>
        <w:tc>
          <w:tcPr>
            <w:tcW w:type="dxa" w:w="2880"/>
          </w:tcPr>
          <w:p>
            <w:r>
              <w:t>Gatundu South Academy</w:t>
            </w:r>
          </w:p>
        </w:tc>
        <w:tc>
          <w:tcPr>
            <w:tcW w:type="dxa" w:w="2880"/>
          </w:tcPr>
          <w:p>
            <w:r>
              <w:t>410 m SW</w:t>
            </w:r>
          </w:p>
        </w:tc>
        <w:tc>
          <w:tcPr>
            <w:tcW w:type="dxa" w:w="2880"/>
          </w:tcPr>
          <w:p>
            <w:r>
              <w:t>Primary/secondary education</w:t>
            </w:r>
          </w:p>
        </w:tc>
      </w:tr>
      <w:tr>
        <w:tc>
          <w:tcPr>
            <w:tcW w:type="dxa" w:w="2880"/>
          </w:tcPr>
          <w:p>
            <w:r>
              <w:t>Ndarugo SDA Church</w:t>
            </w:r>
          </w:p>
        </w:tc>
        <w:tc>
          <w:tcPr>
            <w:tcW w:type="dxa" w:w="2880"/>
          </w:tcPr>
          <w:p>
            <w:r>
              <w:t>890 m N</w:t>
            </w:r>
          </w:p>
        </w:tc>
        <w:tc>
          <w:tcPr>
            <w:tcW w:type="dxa" w:w="2880"/>
          </w:tcPr>
          <w:p>
            <w:r>
              <w:t>Religious worship</w:t>
            </w:r>
          </w:p>
        </w:tc>
      </w:tr>
      <w:tr>
        <w:tc>
          <w:tcPr>
            <w:tcW w:type="dxa" w:w="2880"/>
          </w:tcPr>
          <w:p>
            <w:r>
              <w:t>Kiuu Trading Centre</w:t>
            </w:r>
          </w:p>
        </w:tc>
        <w:tc>
          <w:tcPr>
            <w:tcW w:type="dxa" w:w="2880"/>
          </w:tcPr>
          <w:p>
            <w:r>
              <w:t>310 m S</w:t>
            </w:r>
          </w:p>
        </w:tc>
        <w:tc>
          <w:tcPr>
            <w:tcW w:type="dxa" w:w="2880"/>
          </w:tcPr>
          <w:p>
            <w:r>
              <w:t>Local market &amp; small businesses</w:t>
            </w:r>
          </w:p>
        </w:tc>
      </w:tr>
      <w:tr>
        <w:tc>
          <w:tcPr>
            <w:tcW w:type="dxa" w:w="2880"/>
          </w:tcPr>
          <w:p>
            <w:r>
              <w:t>Kieni Forest Buffer Zone</w:t>
            </w:r>
          </w:p>
        </w:tc>
        <w:tc>
          <w:tcPr>
            <w:tcW w:type="dxa" w:w="2880"/>
          </w:tcPr>
          <w:p>
            <w:r>
              <w:t>970 m W</w:t>
            </w:r>
          </w:p>
        </w:tc>
        <w:tc>
          <w:tcPr>
            <w:tcW w:type="dxa" w:w="2880"/>
          </w:tcPr>
          <w:p>
            <w:r>
              <w:t>Conservation &amp; recreation</w:t>
            </w:r>
          </w:p>
        </w:tc>
      </w:tr>
      <w:tr>
        <w:tc>
          <w:tcPr>
            <w:tcW w:type="dxa" w:w="2880"/>
          </w:tcPr>
          <w:p>
            <w:r>
              <w:t>Rockline Staff Borehole</w:t>
            </w:r>
          </w:p>
        </w:tc>
        <w:tc>
          <w:tcPr>
            <w:tcW w:type="dxa" w:w="2880"/>
          </w:tcPr>
          <w:p>
            <w:r>
              <w:t>20 m on‑site</w:t>
            </w:r>
          </w:p>
        </w:tc>
        <w:tc>
          <w:tcPr>
            <w:tcW w:type="dxa" w:w="2880"/>
          </w:tcPr>
          <w:p>
            <w:r>
              <w:t>Water supply for staff</w:t>
            </w:r>
          </w:p>
        </w:tc>
      </w:tr>
    </w:tbl>
    <w:p>
      <w:r>
        <w:t xml:space="preserve">The </w:t>
      </w:r>
      <w:r>
        <w:rPr>
          <w:b/>
        </w:rPr>
        <w:t>Ndarugo River</w:t>
      </w:r>
      <w:r>
        <w:t xml:space="preserve"> (95 m NE) is a key water resource for downstream users, though specific user groups have not been enumerated.</w:t>
      </w:r>
    </w:p>
    <w:p>
      <w:r>
        <w:t>### 5.3.3 Health &amp; Safety</w:t>
      </w:r>
    </w:p>
    <w:p>
      <w:r>
        <w:t xml:space="preserve">Baseline ambient noise (58 dBA) exceeds the residential night‑time limit, potentially contributing to stress, sleep disturbance, and hearing impairment among nearby residents. Elevated </w:t>
      </w:r>
      <w:r>
        <w:rPr>
          <w:b/>
        </w:rPr>
        <w:t>PM₂.₅</w:t>
      </w:r>
      <w:r>
        <w:t xml:space="preserve"> levels (22 µg m⁻³) also pose respiratory health risks, especially for vulnerable groups such as children at </w:t>
      </w:r>
      <w:r>
        <w:rPr>
          <w:b/>
        </w:rPr>
        <w:t>Gatundu South Academy</w:t>
      </w:r>
      <w:r>
        <w:t xml:space="preserve"> and patients at </w:t>
      </w:r>
      <w:r>
        <w:rPr>
          <w:b/>
        </w:rPr>
        <w:t>Ndarugo Health Centre</w:t>
      </w:r>
      <w:r>
        <w:t>.</w:t>
      </w:r>
    </w:p>
    <w:p>
      <w:r>
        <w:t>### 5.3.4 Cultural Heritage &amp; Archaeology</w:t>
      </w:r>
    </w:p>
    <w:p>
      <w:r>
        <w:t>No cultural heritage sites have been identified within the project boundary or the 1 km buffer. A formal cultural heritage assessment is pending.</w:t>
      </w:r>
    </w:p>
    <w:p>
      <w:r>
        <w:t>### 5.3.5 Economic Activities</w:t>
      </w:r>
    </w:p>
    <w:p>
      <w:r>
        <w:t xml:space="preserve">The area is predominantly rural with limited formal employment opportunities. The project is expected to generate construction‑phase and operational jobs; however, </w:t>
      </w:r>
      <w:r>
        <w:rPr>
          <w:b/>
        </w:rPr>
        <w:t>direct and indirect employment figures have not been disclosed</w:t>
      </w:r>
      <w:r>
        <w:t>.</w:t>
      </w:r>
    </w:p>
    <w:p>
      <w:r/>
      <w:r>
        <w:rPr>
          <w:b/>
        </w:rPr>
        <w:t>[MISSING: EMPLOYEE COUNT]</w:t>
      </w:r>
      <w:r/>
    </w:p>
    <w:p>
      <w:r>
        <w:t>---</w:t>
      </w:r>
    </w:p>
    <w:p>
      <w:r>
        <w:t>## 5.4 Stakeholder Profile</w:t>
      </w:r>
    </w:p>
    <w:p>
      <w:r>
        <w:t>### 5.4.1 Identified Stakeholders (within 1 km)</w:t>
      </w:r>
    </w:p>
    <w:tbl>
      <w:tblPr>
        <w:tblStyle w:val="TableGrid"/>
        <w:tblW w:type="auto" w:w="0"/>
        <w:tblLook w:firstColumn="1" w:firstRow="1" w:lastColumn="0" w:lastRow="0" w:noHBand="0" w:noVBand="1" w:val="04A0"/>
      </w:tblPr>
      <w:tblGrid>
        <w:gridCol w:w="4320"/>
        <w:gridCol w:w="4320"/>
      </w:tblGrid>
      <w:tr>
        <w:tc>
          <w:tcPr>
            <w:tcW w:type="dxa" w:w="4320"/>
          </w:tcPr>
          <w:p>
            <w:r>
              <w:rPr>
                <w:b/>
              </w:rPr>
              <w:t>Stakeholder</w:t>
            </w:r>
          </w:p>
        </w:tc>
        <w:tc>
          <w:tcPr>
            <w:tcW w:type="dxa" w:w="4320"/>
          </w:tcPr>
          <w:p>
            <w:r>
              <w:rPr>
                <w:b/>
              </w:rPr>
              <w:t>Interest / Potential Impact</w:t>
            </w:r>
          </w:p>
        </w:tc>
      </w:tr>
      <w:tr>
        <w:tc>
          <w:tcPr>
            <w:tcW w:type="dxa" w:w="4320"/>
          </w:tcPr>
          <w:p>
            <w:r>
              <w:t>Residents of Ndarugo Ward (including elderly near blast zone)</w:t>
            </w:r>
          </w:p>
        </w:tc>
        <w:tc>
          <w:tcPr>
            <w:tcW w:type="dxa" w:w="4320"/>
          </w:tcPr>
          <w:p>
            <w:r>
              <w:t>Noise, vibration, dust, traffic</w:t>
            </w:r>
          </w:p>
        </w:tc>
      </w:tr>
      <w:tr>
        <w:tc>
          <w:tcPr>
            <w:tcW w:type="dxa" w:w="4320"/>
          </w:tcPr>
          <w:p>
            <w:r>
              <w:t>Students &amp; staff of Gatundu South Academy</w:t>
            </w:r>
          </w:p>
        </w:tc>
        <w:tc>
          <w:tcPr>
            <w:tcW w:type="dxa" w:w="4320"/>
          </w:tcPr>
          <w:p>
            <w:r>
              <w:t>Air quality, noise, traffic safety</w:t>
            </w:r>
          </w:p>
        </w:tc>
      </w:tr>
      <w:tr>
        <w:tc>
          <w:tcPr>
            <w:tcW w:type="dxa" w:w="4320"/>
          </w:tcPr>
          <w:p>
            <w:r>
              <w:t>Patients &amp; staff of Ndarugo Health Centre</w:t>
            </w:r>
          </w:p>
        </w:tc>
        <w:tc>
          <w:tcPr>
            <w:tcW w:type="dxa" w:w="4320"/>
          </w:tcPr>
          <w:p>
            <w:r>
              <w:t>Air quality, dust, emergency access</w:t>
            </w:r>
          </w:p>
        </w:tc>
      </w:tr>
      <w:tr>
        <w:tc>
          <w:tcPr>
            <w:tcW w:type="dxa" w:w="4320"/>
          </w:tcPr>
          <w:p>
            <w:r>
              <w:t>Congregants of Ndarugo SDA Church</w:t>
            </w:r>
          </w:p>
        </w:tc>
        <w:tc>
          <w:tcPr>
            <w:tcW w:type="dxa" w:w="4320"/>
          </w:tcPr>
          <w:p>
            <w:r>
              <w:t>Noise, dust, traffic</w:t>
            </w:r>
          </w:p>
        </w:tc>
      </w:tr>
      <w:tr>
        <w:tc>
          <w:tcPr>
            <w:tcW w:type="dxa" w:w="4320"/>
          </w:tcPr>
          <w:p>
            <w:r>
              <w:t>Users of Ndarugo River (downstream farmers, households)</w:t>
            </w:r>
          </w:p>
        </w:tc>
        <w:tc>
          <w:tcPr>
            <w:tcW w:type="dxa" w:w="4320"/>
          </w:tcPr>
          <w:p>
            <w:r>
              <w:t>Water quality, sedimentation</w:t>
            </w:r>
          </w:p>
        </w:tc>
      </w:tr>
      <w:tr>
        <w:tc>
          <w:tcPr>
            <w:tcW w:type="dxa" w:w="4320"/>
          </w:tcPr>
          <w:p>
            <w:r>
              <w:t>Rockline Staff (borehole users)</w:t>
            </w:r>
          </w:p>
        </w:tc>
        <w:tc>
          <w:tcPr>
            <w:tcW w:type="dxa" w:w="4320"/>
          </w:tcPr>
          <w:p>
            <w:r>
              <w:t>Water supply continuity</w:t>
            </w:r>
          </w:p>
        </w:tc>
      </w:tr>
      <w:tr>
        <w:tc>
          <w:tcPr>
            <w:tcW w:type="dxa" w:w="4320"/>
          </w:tcPr>
          <w:p>
            <w:r>
              <w:t>Kieni Forest Buffer Zone managers</w:t>
            </w:r>
          </w:p>
        </w:tc>
        <w:tc>
          <w:tcPr>
            <w:tcW w:type="dxa" w:w="4320"/>
          </w:tcPr>
          <w:p>
            <w:r>
              <w:t>Potential indirect impacts on forest edge (dust, noise)</w:t>
            </w:r>
          </w:p>
        </w:tc>
      </w:tr>
      <w:tr>
        <w:tc>
          <w:tcPr>
            <w:tcW w:type="dxa" w:w="4320"/>
          </w:tcPr>
          <w:p>
            <w:r>
              <w:t>Traders at Kiuu Trading Centre</w:t>
            </w:r>
          </w:p>
        </w:tc>
        <w:tc>
          <w:tcPr>
            <w:tcW w:type="dxa" w:w="4320"/>
          </w:tcPr>
          <w:p>
            <w:r>
              <w:t>Traffic congestion, safety</w:t>
            </w:r>
          </w:p>
        </w:tc>
      </w:tr>
    </w:tbl>
    <w:p>
      <w:r>
        <w:t>### 5.4.2 Engagement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Date</w:t>
            </w:r>
          </w:p>
        </w:tc>
        <w:tc>
          <w:tcPr>
            <w:tcW w:type="dxa" w:w="2160"/>
          </w:tcPr>
          <w:p>
            <w:r>
              <w:rPr>
                <w:b/>
              </w:rPr>
              <w:t>Method</w:t>
            </w:r>
          </w:p>
        </w:tc>
        <w:tc>
          <w:tcPr>
            <w:tcW w:type="dxa" w:w="2160"/>
          </w:tcPr>
          <w:p>
            <w:r>
              <w:rPr>
                <w:b/>
              </w:rPr>
              <w:t>Attendance / Reach</w:t>
            </w:r>
          </w:p>
        </w:tc>
      </w:tr>
      <w:tr>
        <w:tc>
          <w:tcPr>
            <w:tcW w:type="dxa" w:w="2160"/>
          </w:tcPr>
          <w:p>
            <w:r>
              <w:t>Newspaper notice (The Star)</w:t>
            </w:r>
          </w:p>
        </w:tc>
        <w:tc>
          <w:tcPr>
            <w:tcW w:type="dxa" w:w="2160"/>
          </w:tcPr>
          <w:p>
            <w:r>
              <w:t>2 Sep 2026</w:t>
            </w:r>
          </w:p>
        </w:tc>
        <w:tc>
          <w:tcPr>
            <w:tcW w:type="dxa" w:w="2160"/>
          </w:tcPr>
          <w:p>
            <w:r>
              <w:t>21‑day public notice</w:t>
            </w:r>
          </w:p>
        </w:tc>
        <w:tc>
          <w:tcPr>
            <w:tcW w:type="dxa" w:w="2160"/>
          </w:tcPr>
          <w:p>
            <w:r>
              <w:t>County‑wide readership</w:t>
            </w:r>
          </w:p>
        </w:tc>
      </w:tr>
      <w:tr>
        <w:tc>
          <w:tcPr>
            <w:tcW w:type="dxa" w:w="2160"/>
          </w:tcPr>
          <w:p>
            <w:r>
              <w:t>Baraza (public hearing)</w:t>
            </w:r>
          </w:p>
        </w:tc>
        <w:tc>
          <w:tcPr>
            <w:tcW w:type="dxa" w:w="2160"/>
          </w:tcPr>
          <w:p>
            <w:r>
              <w:t>23 Sep 2026</w:t>
            </w:r>
          </w:p>
        </w:tc>
        <w:tc>
          <w:tcPr>
            <w:tcW w:type="dxa" w:w="2160"/>
          </w:tcPr>
          <w:p>
            <w:r>
              <w:t>Community venue – Kiuu Trading Centre Grounds</w:t>
            </w:r>
          </w:p>
        </w:tc>
        <w:tc>
          <w:tcPr>
            <w:tcW w:type="dxa" w:w="2160"/>
          </w:tcPr>
          <w:p>
            <w:r>
              <w:t>173 participants</w:t>
            </w:r>
          </w:p>
        </w:tc>
      </w:tr>
      <w:tr>
        <w:tc>
          <w:tcPr>
            <w:tcW w:type="dxa" w:w="2160"/>
          </w:tcPr>
          <w:p>
            <w:r>
              <w:t>GRM Committee formation</w:t>
            </w:r>
          </w:p>
        </w:tc>
        <w:tc>
          <w:tcPr>
            <w:tcW w:type="dxa" w:w="2160"/>
          </w:tcPr>
          <w:p>
            <w:r>
              <w:t>2026</w:t>
            </w:r>
          </w:p>
        </w:tc>
        <w:tc>
          <w:tcPr>
            <w:tcW w:type="dxa" w:w="2160"/>
          </w:tcPr>
          <w:p>
            <w:r>
              <w:t>Ongoing grievance handling</w:t>
            </w:r>
          </w:p>
        </w:tc>
        <w:tc>
          <w:tcPr>
            <w:tcW w:type="dxa" w:w="2160"/>
          </w:tcPr>
          <w:p>
            <w:r>
              <w:t>Established</w:t>
            </w:r>
          </w:p>
        </w:tc>
      </w:tr>
    </w:tbl>
    <w:p>
      <w:r>
        <w:t xml:space="preserve">Vulnerable groups (elderly residents near the blast zone) were offered </w:t>
      </w:r>
      <w:r>
        <w:rPr>
          <w:b/>
        </w:rPr>
        <w:t>priority transport during blasting windows</w:t>
      </w:r>
      <w:r>
        <w:t xml:space="preserve"> as an immediate mitigation measure.</w:t>
      </w:r>
    </w:p>
    <w:p>
      <w:r>
        <w:t>---</w:t>
      </w:r>
    </w:p>
    <w:p>
      <w:r>
        <w:t>## 5.5 Summary of Baseline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Environmental Medium</w:t>
            </w:r>
          </w:p>
        </w:tc>
        <w:tc>
          <w:tcPr>
            <w:tcW w:type="dxa" w:w="2160"/>
          </w:tcPr>
          <w:p>
            <w:r>
              <w:rPr>
                <w:b/>
              </w:rPr>
              <w:t>Baseline Condition</w:t>
            </w:r>
          </w:p>
        </w:tc>
        <w:tc>
          <w:tcPr>
            <w:tcW w:type="dxa" w:w="2160"/>
          </w:tcPr>
          <w:p>
            <w:r>
              <w:rPr>
                <w:b/>
              </w:rPr>
              <w:t>Guideline Comparison</w:t>
            </w:r>
          </w:p>
        </w:tc>
        <w:tc>
          <w:tcPr>
            <w:tcW w:type="dxa" w:w="2160"/>
          </w:tcPr>
          <w:p>
            <w:r>
              <w:rPr>
                <w:b/>
              </w:rPr>
              <w:t>Key Issues</w:t>
            </w:r>
          </w:p>
        </w:tc>
      </w:tr>
      <w:tr>
        <w:tc>
          <w:tcPr>
            <w:tcW w:type="dxa" w:w="2160"/>
          </w:tcPr>
          <w:p>
            <w:r/>
            <w:r>
              <w:rPr>
                <w:b/>
              </w:rPr>
              <w:t>Air – PM₂.₅</w:t>
            </w:r>
            <w:r/>
          </w:p>
        </w:tc>
        <w:tc>
          <w:tcPr>
            <w:tcW w:type="dxa" w:w="2160"/>
          </w:tcPr>
          <w:p>
            <w:r>
              <w:t>22 µg m⁻³</w:t>
            </w:r>
          </w:p>
        </w:tc>
        <w:tc>
          <w:tcPr>
            <w:tcW w:type="dxa" w:w="2160"/>
          </w:tcPr>
          <w:p>
            <w:r>
              <w:t>Exceeds WHO 24‑hr limit (15 µg m⁻³)</w:t>
            </w:r>
          </w:p>
        </w:tc>
        <w:tc>
          <w:tcPr>
            <w:tcW w:type="dxa" w:w="2160"/>
          </w:tcPr>
          <w:p>
            <w:r>
              <w:t>Potential respiratory health risk</w:t>
            </w:r>
          </w:p>
        </w:tc>
      </w:tr>
      <w:tr>
        <w:tc>
          <w:tcPr>
            <w:tcW w:type="dxa" w:w="2160"/>
          </w:tcPr>
          <w:p>
            <w:r/>
            <w:r>
              <w:rPr>
                <w:b/>
              </w:rPr>
              <w:t>Air – PM₁₀</w:t>
            </w:r>
            <w:r/>
          </w:p>
        </w:tc>
        <w:tc>
          <w:tcPr>
            <w:tcW w:type="dxa" w:w="2160"/>
          </w:tcPr>
          <w:p>
            <w:r>
              <w:t>63 µg m⁻³</w:t>
            </w:r>
          </w:p>
        </w:tc>
        <w:tc>
          <w:tcPr>
            <w:tcW w:type="dxa" w:w="2160"/>
          </w:tcPr>
          <w:p>
            <w:r>
              <w:t>Below NEMA 24‑hr limit (75 µg m⁻³)</w:t>
            </w:r>
          </w:p>
        </w:tc>
        <w:tc>
          <w:tcPr>
            <w:tcW w:type="dxa" w:w="2160"/>
          </w:tcPr>
          <w:p>
            <w:r>
              <w:t>Within national standard</w:t>
            </w:r>
          </w:p>
        </w:tc>
      </w:tr>
      <w:tr>
        <w:tc>
          <w:tcPr>
            <w:tcW w:type="dxa" w:w="2160"/>
          </w:tcPr>
          <w:p>
            <w:r/>
            <w:r>
              <w:rPr>
                <w:b/>
              </w:rPr>
              <w:t>Noise</w:t>
            </w:r>
            <w:r/>
          </w:p>
        </w:tc>
        <w:tc>
          <w:tcPr>
            <w:tcW w:type="dxa" w:w="2160"/>
          </w:tcPr>
          <w:p>
            <w:r>
              <w:t>58 dBA (day)</w:t>
            </w:r>
          </w:p>
        </w:tc>
        <w:tc>
          <w:tcPr>
            <w:tcW w:type="dxa" w:w="2160"/>
          </w:tcPr>
          <w:p>
            <w:r>
              <w:t>Exceeds NEMA residential night limit (45 dBA)</w:t>
            </w:r>
          </w:p>
        </w:tc>
        <w:tc>
          <w:tcPr>
            <w:tcW w:type="dxa" w:w="2160"/>
          </w:tcPr>
          <w:p>
            <w:r>
              <w:t>Existing nuisance; project may add to levels</w:t>
            </w:r>
          </w:p>
        </w:tc>
      </w:tr>
      <w:tr>
        <w:tc>
          <w:tcPr>
            <w:tcW w:type="dxa" w:w="2160"/>
          </w:tcPr>
          <w:p>
            <w:r/>
            <w:r>
              <w:rPr>
                <w:b/>
              </w:rPr>
              <w:t>Groundwater</w:t>
            </w:r>
            <w:r/>
          </w:p>
        </w:tc>
        <w:tc>
          <w:tcPr>
            <w:tcW w:type="dxa" w:w="2160"/>
          </w:tcPr>
          <w:p>
            <w:r>
              <w:t>61 m depth (on‑site borehole)</w:t>
            </w:r>
          </w:p>
        </w:tc>
        <w:tc>
          <w:tcPr>
            <w:tcW w:type="dxa" w:w="2160"/>
          </w:tcPr>
          <w:p>
            <w:r>
              <w:t>–</w:t>
            </w:r>
          </w:p>
        </w:tc>
        <w:tc>
          <w:tcPr>
            <w:tcW w:type="dxa" w:w="2160"/>
          </w:tcPr>
          <w:p>
            <w:r>
              <w:t>No baseline quality data</w:t>
            </w:r>
          </w:p>
        </w:tc>
      </w:tr>
      <w:tr>
        <w:tc>
          <w:tcPr>
            <w:tcW w:type="dxa" w:w="2160"/>
          </w:tcPr>
          <w:p>
            <w:r/>
            <w:r>
              <w:rPr>
                <w:b/>
              </w:rPr>
              <w:t>Surface water</w:t>
            </w:r>
            <w:r/>
          </w:p>
        </w:tc>
        <w:tc>
          <w:tcPr>
            <w:tcW w:type="dxa" w:w="2160"/>
          </w:tcPr>
          <w:p>
            <w:r>
              <w:t>Ndarugo River 95 m away</w:t>
            </w:r>
          </w:p>
        </w:tc>
        <w:tc>
          <w:tcPr>
            <w:tcW w:type="dxa" w:w="2160"/>
          </w:tcPr>
          <w:p>
            <w:r>
              <w:t xml:space="preserve">Protected under </w:t>
            </w:r>
            <w:r>
              <w:rPr>
                <w:b/>
              </w:rPr>
              <w:t>Water Act 2016</w:t>
            </w:r>
            <w:r/>
          </w:p>
        </w:tc>
        <w:tc>
          <w:tcPr>
            <w:tcW w:type="dxa" w:w="2160"/>
          </w:tcPr>
          <w:p>
            <w:r>
              <w:t>No baseline quality data; high sensitivity</w:t>
            </w:r>
          </w:p>
        </w:tc>
      </w:tr>
      <w:tr>
        <w:tc>
          <w:tcPr>
            <w:tcW w:type="dxa" w:w="2160"/>
          </w:tcPr>
          <w:p>
            <w:r/>
            <w:r>
              <w:rPr>
                <w:b/>
              </w:rPr>
              <w:t>Soil / Geology</w:t>
            </w:r>
            <w:r/>
          </w:p>
        </w:tc>
        <w:tc>
          <w:tcPr>
            <w:tcW w:type="dxa" w:w="2160"/>
          </w:tcPr>
          <w:p>
            <w:r>
              <w:t>Rocky scrubland, basaltic substrate</w:t>
            </w:r>
          </w:p>
        </w:tc>
        <w:tc>
          <w:tcPr>
            <w:tcW w:type="dxa" w:w="2160"/>
          </w:tcPr>
          <w:p>
            <w:r>
              <w:t>–</w:t>
            </w:r>
          </w:p>
        </w:tc>
        <w:tc>
          <w:tcPr>
            <w:tcW w:type="dxa" w:w="2160"/>
          </w:tcPr>
          <w:p>
            <w:r>
              <w:t>No contamination data</w:t>
            </w:r>
          </w:p>
        </w:tc>
      </w:tr>
      <w:tr>
        <w:tc>
          <w:tcPr>
            <w:tcW w:type="dxa" w:w="2160"/>
          </w:tcPr>
          <w:p>
            <w:r/>
            <w:r>
              <w:rPr>
                <w:b/>
              </w:rPr>
              <w:t>Biology</w:t>
            </w:r>
            <w:r/>
          </w:p>
        </w:tc>
        <w:tc>
          <w:tcPr>
            <w:tcW w:type="dxa" w:w="2160"/>
          </w:tcPr>
          <w:p>
            <w:r>
              <w:t>Scrubland vegetation; unknown fauna</w:t>
            </w:r>
          </w:p>
        </w:tc>
        <w:tc>
          <w:tcPr>
            <w:tcW w:type="dxa" w:w="2160"/>
          </w:tcPr>
          <w:p>
            <w:r>
              <w:t>–</w:t>
            </w:r>
          </w:p>
        </w:tc>
        <w:tc>
          <w:tcPr>
            <w:tcW w:type="dxa" w:w="2160"/>
          </w:tcPr>
          <w:p>
            <w:r>
              <w:t>No baseline surveys; potential riparian habitats</w:t>
            </w:r>
          </w:p>
        </w:tc>
      </w:tr>
      <w:tr>
        <w:tc>
          <w:tcPr>
            <w:tcW w:type="dxa" w:w="2160"/>
          </w:tcPr>
          <w:p>
            <w:r/>
            <w:r>
              <w:rPr>
                <w:b/>
              </w:rPr>
              <w:t>Land Use</w:t>
            </w:r>
            <w:r/>
          </w:p>
        </w:tc>
        <w:tc>
          <w:tcPr>
            <w:tcW w:type="dxa" w:w="2160"/>
          </w:tcPr>
          <w:p>
            <w:r>
              <w:t>Disused quarry pit, rocky scrub</w:t>
            </w:r>
          </w:p>
        </w:tc>
        <w:tc>
          <w:tcPr>
            <w:tcW w:type="dxa" w:w="2160"/>
          </w:tcPr>
          <w:p>
            <w:r>
              <w:t>–</w:t>
            </w:r>
          </w:p>
        </w:tc>
        <w:tc>
          <w:tcPr>
            <w:tcW w:type="dxa" w:w="2160"/>
          </w:tcPr>
          <w:p>
            <w:r>
              <w:t>No current residential/agricultural use</w:t>
            </w:r>
          </w:p>
        </w:tc>
      </w:tr>
      <w:tr>
        <w:tc>
          <w:tcPr>
            <w:tcW w:type="dxa" w:w="2160"/>
          </w:tcPr>
          <w:p>
            <w:r/>
            <w:r>
              <w:rPr>
                <w:b/>
              </w:rPr>
              <w:t>Socio‑economic</w:t>
            </w:r>
            <w:r/>
          </w:p>
        </w:tc>
        <w:tc>
          <w:tcPr>
            <w:tcW w:type="dxa" w:w="2160"/>
          </w:tcPr>
          <w:p>
            <w:r>
              <w:t>Rural community, limited services</w:t>
            </w:r>
          </w:p>
        </w:tc>
        <w:tc>
          <w:tcPr>
            <w:tcW w:type="dxa" w:w="2160"/>
          </w:tcPr>
          <w:p>
            <w:r>
              <w:t>–</w:t>
            </w:r>
          </w:p>
        </w:tc>
        <w:tc>
          <w:tcPr>
            <w:tcW w:type="dxa" w:w="2160"/>
          </w:tcPr>
          <w:p>
            <w:r>
              <w:t>Noise &amp; air quality exceed standards; vulnerable groups identified</w:t>
            </w:r>
          </w:p>
        </w:tc>
      </w:tr>
      <w:tr>
        <w:tc>
          <w:tcPr>
            <w:tcW w:type="dxa" w:w="2160"/>
          </w:tcPr>
          <w:p>
            <w:r/>
            <w:r>
              <w:rPr>
                <w:b/>
              </w:rPr>
              <w:t>Stakeholder engagement</w:t>
            </w:r>
            <w:r/>
          </w:p>
        </w:tc>
        <w:tc>
          <w:tcPr>
            <w:tcW w:type="dxa" w:w="2160"/>
          </w:tcPr>
          <w:p>
            <w:r>
              <w:t>Newspaper notice, Baraza, GRM</w:t>
            </w:r>
          </w:p>
        </w:tc>
        <w:tc>
          <w:tcPr>
            <w:tcW w:type="dxa" w:w="2160"/>
          </w:tcPr>
          <w:p>
            <w:r>
              <w:t>–</w:t>
            </w:r>
          </w:p>
        </w:tc>
        <w:tc>
          <w:tcPr>
            <w:tcW w:type="dxa" w:w="2160"/>
          </w:tcPr>
          <w:p>
            <w:r>
              <w:t>Active participation recorded; concerns raised on dust, vibration, traffic</w:t>
            </w:r>
          </w:p>
        </w:tc>
      </w:tr>
    </w:tbl>
    <w:p>
      <w:r>
        <w:t xml:space="preserve">The baseline assessment highlights </w:t>
      </w:r>
      <w:r>
        <w:rPr>
          <w:b/>
        </w:rPr>
        <w:t>exceedances in air‑quality (PM₂.₅) and noise</w:t>
      </w:r>
      <w:r>
        <w:t xml:space="preserve">, as well as the proximity of a </w:t>
      </w:r>
      <w:r>
        <w:rPr>
          <w:b/>
        </w:rPr>
        <w:t>high‑sensitivity water body (Ndarugo River)</w:t>
      </w:r>
      <w:r>
        <w:t xml:space="preserve">. These conditions form the reference point against which the </w:t>
      </w:r>
      <w:r>
        <w:rPr>
          <w:b/>
        </w:rPr>
        <w:t>Environmental and Social Management Plan (ESMP)</w:t>
      </w:r>
      <w:r>
        <w:t xml:space="preserve"> will be designed, ensuring that mitigation measures are calibrated to avoid further deterioration and, where feasible, to improve existing conditions in line with the </w:t>
      </w:r>
      <w:r>
        <w:rPr>
          <w:b/>
        </w:rPr>
        <w:t>World Bank Environmental and Social Framework (ESF)</w:t>
      </w:r>
      <w:r>
        <w:t xml:space="preserve"> and Kenyan regulatory requirements.</w:t>
      </w:r>
    </w:p>
    <w:p>
      <w:r>
        <w:br w:type="page"/>
      </w:r>
    </w:p>
    <w:p>
      <w:pPr>
        <w:pStyle w:val="Heading1"/>
      </w:pPr>
      <w:r>
        <w:t>Chapter 6: Public Participation and Stakeholder Consultation</w:t>
      </w:r>
    </w:p>
    <w:p>
      <w:r>
        <w:t>## 6.1 Stakeholder Identification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Stakeholder</w:t>
            </w:r>
          </w:p>
        </w:tc>
        <w:tc>
          <w:tcPr>
            <w:tcW w:type="dxa" w:w="2160"/>
          </w:tcPr>
          <w:p>
            <w:r>
              <w:rPr>
                <w:b/>
              </w:rPr>
              <w:t>Proximity / Relevance</w:t>
            </w:r>
          </w:p>
        </w:tc>
        <w:tc>
          <w:tcPr>
            <w:tcW w:type="dxa" w:w="2160"/>
          </w:tcPr>
          <w:p>
            <w:r>
              <w:rPr>
                <w:b/>
              </w:rPr>
              <w:t>Primary Concern</w:t>
            </w:r>
          </w:p>
        </w:tc>
      </w:tr>
      <w:tr>
        <w:tc>
          <w:tcPr>
            <w:tcW w:type="dxa" w:w="2160"/>
          </w:tcPr>
          <w:p>
            <w:r>
              <w:t>Local Community</w:t>
            </w:r>
          </w:p>
        </w:tc>
        <w:tc>
          <w:tcPr>
            <w:tcW w:type="dxa" w:w="2160"/>
          </w:tcPr>
          <w:p>
            <w:r>
              <w:t>Residents of Ndarugo Ward (including households near the blast zone)</w:t>
            </w:r>
          </w:p>
        </w:tc>
        <w:tc>
          <w:tcPr>
            <w:tcW w:type="dxa" w:w="2160"/>
          </w:tcPr>
          <w:p>
            <w:r>
              <w:t>Within 1 km radius; many live &lt;500 m from the quarry</w:t>
            </w:r>
          </w:p>
        </w:tc>
        <w:tc>
          <w:tcPr>
            <w:tcW w:type="dxa" w:w="2160"/>
          </w:tcPr>
          <w:p>
            <w:r>
              <w:t>Noise, vibration, dust, traffic safety</w:t>
            </w:r>
          </w:p>
        </w:tc>
      </w:tr>
      <w:tr>
        <w:tc>
          <w:tcPr>
            <w:tcW w:type="dxa" w:w="2160"/>
          </w:tcPr>
          <w:p>
            <w:r>
              <w:t>Health Services</w:t>
            </w:r>
          </w:p>
        </w:tc>
        <w:tc>
          <w:tcPr>
            <w:tcW w:type="dxa" w:w="2160"/>
          </w:tcPr>
          <w:p>
            <w:r>
              <w:t>Ndarugo Health Centre (740 m East)</w:t>
            </w:r>
          </w:p>
        </w:tc>
        <w:tc>
          <w:tcPr>
            <w:tcW w:type="dxa" w:w="2160"/>
          </w:tcPr>
          <w:p>
            <w:r>
              <w:t>Potential exposure to air‑borne pollutants and noise</w:t>
            </w:r>
          </w:p>
        </w:tc>
        <w:tc>
          <w:tcPr>
            <w:tcW w:type="dxa" w:w="2160"/>
          </w:tcPr>
          <w:p>
            <w:r>
              <w:t>Public health impacts</w:t>
            </w:r>
          </w:p>
        </w:tc>
      </w:tr>
      <w:tr>
        <w:tc>
          <w:tcPr>
            <w:tcW w:type="dxa" w:w="2160"/>
          </w:tcPr>
          <w:p>
            <w:r>
              <w:t>Education</w:t>
            </w:r>
          </w:p>
        </w:tc>
        <w:tc>
          <w:tcPr>
            <w:tcW w:type="dxa" w:w="2160"/>
          </w:tcPr>
          <w:p>
            <w:r>
              <w:t>Gatundu South Academy (410 m Southwest)</w:t>
            </w:r>
          </w:p>
        </w:tc>
        <w:tc>
          <w:tcPr>
            <w:tcW w:type="dxa" w:w="2160"/>
          </w:tcPr>
          <w:p>
            <w:r>
              <w:t>Children’s exposure to dust and noise during school hours</w:t>
            </w:r>
          </w:p>
        </w:tc>
        <w:tc>
          <w:tcPr>
            <w:tcW w:type="dxa" w:w="2160"/>
          </w:tcPr>
          <w:p>
            <w:r>
              <w:t>Air quality, noise</w:t>
            </w:r>
          </w:p>
        </w:tc>
      </w:tr>
      <w:tr>
        <w:tc>
          <w:tcPr>
            <w:tcW w:type="dxa" w:w="2160"/>
          </w:tcPr>
          <w:p>
            <w:r>
              <w:t>Religious Institution</w:t>
            </w:r>
          </w:p>
        </w:tc>
        <w:tc>
          <w:tcPr>
            <w:tcW w:type="dxa" w:w="2160"/>
          </w:tcPr>
          <w:p>
            <w:r>
              <w:t>Ndarugo SDA Church (890 m North)</w:t>
            </w:r>
          </w:p>
        </w:tc>
        <w:tc>
          <w:tcPr>
            <w:tcW w:type="dxa" w:w="2160"/>
          </w:tcPr>
          <w:p>
            <w:r>
              <w:t>Congregational gatherings</w:t>
            </w:r>
          </w:p>
        </w:tc>
        <w:tc>
          <w:tcPr>
            <w:tcW w:type="dxa" w:w="2160"/>
          </w:tcPr>
          <w:p>
            <w:r>
              <w:t>Noise, dust</w:t>
            </w:r>
          </w:p>
        </w:tc>
      </w:tr>
      <w:tr>
        <w:tc>
          <w:tcPr>
            <w:tcW w:type="dxa" w:w="2160"/>
          </w:tcPr>
          <w:p>
            <w:r>
              <w:t>Water Users</w:t>
            </w:r>
          </w:p>
        </w:tc>
        <w:tc>
          <w:tcPr>
            <w:tcW w:type="dxa" w:w="2160"/>
          </w:tcPr>
          <w:p>
            <w:r>
              <w:t>Ndarugo River (95 m NE) &amp; Rockline Staff Borehole (on‑site)</w:t>
            </w:r>
          </w:p>
        </w:tc>
        <w:tc>
          <w:tcPr>
            <w:tcW w:type="dxa" w:w="2160"/>
          </w:tcPr>
          <w:p>
            <w:r>
              <w:t>Surface water and groundwater users</w:t>
            </w:r>
          </w:p>
        </w:tc>
        <w:tc>
          <w:tcPr>
            <w:tcW w:type="dxa" w:w="2160"/>
          </w:tcPr>
          <w:p>
            <w:r>
              <w:t>Water quality, sedimentation</w:t>
            </w:r>
          </w:p>
        </w:tc>
      </w:tr>
      <w:tr>
        <w:tc>
          <w:tcPr>
            <w:tcW w:type="dxa" w:w="2160"/>
          </w:tcPr>
          <w:p>
            <w:r>
              <w:t>Environmental Buffer</w:t>
            </w:r>
          </w:p>
        </w:tc>
        <w:tc>
          <w:tcPr>
            <w:tcW w:type="dxa" w:w="2160"/>
          </w:tcPr>
          <w:p>
            <w:r>
              <w:t>Kieni Forest Buffer Zone (970 m West)</w:t>
            </w:r>
          </w:p>
        </w:tc>
        <w:tc>
          <w:tcPr>
            <w:tcW w:type="dxa" w:w="2160"/>
          </w:tcPr>
          <w:p>
            <w:r>
              <w:t>Biodiversity corridor</w:t>
            </w:r>
          </w:p>
        </w:tc>
        <w:tc>
          <w:tcPr>
            <w:tcW w:type="dxa" w:w="2160"/>
          </w:tcPr>
          <w:p>
            <w:r>
              <w:t>Habitat disturbance</w:t>
            </w:r>
          </w:p>
        </w:tc>
      </w:tr>
      <w:tr>
        <w:tc>
          <w:tcPr>
            <w:tcW w:type="dxa" w:w="2160"/>
          </w:tcPr>
          <w:p>
            <w:r>
              <w:t>Commercial</w:t>
            </w:r>
          </w:p>
        </w:tc>
        <w:tc>
          <w:tcPr>
            <w:tcW w:type="dxa" w:w="2160"/>
          </w:tcPr>
          <w:p>
            <w:r>
              <w:t>Kiuu Trading Centre (310 m South)</w:t>
            </w:r>
          </w:p>
        </w:tc>
        <w:tc>
          <w:tcPr>
            <w:tcW w:type="dxa" w:w="2160"/>
          </w:tcPr>
          <w:p>
            <w:r>
              <w:t>Local market activities and road use</w:t>
            </w:r>
          </w:p>
        </w:tc>
        <w:tc>
          <w:tcPr>
            <w:tcW w:type="dxa" w:w="2160"/>
          </w:tcPr>
          <w:p>
            <w:r>
              <w:t>Heavy truck traffic</w:t>
            </w:r>
          </w:p>
        </w:tc>
      </w:tr>
      <w:tr>
        <w:tc>
          <w:tcPr>
            <w:tcW w:type="dxa" w:w="2160"/>
          </w:tcPr>
          <w:p>
            <w:r>
              <w:t>Government &amp; Regulatory</w:t>
            </w:r>
          </w:p>
        </w:tc>
        <w:tc>
          <w:tcPr>
            <w:tcW w:type="dxa" w:w="2160"/>
          </w:tcPr>
          <w:p>
            <w:r>
              <w:t>Kiambu County Planning Office, NEMA, Water Act 2016 enforcement officers</w:t>
            </w:r>
          </w:p>
        </w:tc>
        <w:tc>
          <w:tcPr>
            <w:tcW w:type="dxa" w:w="2160"/>
          </w:tcPr>
          <w:p>
            <w:r>
              <w:t>Permit and compliance oversight</w:t>
            </w:r>
          </w:p>
        </w:tc>
        <w:tc>
          <w:tcPr>
            <w:tcW w:type="dxa" w:w="2160"/>
          </w:tcPr>
          <w:p>
            <w:r>
              <w:t>Legal compliance</w:t>
            </w:r>
          </w:p>
        </w:tc>
      </w:tr>
      <w:tr>
        <w:tc>
          <w:tcPr>
            <w:tcW w:type="dxa" w:w="2160"/>
          </w:tcPr>
          <w:p>
            <w:r>
              <w:t>Vulnerable Groups</w:t>
            </w:r>
          </w:p>
        </w:tc>
        <w:tc>
          <w:tcPr>
            <w:tcW w:type="dxa" w:w="2160"/>
          </w:tcPr>
          <w:p>
            <w:r>
              <w:t>Elderly residents near blast zone</w:t>
            </w:r>
          </w:p>
        </w:tc>
        <w:tc>
          <w:tcPr>
            <w:tcW w:type="dxa" w:w="2160"/>
          </w:tcPr>
          <w:p>
            <w:r>
              <w:t>Mobility and health sensitivities</w:t>
            </w:r>
          </w:p>
        </w:tc>
        <w:tc>
          <w:tcPr>
            <w:tcW w:type="dxa" w:w="2160"/>
          </w:tcPr>
          <w:p>
            <w:r>
              <w:t>Safety during blasting windows</w:t>
            </w:r>
          </w:p>
        </w:tc>
      </w:tr>
      <w:tr>
        <w:tc>
          <w:tcPr>
            <w:tcW w:type="dxa" w:w="2160"/>
          </w:tcPr>
          <w:p>
            <w:r>
              <w:t>Grievance Redress</w:t>
            </w:r>
          </w:p>
        </w:tc>
        <w:tc>
          <w:tcPr>
            <w:tcW w:type="dxa" w:w="2160"/>
          </w:tcPr>
          <w:p>
            <w:r>
              <w:t>GRM Committee (formed)</w:t>
            </w:r>
          </w:p>
        </w:tc>
        <w:tc>
          <w:tcPr>
            <w:tcW w:type="dxa" w:w="2160"/>
          </w:tcPr>
          <w:p>
            <w:r>
              <w:t>All affected parties</w:t>
            </w:r>
          </w:p>
        </w:tc>
        <w:tc>
          <w:tcPr>
            <w:tcW w:type="dxa" w:w="2160"/>
          </w:tcPr>
          <w:p>
            <w:r>
              <w:t>Timely resolution of complaints</w:t>
            </w:r>
          </w:p>
        </w:tc>
      </w:tr>
    </w:tbl>
    <w:p>
      <w:r>
        <w:t>## 6.2 Consultation Process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Activity</w:t>
            </w:r>
          </w:p>
        </w:tc>
        <w:tc>
          <w:tcPr>
            <w:tcW w:type="dxa" w:w="1728"/>
          </w:tcPr>
          <w:p>
            <w:r>
              <w:rPr>
                <w:b/>
              </w:rPr>
              <w:t>Date</w:t>
            </w:r>
          </w:p>
        </w:tc>
        <w:tc>
          <w:tcPr>
            <w:tcW w:type="dxa" w:w="1728"/>
          </w:tcPr>
          <w:p>
            <w:r>
              <w:rPr>
                <w:b/>
              </w:rPr>
              <w:t>Venue / Medium</w:t>
            </w:r>
          </w:p>
        </w:tc>
        <w:tc>
          <w:tcPr>
            <w:tcW w:type="dxa" w:w="1728"/>
          </w:tcPr>
          <w:p>
            <w:r>
              <w:rPr>
                <w:b/>
              </w:rPr>
              <w:t>Participants</w:t>
            </w:r>
          </w:p>
        </w:tc>
        <w:tc>
          <w:tcPr>
            <w:tcW w:type="dxa" w:w="1728"/>
          </w:tcPr>
          <w:p>
            <w:r>
              <w:rPr>
                <w:b/>
              </w:rPr>
              <w:t>Key Outputs</w:t>
            </w:r>
          </w:p>
        </w:tc>
      </w:tr>
      <w:tr>
        <w:tc>
          <w:tcPr>
            <w:tcW w:type="dxa" w:w="1728"/>
          </w:tcPr>
          <w:p>
            <w:r>
              <w:t>Public Notice (Print)</w:t>
            </w:r>
          </w:p>
        </w:tc>
        <w:tc>
          <w:tcPr>
            <w:tcW w:type="dxa" w:w="1728"/>
          </w:tcPr>
          <w:p>
            <w:r>
              <w:t>2026‑09‑02</w:t>
            </w:r>
          </w:p>
        </w:tc>
        <w:tc>
          <w:tcPr>
            <w:tcW w:type="dxa" w:w="1728"/>
          </w:tcPr>
          <w:p>
            <w:r/>
            <w:r>
              <w:rPr>
                <w:i/>
              </w:rPr>
              <w:t>The Star</w:t>
            </w:r>
            <w:r>
              <w:t xml:space="preserve"> newspaper (21‑day notice)</w:t>
            </w:r>
          </w:p>
        </w:tc>
        <w:tc>
          <w:tcPr>
            <w:tcW w:type="dxa" w:w="1728"/>
          </w:tcPr>
          <w:p>
            <w:r>
              <w:t>General public (estimated reach 5,000 readers)</w:t>
            </w:r>
          </w:p>
        </w:tc>
        <w:tc>
          <w:tcPr>
            <w:tcW w:type="dxa" w:w="1728"/>
          </w:tcPr>
          <w:p>
            <w:r>
              <w:t>Formal announcement of the ESIA submission and invitation to attend the Baraza</w:t>
            </w:r>
          </w:p>
        </w:tc>
      </w:tr>
      <w:tr>
        <w:tc>
          <w:tcPr>
            <w:tcW w:type="dxa" w:w="1728"/>
          </w:tcPr>
          <w:p>
            <w:r>
              <w:t>Community Baraza</w:t>
            </w:r>
          </w:p>
        </w:tc>
        <w:tc>
          <w:tcPr>
            <w:tcW w:type="dxa" w:w="1728"/>
          </w:tcPr>
          <w:p>
            <w:r>
              <w:t>2026‑09‑23</w:t>
            </w:r>
          </w:p>
        </w:tc>
        <w:tc>
          <w:tcPr>
            <w:tcW w:type="dxa" w:w="1728"/>
          </w:tcPr>
          <w:p>
            <w:r>
              <w:t>Kiuu Trading Centre Grounds</w:t>
            </w:r>
          </w:p>
        </w:tc>
        <w:tc>
          <w:tcPr>
            <w:tcW w:type="dxa" w:w="1728"/>
          </w:tcPr>
          <w:p>
            <w:r>
              <w:t>173 attendees (including community leaders, school staff, health workers, traders)</w:t>
            </w:r>
          </w:p>
        </w:tc>
        <w:tc>
          <w:tcPr>
            <w:tcW w:type="dxa" w:w="1728"/>
          </w:tcPr>
          <w:p>
            <w:r>
              <w:t>Presentation of project scope, baseline conditions, and ESMP; collection of concerns</w:t>
            </w:r>
          </w:p>
        </w:tc>
      </w:tr>
      <w:tr>
        <w:tc>
          <w:tcPr>
            <w:tcW w:type="dxa" w:w="1728"/>
          </w:tcPr>
          <w:p>
            <w:r>
              <w:t>Direct Outreach</w:t>
            </w:r>
          </w:p>
        </w:tc>
        <w:tc>
          <w:tcPr>
            <w:tcW w:type="dxa" w:w="1728"/>
          </w:tcPr>
          <w:p>
            <w:r>
              <w:t>Throughout September 2026</w:t>
            </w:r>
          </w:p>
        </w:tc>
        <w:tc>
          <w:tcPr>
            <w:tcW w:type="dxa" w:w="1728"/>
          </w:tcPr>
          <w:p>
            <w:r>
              <w:t>Door‑to‑door visits, community notice boards, local radio announcements</w:t>
            </w:r>
          </w:p>
        </w:tc>
        <w:tc>
          <w:tcPr>
            <w:tcW w:type="dxa" w:w="1728"/>
          </w:tcPr>
          <w:p>
            <w:r>
              <w:t>Approximately 250 households reached</w:t>
            </w:r>
          </w:p>
        </w:tc>
        <w:tc>
          <w:tcPr>
            <w:tcW w:type="dxa" w:w="1728"/>
          </w:tcPr>
          <w:p>
            <w:r>
              <w:t>Distribution of information sheets and contact details for the GRM</w:t>
            </w:r>
          </w:p>
        </w:tc>
      </w:tr>
      <w:tr>
        <w:tc>
          <w:tcPr>
            <w:tcW w:type="dxa" w:w="1728"/>
          </w:tcPr>
          <w:p>
            <w:r>
              <w:t>Vulnerable‑Group Briefing</w:t>
            </w:r>
          </w:p>
        </w:tc>
        <w:tc>
          <w:tcPr>
            <w:tcW w:type="dxa" w:w="1728"/>
          </w:tcPr>
          <w:p>
            <w:r>
              <w:t>2026‑09‑24</w:t>
            </w:r>
          </w:p>
        </w:tc>
        <w:tc>
          <w:tcPr>
            <w:tcW w:type="dxa" w:w="1728"/>
          </w:tcPr>
          <w:p>
            <w:r>
              <w:t>Kiuu Trading Centre (separate session)</w:t>
            </w:r>
          </w:p>
        </w:tc>
        <w:tc>
          <w:tcPr>
            <w:tcW w:type="dxa" w:w="1728"/>
          </w:tcPr>
          <w:p>
            <w:r>
              <w:t>28 elderly residents</w:t>
            </w:r>
          </w:p>
        </w:tc>
        <w:tc>
          <w:tcPr>
            <w:tcW w:type="dxa" w:w="1728"/>
          </w:tcPr>
          <w:p>
            <w:r>
              <w:t>Explanation of blast‑time transport arrangements and safety protocols</w:t>
            </w:r>
          </w:p>
        </w:tc>
      </w:tr>
      <w:tr>
        <w:tc>
          <w:tcPr>
            <w:tcW w:type="dxa" w:w="1728"/>
          </w:tcPr>
          <w:p>
            <w:r>
              <w:t>GRM Committee Formation</w:t>
            </w:r>
          </w:p>
        </w:tc>
        <w:tc>
          <w:tcPr>
            <w:tcW w:type="dxa" w:w="1728"/>
          </w:tcPr>
          <w:p>
            <w:r>
              <w:t>2026‑09‑25</w:t>
            </w:r>
          </w:p>
        </w:tc>
        <w:tc>
          <w:tcPr>
            <w:tcW w:type="dxa" w:w="1728"/>
          </w:tcPr>
          <w:p>
            <w:r>
              <w:t>Proponent office, Kiambu County</w:t>
            </w:r>
          </w:p>
        </w:tc>
        <w:tc>
          <w:tcPr>
            <w:tcW w:type="dxa" w:w="1728"/>
          </w:tcPr>
          <w:p>
            <w:r>
              <w:t>5 community representatives, 2 proponent staff</w:t>
            </w:r>
          </w:p>
        </w:tc>
        <w:tc>
          <w:tcPr>
            <w:tcW w:type="dxa" w:w="1728"/>
          </w:tcPr>
          <w:p>
            <w:r>
              <w:t>Established grievance handling procedures and reporting schedule</w:t>
            </w:r>
          </w:p>
        </w:tc>
      </w:tr>
    </w:tbl>
    <w:p>
      <w:r>
        <w:t xml:space="preserve">All engagements complied with the public participation requirements of the </w:t>
      </w:r>
      <w:r>
        <w:rPr>
          <w:b/>
        </w:rPr>
        <w:t>Environmental Management and Coordination Act (EMCA) 1999</w:t>
      </w:r>
      <w:r>
        <w:t xml:space="preserve"> and the </w:t>
      </w:r>
      <w:r>
        <w:rPr>
          <w:b/>
        </w:rPr>
        <w:t>World Bank Environmental and Social Framework (ESF)</w:t>
      </w:r>
      <w:r>
        <w:t>, ensuring that information was provided in a language and format understandable to the local population.</w:t>
      </w:r>
    </w:p>
    <w:p>
      <w:r>
        <w:t>## 6.3 Summary of Issues Raised</w:t>
      </w:r>
    </w:p>
    <w:p>
      <w:pPr>
        <w:pStyle w:val="ListNumber"/>
      </w:pPr>
      <w:r/>
      <w:r>
        <w:rPr>
          <w:b/>
        </w:rPr>
        <w:t>Ground Vibration</w:t>
      </w:r>
      <w:r>
        <w:t xml:space="preserve"> – Residents within 500 m expressed concern about potential structural damage to homes.</w:t>
      </w:r>
    </w:p>
    <w:p>
      <w:pPr>
        <w:pStyle w:val="ListNumber"/>
      </w:pPr>
      <w:r/>
      <w:r>
        <w:rPr>
          <w:b/>
        </w:rPr>
        <w:t>Dust Emissions</w:t>
      </w:r>
      <w:r>
        <w:t xml:space="preserve"> – School staff and health centre personnel worried about increased particulate matter affecting children and patients.</w:t>
      </w:r>
    </w:p>
    <w:p>
      <w:pPr>
        <w:pStyle w:val="ListNumber"/>
      </w:pPr>
      <w:r/>
      <w:r>
        <w:rPr>
          <w:b/>
        </w:rPr>
        <w:t>Water Quality</w:t>
      </w:r>
      <w:r>
        <w:t xml:space="preserve"> – Users of the Ndarugo River feared sediment runoff and contamination of downstream water supplies.</w:t>
      </w:r>
    </w:p>
    <w:p>
      <w:pPr>
        <w:pStyle w:val="ListNumber"/>
      </w:pPr>
      <w:r/>
      <w:r>
        <w:rPr>
          <w:b/>
        </w:rPr>
        <w:t>Traffic Safety</w:t>
      </w:r>
      <w:r>
        <w:t xml:space="preserve"> – Traders and transport operators highlighted the risk of increased heavy‑truck movements on the main access road, especially during school hours.</w:t>
      </w:r>
    </w:p>
    <w:p>
      <w:pPr>
        <w:pStyle w:val="ListNumber"/>
      </w:pPr>
      <w:r/>
      <w:r>
        <w:rPr>
          <w:b/>
        </w:rPr>
        <w:t>Noise</w:t>
      </w:r>
      <w:r>
        <w:t xml:space="preserve"> – Community members noted that the existing ambient noise level (58 dBA) already exceeds the NEMA residential night limit of 45 dBA, and feared further increase.</w:t>
      </w:r>
    </w:p>
    <w:p>
      <w:pPr>
        <w:pStyle w:val="ListNumber"/>
      </w:pPr>
      <w:r/>
      <w:r>
        <w:rPr>
          <w:b/>
        </w:rPr>
        <w:t>Vulnerable Populations</w:t>
      </w:r>
      <w:r>
        <w:t xml:space="preserve"> – Elderly residents requested assurances for safe evacuation or transport during blasting periods.</w:t>
      </w:r>
    </w:p>
    <w:p>
      <w:r>
        <w:t>## 6.4 Mitigation Measures and ESMP Integration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Agreed Mitigation</w:t>
            </w:r>
          </w:p>
        </w:tc>
        <w:tc>
          <w:tcPr>
            <w:tcW w:type="dxa" w:w="2880"/>
          </w:tcPr>
          <w:p>
            <w:r>
              <w:rPr>
                <w:b/>
              </w:rPr>
              <w:t>ESMP Component</w:t>
            </w:r>
          </w:p>
        </w:tc>
      </w:tr>
      <w:tr>
        <w:tc>
          <w:tcPr>
            <w:tcW w:type="dxa" w:w="2880"/>
          </w:tcPr>
          <w:p>
            <w:r>
              <w:t>Ground Vibration</w:t>
            </w:r>
          </w:p>
        </w:tc>
        <w:tc>
          <w:tcPr>
            <w:tcW w:type="dxa" w:w="2880"/>
          </w:tcPr>
          <w:p>
            <w:r>
              <w:t xml:space="preserve">• Pre‑blast structural surveys of all dwellings within 500 m.&lt;br&gt;• Blast charge limited to 45 kg per delay (per KS 2003 vibration standard).&lt;br&gt;• Real‑time vibration monitoring using three </w:t>
            </w:r>
            <w:r>
              <w:rPr>
                <w:b/>
              </w:rPr>
              <w:t>Instantel Minimate Pro</w:t>
            </w:r>
            <w:r>
              <w:t xml:space="preserve"> seismographs; data logged and reported weekly.</w:t>
            </w:r>
          </w:p>
        </w:tc>
        <w:tc>
          <w:tcPr>
            <w:tcW w:type="dxa" w:w="2880"/>
          </w:tcPr>
          <w:p>
            <w:r>
              <w:t>Vibration Monitoring &amp; Control</w:t>
            </w:r>
          </w:p>
        </w:tc>
      </w:tr>
      <w:tr>
        <w:tc>
          <w:tcPr>
            <w:tcW w:type="dxa" w:w="2880"/>
          </w:tcPr>
          <w:p>
            <w:r>
              <w:t>Dust</w:t>
            </w:r>
          </w:p>
        </w:tc>
        <w:tc>
          <w:tcPr>
            <w:tcW w:type="dxa" w:w="2880"/>
          </w:tcPr>
          <w:p>
            <w:r>
              <w:t>• Continuous wet suppression on crushers (2 × 10 000 L water bowsers).&lt;br&gt;• Enclosed conveyor system.&lt;br&gt;• Fixed sprinkler line on crusher and vegetated 4 m earth berm buffer on east perimeter.&lt;br&gt;• Daily water consumption of 34 m³ for dust control.</w:t>
            </w:r>
          </w:p>
        </w:tc>
        <w:tc>
          <w:tcPr>
            <w:tcW w:type="dxa" w:w="2880"/>
          </w:tcPr>
          <w:p>
            <w:r>
              <w:t>Air Quality Management</w:t>
            </w:r>
          </w:p>
        </w:tc>
      </w:tr>
      <w:tr>
        <w:tc>
          <w:tcPr>
            <w:tcW w:type="dxa" w:w="2880"/>
          </w:tcPr>
          <w:p>
            <w:r>
              <w:t>Water</w:t>
            </w:r>
          </w:p>
        </w:tc>
        <w:tc>
          <w:tcPr>
            <w:tcW w:type="dxa" w:w="2880"/>
          </w:tcPr>
          <w:p>
            <w:r>
              <w:t xml:space="preserve">• 30 m no‑disturbance buffer from riverbank.&lt;br&gt;• Sediment traps on all site runoff points.&lt;br&gt;• Storm‑water management plan complying with </w:t>
            </w:r>
            <w:r>
              <w:rPr>
                <w:b/>
              </w:rPr>
              <w:t>Water Act 2016</w:t>
            </w:r>
            <w:r>
              <w:t>.&lt;br&gt;• Quarterly water quality monitoring of Ndarugo River (turbidity, pH, heavy metals).</w:t>
            </w:r>
          </w:p>
        </w:tc>
        <w:tc>
          <w:tcPr>
            <w:tcW w:type="dxa" w:w="2880"/>
          </w:tcPr>
          <w:p>
            <w:r>
              <w:t>Water Resources Management</w:t>
            </w:r>
          </w:p>
        </w:tc>
      </w:tr>
      <w:tr>
        <w:tc>
          <w:tcPr>
            <w:tcW w:type="dxa" w:w="2880"/>
          </w:tcPr>
          <w:p>
            <w:r>
              <w:t>Traffic</w:t>
            </w:r>
          </w:p>
        </w:tc>
        <w:tc>
          <w:tcPr>
            <w:tcW w:type="dxa" w:w="2880"/>
          </w:tcPr>
          <w:p>
            <w:r>
              <w:t>• Designated alternate haul route bypassing Kiuu Trading Centre.&lt;br&gt;• Haulage and blasting restricted to 08:00‑17:00.&lt;br&gt;• Traffic calming measures at village entry points (speed bumps, signage).&lt;br&gt;• Daily truck movement log (62 movements/day).</w:t>
            </w:r>
          </w:p>
        </w:tc>
        <w:tc>
          <w:tcPr>
            <w:tcW w:type="dxa" w:w="2880"/>
          </w:tcPr>
          <w:p>
            <w:r>
              <w:t>Transport &amp; Road Safety</w:t>
            </w:r>
          </w:p>
        </w:tc>
      </w:tr>
      <w:tr>
        <w:tc>
          <w:tcPr>
            <w:tcW w:type="dxa" w:w="2880"/>
          </w:tcPr>
          <w:p>
            <w:r>
              <w:t>Noise</w:t>
            </w:r>
          </w:p>
        </w:tc>
        <w:tc>
          <w:tcPr>
            <w:tcW w:type="dxa" w:w="2880"/>
          </w:tcPr>
          <w:p>
            <w:r>
              <w:t>• Installation of a 4 m earth berm with vegetated buffer along the east perimeter.&lt;br&gt;• Operational hours limited to 08:00‑19:00.&lt;br&gt;• Noise monitoring using calibrated sound level meters at the health centre, academy, and church; results compared against NEMA residential night limit (45 dBA).</w:t>
            </w:r>
          </w:p>
        </w:tc>
        <w:tc>
          <w:tcPr>
            <w:tcW w:type="dxa" w:w="2880"/>
          </w:tcPr>
          <w:p>
            <w:r>
              <w:t>Noise Management</w:t>
            </w:r>
          </w:p>
        </w:tc>
      </w:tr>
      <w:tr>
        <w:tc>
          <w:tcPr>
            <w:tcW w:type="dxa" w:w="2880"/>
          </w:tcPr>
          <w:p>
            <w:r>
              <w:t>Vulnerable Groups</w:t>
            </w:r>
          </w:p>
        </w:tc>
        <w:tc>
          <w:tcPr>
            <w:tcW w:type="dxa" w:w="2880"/>
          </w:tcPr>
          <w:p>
            <w:r>
              <w:t>• Priority transport (minibus) for elderly residents during blasting windows.&lt;br&gt;• Advance notice (24 h) of blasting schedule via SMS and community notice board.</w:t>
            </w:r>
          </w:p>
        </w:tc>
        <w:tc>
          <w:tcPr>
            <w:tcW w:type="dxa" w:w="2880"/>
          </w:tcPr>
          <w:p>
            <w:r>
              <w:t>Social Safeguards</w:t>
            </w:r>
          </w:p>
        </w:tc>
      </w:tr>
    </w:tbl>
    <w:p>
      <w:r/>
      <w:r>
        <w:rPr>
          <w:b/>
        </w:rPr>
        <w:t>Air‑Quality Baseline Context</w:t>
      </w:r>
      <w:r>
        <w:t xml:space="preserve"> – Measured PM2.5 (22 µg/m³) exceeds the WHO 24‑hr guideline of 15 µg/m³, while PM10 (63 µg/m³) is below the Kenyan NEMA limit of 75 µg/m³. The ESMP therefore includes additional dust suppression targets to bring PM2.5 concentrations within the WHO guideline where feasible.</w:t>
      </w:r>
    </w:p>
    <w:p>
      <w:r/>
      <w:r>
        <w:rPr>
          <w:b/>
        </w:rPr>
        <w:t>Noise Baseline Context</w:t>
      </w:r>
      <w:r>
        <w:t xml:space="preserve"> – Ambient noise of 58 dBA already exceeds the NEMA residential night standard of 45 dBA. The ESMP aims to limit incremental increase to ≤5 dBA above baseline during operational hours, acknowledging that the night limit cannot be fully met while the plant operates.</w:t>
      </w:r>
    </w:p>
    <w:p>
      <w:r>
        <w:t xml:space="preserve">All mitigation actions are incorporated into the </w:t>
      </w:r>
      <w:r>
        <w:rPr>
          <w:b/>
        </w:rPr>
        <w:t>Environmental and Social Management Plan (ESMP)</w:t>
      </w:r>
      <w:r>
        <w:t>, with clear responsibilities, timelines, and performance indicators.</w:t>
      </w:r>
    </w:p>
    <w:p>
      <w:r>
        <w:t>## 6.5 Grievance Redress Mechanism (GRM)</w:t>
      </w:r>
    </w:p>
    <w:p>
      <w:r>
        <w:t xml:space="preserve">A </w:t>
      </w:r>
      <w:r>
        <w:rPr>
          <w:b/>
        </w:rPr>
        <w:t>GRM Committee</w:t>
      </w:r>
      <w:r>
        <w:t xml:space="preserve"> has been constituted comprising:</w:t>
      </w:r>
    </w:p>
    <w:p>
      <w:pPr>
        <w:pStyle w:val="ListBullet"/>
      </w:pPr>
      <w:r>
        <w:t>Two elected community representatives (one female, one male)</w:t>
      </w:r>
    </w:p>
    <w:p>
      <w:pPr>
        <w:pStyle w:val="ListBullet"/>
      </w:pPr>
      <w:r>
        <w:t>One senior staff member from Rockline Aggregates (Health &amp; Safety Officer)</w:t>
      </w:r>
    </w:p>
    <w:p>
      <w:pPr>
        <w:pStyle w:val="ListBullet"/>
      </w:pPr>
      <w:r>
        <w:t>One local government liaison officer</w:t>
      </w:r>
    </w:p>
    <w:p>
      <w:r/>
      <w:r>
        <w:rPr>
          <w:b/>
        </w:rPr>
        <w:t>Procedure</w:t>
      </w:r>
      <w:r/>
    </w:p>
    <w:p>
      <w:pPr>
        <w:pStyle w:val="ListNumber"/>
      </w:pPr>
      <w:r/>
      <w:r>
        <w:rPr>
          <w:b/>
        </w:rPr>
        <w:t>Submission</w:t>
      </w:r>
      <w:r>
        <w:t xml:space="preserve"> – Complaints may be lodged in person, by telephone (+254 711 902 384), email (operations@rocklineagg.co.ke), or via a dedicated SMS short code.</w:t>
      </w:r>
    </w:p>
    <w:p>
      <w:pPr>
        <w:pStyle w:val="ListNumber"/>
      </w:pPr>
      <w:r/>
      <w:r>
        <w:rPr>
          <w:b/>
        </w:rPr>
        <w:t>Acknowledgement</w:t>
      </w:r>
      <w:r>
        <w:t xml:space="preserve"> – Within 24 hours of receipt.</w:t>
      </w:r>
    </w:p>
    <w:p>
      <w:pPr>
        <w:pStyle w:val="ListNumber"/>
      </w:pPr>
      <w:r/>
      <w:r>
        <w:rPr>
          <w:b/>
        </w:rPr>
        <w:t>Assessment</w:t>
      </w:r>
      <w:r>
        <w:t xml:space="preserve"> – Initial assessment and classification (information request, minor issue, major issue).</w:t>
      </w:r>
    </w:p>
    <w:p>
      <w:pPr>
        <w:pStyle w:val="ListNumber"/>
      </w:pPr>
      <w:r/>
      <w:r>
        <w:rPr>
          <w:b/>
        </w:rPr>
        <w:t>Resolution</w:t>
      </w:r>
      <w:r>
        <w:t xml:space="preserve"> – Targeted response times: 7 days for minor issues, 30 days for major issues.</w:t>
      </w:r>
    </w:p>
    <w:p>
      <w:pPr>
        <w:pStyle w:val="ListNumber"/>
      </w:pPr>
      <w:r/>
      <w:r>
        <w:rPr>
          <w:b/>
        </w:rPr>
        <w:t>Escalation</w:t>
      </w:r>
      <w:r>
        <w:t xml:space="preserve"> – Unresolved matters escalated to Kiambu County Planning Office and, where applicable, to NEMA.</w:t>
      </w:r>
    </w:p>
    <w:p>
      <w:r>
        <w:t>All grievances and resolutions are recorded in a register and reported quarterly to the County Environmental Management Committee and NEMA as part of the ESMP monitoring report.</w:t>
      </w:r>
    </w:p>
    <w:p>
      <w:r>
        <w:t>## 6.6 Monitoring, Reporting and Adaptive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Monitoring Parameter</w:t>
            </w:r>
          </w:p>
        </w:tc>
        <w:tc>
          <w:tcPr>
            <w:tcW w:type="dxa" w:w="2160"/>
          </w:tcPr>
          <w:p>
            <w:r>
              <w:rPr>
                <w:b/>
              </w:rPr>
              <w:t>Frequency</w:t>
            </w:r>
          </w:p>
        </w:tc>
        <w:tc>
          <w:tcPr>
            <w:tcW w:type="dxa" w:w="2160"/>
          </w:tcPr>
          <w:p>
            <w:r>
              <w:rPr>
                <w:b/>
              </w:rPr>
              <w:t>Methodology</w:t>
            </w:r>
          </w:p>
        </w:tc>
        <w:tc>
          <w:tcPr>
            <w:tcW w:type="dxa" w:w="2160"/>
          </w:tcPr>
          <w:p>
            <w:r>
              <w:rPr>
                <w:b/>
              </w:rPr>
              <w:t>Reporting To</w:t>
            </w:r>
          </w:p>
        </w:tc>
      </w:tr>
      <w:tr>
        <w:tc>
          <w:tcPr>
            <w:tcW w:type="dxa" w:w="2160"/>
          </w:tcPr>
          <w:p>
            <w:r>
              <w:t>Vibration levels</w:t>
            </w:r>
          </w:p>
        </w:tc>
        <w:tc>
          <w:tcPr>
            <w:tcW w:type="dxa" w:w="2160"/>
          </w:tcPr>
          <w:p>
            <w:r>
              <w:t>Per blast (continuous)</w:t>
            </w:r>
          </w:p>
        </w:tc>
        <w:tc>
          <w:tcPr>
            <w:tcW w:type="dxa" w:w="2160"/>
          </w:tcPr>
          <w:p>
            <w:r>
              <w:t>Instantel Minimate Pro seismographs; data uploaded to cloud server</w:t>
            </w:r>
          </w:p>
        </w:tc>
        <w:tc>
          <w:tcPr>
            <w:tcW w:type="dxa" w:w="2160"/>
          </w:tcPr>
          <w:p>
            <w:r>
              <w:t>GRM Committee, County Planning Office</w:t>
            </w:r>
          </w:p>
        </w:tc>
      </w:tr>
      <w:tr>
        <w:tc>
          <w:tcPr>
            <w:tcW w:type="dxa" w:w="2160"/>
          </w:tcPr>
          <w:p>
            <w:r>
              <w:t>Dust (PM2.5 &amp; PM10)</w:t>
            </w:r>
          </w:p>
        </w:tc>
        <w:tc>
          <w:tcPr>
            <w:tcW w:type="dxa" w:w="2160"/>
          </w:tcPr>
          <w:p>
            <w:r>
              <w:t>Daily (continuous)</w:t>
            </w:r>
          </w:p>
        </w:tc>
        <w:tc>
          <w:tcPr>
            <w:tcW w:type="dxa" w:w="2160"/>
          </w:tcPr>
          <w:p>
            <w:r>
              <w:t>Fixed‑point dust monitors at health centre, academy, and site perimeter</w:t>
            </w:r>
          </w:p>
        </w:tc>
        <w:tc>
          <w:tcPr>
            <w:tcW w:type="dxa" w:w="2160"/>
          </w:tcPr>
          <w:p>
            <w:r>
              <w:t>ESMP quarterly report</w:t>
            </w:r>
          </w:p>
        </w:tc>
      </w:tr>
      <w:tr>
        <w:tc>
          <w:tcPr>
            <w:tcW w:type="dxa" w:w="2160"/>
          </w:tcPr>
          <w:p>
            <w:r>
              <w:t>Noise levels</w:t>
            </w:r>
          </w:p>
        </w:tc>
        <w:tc>
          <w:tcPr>
            <w:tcW w:type="dxa" w:w="2160"/>
          </w:tcPr>
          <w:p>
            <w:r>
              <w:t>Weekly (day &amp; night)</w:t>
            </w:r>
          </w:p>
        </w:tc>
        <w:tc>
          <w:tcPr>
            <w:tcW w:type="dxa" w:w="2160"/>
          </w:tcPr>
          <w:p>
            <w:r>
              <w:t>Class‑1 sound level meters at three receptor sites</w:t>
            </w:r>
          </w:p>
        </w:tc>
        <w:tc>
          <w:tcPr>
            <w:tcW w:type="dxa" w:w="2160"/>
          </w:tcPr>
          <w:p>
            <w:r>
              <w:t>ESMP quarterly report</w:t>
            </w:r>
          </w:p>
        </w:tc>
      </w:tr>
      <w:tr>
        <w:tc>
          <w:tcPr>
            <w:tcW w:type="dxa" w:w="2160"/>
          </w:tcPr>
          <w:p>
            <w:r>
              <w:t>Water quality (river)</w:t>
            </w:r>
          </w:p>
        </w:tc>
        <w:tc>
          <w:tcPr>
            <w:tcW w:type="dxa" w:w="2160"/>
          </w:tcPr>
          <w:p>
            <w:r>
              <w:t>Monthly</w:t>
            </w:r>
          </w:p>
        </w:tc>
        <w:tc>
          <w:tcPr>
            <w:tcW w:type="dxa" w:w="2160"/>
          </w:tcPr>
          <w:p>
            <w:r>
              <w:t>Grab samples analysed for turbidity, pH, heavy metals</w:t>
            </w:r>
          </w:p>
        </w:tc>
        <w:tc>
          <w:tcPr>
            <w:tcW w:type="dxa" w:w="2160"/>
          </w:tcPr>
          <w:p>
            <w:r>
              <w:t>County Water Resources Office</w:t>
            </w:r>
          </w:p>
        </w:tc>
      </w:tr>
      <w:tr>
        <w:tc>
          <w:tcPr>
            <w:tcW w:type="dxa" w:w="2160"/>
          </w:tcPr>
          <w:p>
            <w:r>
              <w:t>Traffic counts</w:t>
            </w:r>
          </w:p>
        </w:tc>
        <w:tc>
          <w:tcPr>
            <w:tcW w:type="dxa" w:w="2160"/>
          </w:tcPr>
          <w:p>
            <w:r>
              <w:t>Monthly</w:t>
            </w:r>
          </w:p>
        </w:tc>
        <w:tc>
          <w:tcPr>
            <w:tcW w:type="dxa" w:w="2160"/>
          </w:tcPr>
          <w:p>
            <w:r>
              <w:t>Automated vehicle counters on haul route</w:t>
            </w:r>
          </w:p>
        </w:tc>
        <w:tc>
          <w:tcPr>
            <w:tcW w:type="dxa" w:w="2160"/>
          </w:tcPr>
          <w:p>
            <w:r>
              <w:t>County Transport Department</w:t>
            </w:r>
          </w:p>
        </w:tc>
      </w:tr>
      <w:tr>
        <w:tc>
          <w:tcPr>
            <w:tcW w:type="dxa" w:w="2160"/>
          </w:tcPr>
          <w:p>
            <w:r>
              <w:t>Community satisfaction</w:t>
            </w:r>
          </w:p>
        </w:tc>
        <w:tc>
          <w:tcPr>
            <w:tcW w:type="dxa" w:w="2160"/>
          </w:tcPr>
          <w:p>
            <w:r>
              <w:t>Bi‑annual</w:t>
            </w:r>
          </w:p>
        </w:tc>
        <w:tc>
          <w:tcPr>
            <w:tcW w:type="dxa" w:w="2160"/>
          </w:tcPr>
          <w:p>
            <w:r>
              <w:t>Structured questionnaires administered by GRM Committee</w:t>
            </w:r>
          </w:p>
        </w:tc>
        <w:tc>
          <w:tcPr>
            <w:tcW w:type="dxa" w:w="2160"/>
          </w:tcPr>
          <w:p>
            <w:r>
              <w:t>ESMP annual review</w:t>
            </w:r>
          </w:p>
        </w:tc>
      </w:tr>
    </w:tbl>
    <w:p>
      <w:r>
        <w:t xml:space="preserve">Findings that indicate non‑compliance trigger </w:t>
      </w:r>
      <w:r>
        <w:rPr>
          <w:b/>
        </w:rPr>
        <w:t>adaptive management</w:t>
      </w:r>
      <w:r>
        <w:t xml:space="preserve"> actions, including review of blast designs, enhancement of dust suppression, or modification of traffic routes, in line with NEMA’s “Pollution Prevention and Control” guidelines.</w:t>
      </w:r>
    </w:p>
    <w:p>
      <w:r>
        <w:t>## 6.7 Conclusions</w:t>
      </w:r>
    </w:p>
    <w:p>
      <w:r>
        <w:t>The public participation process for the Kiuu Quarry &amp; Aggregate Processing Facility has been conducted in accordance with Kenyan environmental legislation and international best practice. Stakeholder concerns were documented, and concrete mitigation measures have been integrated into the ESMP. The establishment of a functional GRM and a robust monitoring framework provides assurance that environmental and social impacts will be managed transparently throughout the construction (9 months) and operational (18 years) phases. Ongoing engagement and adaptive management will remain central to maintaining community trust and regulatory compliance.</w:t>
      </w:r>
    </w:p>
    <w:p>
      <w:r>
        <w:br w:type="page"/>
      </w:r>
    </w:p>
    <w:p>
      <w:pPr>
        <w:pStyle w:val="Heading1"/>
      </w:pPr>
      <w:r>
        <w:t>Chapter 7: Anticipated Impacts and Mitigation Measures</w:t>
      </w:r>
    </w:p>
    <w:p>
      <w:r>
        <w:t>[Content generation failed.]</w:t>
      </w:r>
    </w:p>
    <w:p>
      <w:r>
        <w:br w:type="page"/>
      </w:r>
    </w:p>
    <w:p>
      <w:pPr>
        <w:pStyle w:val="Heading1"/>
      </w:pPr>
      <w:r>
        <w:t>Chapter 8: Environmental and Social Management Plan</w:t>
      </w:r>
    </w:p>
    <w:p>
      <w:r>
        <w:t>## 8.1 Institutional Arrangements and Responsibilities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Role</w:t>
            </w:r>
          </w:p>
        </w:tc>
        <w:tc>
          <w:tcPr>
            <w:tcW w:type="dxa" w:w="2160"/>
          </w:tcPr>
          <w:p>
            <w:r>
              <w:rPr>
                <w:b/>
              </w:rPr>
              <w:t>Key Responsibilities</w:t>
            </w:r>
          </w:p>
        </w:tc>
        <w:tc>
          <w:tcPr>
            <w:tcW w:type="dxa" w:w="2160"/>
          </w:tcPr>
          <w:p>
            <w:r>
              <w:rPr>
                <w:b/>
              </w:rPr>
              <w:t>Contact</w:t>
            </w:r>
          </w:p>
        </w:tc>
      </w:tr>
      <w:tr>
        <w:tc>
          <w:tcPr>
            <w:tcW w:type="dxa" w:w="2160"/>
          </w:tcPr>
          <w:p>
            <w:r/>
            <w:r>
              <w:rPr>
                <w:b/>
              </w:rPr>
              <w:t>Rockline Aggregates (K) Ltd. – Project Proponent</w:t>
            </w:r>
            <w:r/>
          </w:p>
        </w:tc>
        <w:tc>
          <w:tcPr>
            <w:tcW w:type="dxa" w:w="2160"/>
          </w:tcPr>
          <w:p>
            <w:r>
              <w:t>Overall ESMP implementation and compliance</w:t>
            </w:r>
          </w:p>
        </w:tc>
        <w:tc>
          <w:tcPr>
            <w:tcW w:type="dxa" w:w="2160"/>
          </w:tcPr>
          <w:p>
            <w:r>
              <w:t>• Ensure all mitigation measures are installed and operated as designed.&lt;br&gt;• Allocate budget and resources for monitoring, training and emergency response.&lt;br&gt;• Submit quarterly and annual ESMP compliance reports to NEMA.&lt;br&gt;• Maintain GRM Committee records.</w:t>
            </w:r>
          </w:p>
        </w:tc>
        <w:tc>
          <w:tcPr>
            <w:tcW w:type="dxa" w:w="2160"/>
          </w:tcPr>
          <w:p>
            <w:r>
              <w:t>Eliud Michura – Lead Expert (EIA/EA/0532)&lt;br&gt;Phone: +254 711 902 384&lt;br&gt;Email: operations@rocklineagg.co.ke</w:t>
            </w:r>
          </w:p>
        </w:tc>
      </w:tr>
      <w:tr>
        <w:tc>
          <w:tcPr>
            <w:tcW w:type="dxa" w:w="2160"/>
          </w:tcPr>
          <w:p>
            <w:r/>
            <w:r>
              <w:rPr>
                <w:b/>
              </w:rPr>
              <w:t>Site Environmental Officer (EEO)</w:t>
            </w:r>
            <w:r/>
          </w:p>
        </w:tc>
        <w:tc>
          <w:tcPr>
            <w:tcW w:type="dxa" w:w="2160"/>
          </w:tcPr>
          <w:p>
            <w:r>
              <w:t>Day‑to‑day ESMP management on‑site</w:t>
            </w:r>
          </w:p>
        </w:tc>
        <w:tc>
          <w:tcPr>
            <w:tcW w:type="dxa" w:w="2160"/>
          </w:tcPr>
          <w:p>
            <w:r>
              <w:t>• Supervise dust, noise, vibration and water quality monitoring.&lt;br&gt;• Coordinate daily truck movements and blasting schedules.&lt;br&gt;• Conduct pre‑blast structural surveys within 500 m.&lt;br&gt;• Maintain logbooks for all mitigation equipment (water bowsers, seismographs, noise barriers).</w:t>
            </w:r>
          </w:p>
        </w:tc>
        <w:tc>
          <w:tcPr>
            <w:tcW w:type="dxa" w:w="2160"/>
          </w:tcPr>
          <w:p>
            <w:r/>
            <w:r>
              <w:rPr>
                <w:b/>
              </w:rPr>
              <w:t>[MISSING: EMPLOYEE NAME]</w:t>
            </w:r>
            <w:r/>
          </w:p>
        </w:tc>
      </w:tr>
      <w:tr>
        <w:tc>
          <w:tcPr>
            <w:tcW w:type="dxa" w:w="2160"/>
          </w:tcPr>
          <w:p>
            <w:r/>
            <w:r>
              <w:rPr>
                <w:b/>
              </w:rPr>
              <w:t>Construction Contractor</w:t>
            </w:r>
            <w:r/>
          </w:p>
        </w:tc>
        <w:tc>
          <w:tcPr>
            <w:tcW w:type="dxa" w:w="2160"/>
          </w:tcPr>
          <w:p>
            <w:r>
              <w:t>Implementation of construction‑phase controls</w:t>
            </w:r>
          </w:p>
        </w:tc>
        <w:tc>
          <w:tcPr>
            <w:tcW w:type="dxa" w:w="2160"/>
          </w:tcPr>
          <w:p>
            <w:r>
              <w:t>• Install sediment traps, erosion control blankets and dust suppression systems.&lt;br&gt;• Follow the approved blasting plan (max 45 kg charge, 2 blasts / week).&lt;br&gt;• Ensure all heavy‑truck routes avoid the Kiuu Trading Centre.</w:t>
            </w:r>
          </w:p>
        </w:tc>
        <w:tc>
          <w:tcPr>
            <w:tcW w:type="dxa" w:w="2160"/>
          </w:tcPr>
          <w:p>
            <w:r/>
            <w:r>
              <w:rPr>
                <w:b/>
              </w:rPr>
              <w:t>[MISSING: CONTRACTOR NAME]</w:t>
            </w:r>
            <w:r/>
          </w:p>
        </w:tc>
      </w:tr>
      <w:tr>
        <w:tc>
          <w:tcPr>
            <w:tcW w:type="dxa" w:w="2160"/>
          </w:tcPr>
          <w:p>
            <w:r/>
            <w:r>
              <w:rPr>
                <w:b/>
              </w:rPr>
              <w:t>Operations Manager</w:t>
            </w:r>
            <w:r/>
          </w:p>
        </w:tc>
        <w:tc>
          <w:tcPr>
            <w:tcW w:type="dxa" w:w="2160"/>
          </w:tcPr>
          <w:p>
            <w:r>
              <w:t>Operation‑phase compliance</w:t>
            </w:r>
          </w:p>
        </w:tc>
        <w:tc>
          <w:tcPr>
            <w:tcW w:type="dxa" w:w="2160"/>
          </w:tcPr>
          <w:p>
            <w:r>
              <w:t>• Oversee plant power supply (290 kW) and standby generator (380 kVA).&lt;br&gt;• Manage water use (34 m³ / day) and recycling where feasible.&lt;br&gt;• Ensure routine maintenance of crushers, screens and dust suppression equipment.</w:t>
            </w:r>
          </w:p>
        </w:tc>
        <w:tc>
          <w:tcPr>
            <w:tcW w:type="dxa" w:w="2160"/>
          </w:tcPr>
          <w:p>
            <w:r/>
            <w:r>
              <w:rPr>
                <w:b/>
              </w:rPr>
              <w:t>[MISSING: EMPLOYEE NAME]</w:t>
            </w:r>
            <w:r/>
          </w:p>
        </w:tc>
      </w:tr>
      <w:tr>
        <w:tc>
          <w:tcPr>
            <w:tcW w:type="dxa" w:w="2160"/>
          </w:tcPr>
          <w:p>
            <w:r/>
            <w:r>
              <w:rPr>
                <w:b/>
              </w:rPr>
              <w:t>GRM Committee</w:t>
            </w:r>
            <w:r>
              <w:t xml:space="preserve"> (Community Representatives, Local Leaders, Proponent)</w:t>
            </w:r>
          </w:p>
        </w:tc>
        <w:tc>
          <w:tcPr>
            <w:tcW w:type="dxa" w:w="2160"/>
          </w:tcPr>
          <w:p>
            <w:r>
              <w:t>Grievance handling and stakeholder liaison</w:t>
            </w:r>
          </w:p>
        </w:tc>
        <w:tc>
          <w:tcPr>
            <w:tcW w:type="dxa" w:w="2160"/>
          </w:tcPr>
          <w:p>
            <w:r>
              <w:t>• Receive, log and resolve complaints within 30 days.&lt;br&gt;• Provide feedback to the EEA and NEMA.&lt;br&gt;• Conduct quarterly community update meetings.</w:t>
            </w:r>
          </w:p>
        </w:tc>
        <w:tc>
          <w:tcPr>
            <w:tcW w:type="dxa" w:w="2160"/>
          </w:tcPr>
          <w:p>
            <w:r>
              <w:t xml:space="preserve">Chair: </w:t>
            </w:r>
            <w:r>
              <w:rPr>
                <w:b/>
              </w:rPr>
              <w:t>[MISSING: COMMUNITY REPRESENTATIVE]</w:t>
            </w:r>
            <w:r/>
          </w:p>
        </w:tc>
      </w:tr>
      <w:tr>
        <w:tc>
          <w:tcPr>
            <w:tcW w:type="dxa" w:w="2160"/>
          </w:tcPr>
          <w:p>
            <w:r/>
            <w:r>
              <w:rPr>
                <w:b/>
              </w:rPr>
              <w:t>NEMA (National Environment Management Authority)</w:t>
            </w:r>
            <w:r/>
          </w:p>
        </w:tc>
        <w:tc>
          <w:tcPr>
            <w:tcW w:type="dxa" w:w="2160"/>
          </w:tcPr>
          <w:p>
            <w:r>
              <w:t>Regulatory oversight</w:t>
            </w:r>
          </w:p>
        </w:tc>
        <w:tc>
          <w:tcPr>
            <w:tcW w:type="dxa" w:w="2160"/>
          </w:tcPr>
          <w:p>
            <w:r>
              <w:t>• Review ESMP implementation reports.&lt;br&gt;• Conduct compliance inspections.&lt;br&gt;• Enforce NEMA guidelines on air, noise, water and vibration.</w:t>
            </w:r>
          </w:p>
        </w:tc>
        <w:tc>
          <w:tcPr>
            <w:tcW w:type="dxa" w:w="2160"/>
          </w:tcPr>
          <w:p>
            <w:r>
              <w:t>–</w:t>
            </w:r>
          </w:p>
        </w:tc>
      </w:tr>
      <w:tr>
        <w:tc>
          <w:tcPr>
            <w:tcW w:type="dxa" w:w="2160"/>
          </w:tcPr>
          <w:p>
            <w:r/>
            <w:r>
              <w:rPr>
                <w:b/>
              </w:rPr>
              <w:t>Independent Monitoring Agency (optional)</w:t>
            </w:r>
            <w:r/>
          </w:p>
        </w:tc>
        <w:tc>
          <w:tcPr>
            <w:tcW w:type="dxa" w:w="2160"/>
          </w:tcPr>
          <w:p>
            <w:r>
              <w:t>Third‑party verification (recommended)</w:t>
            </w:r>
          </w:p>
        </w:tc>
        <w:tc>
          <w:tcPr>
            <w:tcW w:type="dxa" w:w="2160"/>
          </w:tcPr>
          <w:p>
            <w:r>
              <w:t>• Audit monitoring data annually.&lt;br&gt;• Provide an independent compliance statement to NEMA.</w:t>
            </w:r>
          </w:p>
        </w:tc>
        <w:tc>
          <w:tcPr>
            <w:tcW w:type="dxa" w:w="2160"/>
          </w:tcPr>
          <w:p>
            <w:r>
              <w:t>–</w:t>
            </w:r>
          </w:p>
        </w:tc>
      </w:tr>
    </w:tbl>
    <w:p>
      <w:r>
        <w:t>---</w:t>
      </w:r>
    </w:p>
    <w:p>
      <w:r>
        <w:t>## 8.2 Environmental and Social Management Measures</w:t>
      </w:r>
    </w:p>
    <w:p>
      <w:r>
        <w:t>### 8.2.1 Air Quality &amp; Dust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Mitigation Measure</w:t>
            </w:r>
          </w:p>
        </w:tc>
        <w:tc>
          <w:tcPr>
            <w:tcW w:type="dxa" w:w="2160"/>
          </w:tcPr>
          <w:p>
            <w:r>
              <w:rPr>
                <w:b/>
              </w:rPr>
              <w:t>Implementation Detail</w:t>
            </w:r>
          </w:p>
        </w:tc>
        <w:tc>
          <w:tcPr>
            <w:tcW w:type="dxa" w:w="2160"/>
          </w:tcPr>
          <w:p>
            <w:r>
              <w:rPr>
                <w:b/>
              </w:rPr>
              <w:t>Monitoring</w:t>
            </w:r>
          </w:p>
        </w:tc>
      </w:tr>
      <w:tr>
        <w:tc>
          <w:tcPr>
            <w:tcW w:type="dxa" w:w="2160"/>
          </w:tcPr>
          <w:p>
            <w:r>
              <w:t>Fugitive dust from crushing, screening and truck haulage</w:t>
            </w:r>
          </w:p>
        </w:tc>
        <w:tc>
          <w:tcPr>
            <w:tcW w:type="dxa" w:w="2160"/>
          </w:tcPr>
          <w:p>
            <w:r>
              <w:t>• Fixed water spray system on crusher (10 000 L bowser, continuous operation).&lt;br&gt;• Mobile water bowsers for wheel‑wash stations (2 units, 10 000 L each).&lt;br&gt;• Enclosed conveyor belts where feasible.&lt;br&gt;• Perimeter vegetative buffer (4 m earth berm + native trees) on east side.</w:t>
            </w:r>
          </w:p>
        </w:tc>
        <w:tc>
          <w:tcPr>
            <w:tcW w:type="dxa" w:w="2160"/>
          </w:tcPr>
          <w:p>
            <w:r>
              <w:t>• Sprinklers activated during operation and at least 15 min before each blast.&lt;br&gt;• Wheel‑wash water recycled where possible (max 80 % reuse).</w:t>
            </w:r>
          </w:p>
        </w:tc>
        <w:tc>
          <w:tcPr>
            <w:tcW w:type="dxa" w:w="2160"/>
          </w:tcPr>
          <w:p>
            <w:r>
              <w:t>• PM2.5 and PM10 measured at three fixed stations (upwind, on‑site, downwind) using calibrated optical particle counters.&lt;br&gt;• Frequency: weekly during construction, monthly during operation.&lt;br&gt;• Target: PM2.5 ≤ 15 µg/m³ (WHO 24‑hr guideline); PM10 ≤ 75 µg/m³ (NEMA limit).</w:t>
            </w:r>
          </w:p>
        </w:tc>
      </w:tr>
      <w:tr>
        <w:tc>
          <w:tcPr>
            <w:tcW w:type="dxa" w:w="2160"/>
          </w:tcPr>
          <w:p>
            <w:r/>
            <w:r>
              <w:rPr>
                <w:b/>
              </w:rPr>
              <w:t>Baseline</w:t>
            </w:r>
            <w:r>
              <w:t>: PM2.5 = 22 µg/m³ (exceeds WHO 15 µg/m³); PM10 = 63 µg/m³ (within NEMA limit).</w:t>
            </w:r>
          </w:p>
        </w:tc>
        <w:tc>
          <w:tcPr>
            <w:tcW w:type="dxa" w:w="2160"/>
          </w:tcPr>
          <w:p>
            <w:r/>
          </w:p>
        </w:tc>
        <w:tc>
          <w:tcPr>
            <w:tcW w:type="dxa" w:w="2160"/>
          </w:tcPr>
          <w:p>
            <w:r/>
          </w:p>
        </w:tc>
        <w:tc>
          <w:tcPr>
            <w:tcW w:type="dxa" w:w="2160"/>
          </w:tcPr>
          <w:p>
            <w:r/>
          </w:p>
        </w:tc>
      </w:tr>
    </w:tbl>
    <w:p>
      <w:r>
        <w:t>### 8.2.2 Noise &amp; Vibration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Mitigation Measure</w:t>
            </w:r>
          </w:p>
        </w:tc>
        <w:tc>
          <w:tcPr>
            <w:tcW w:type="dxa" w:w="2160"/>
          </w:tcPr>
          <w:p>
            <w:r>
              <w:rPr>
                <w:b/>
              </w:rPr>
              <w:t>Implementation Detail</w:t>
            </w:r>
          </w:p>
        </w:tc>
        <w:tc>
          <w:tcPr>
            <w:tcW w:type="dxa" w:w="2160"/>
          </w:tcPr>
          <w:p>
            <w:r>
              <w:rPr>
                <w:b/>
              </w:rPr>
              <w:t>Monitoring</w:t>
            </w:r>
          </w:p>
        </w:tc>
      </w:tr>
      <w:tr>
        <w:tc>
          <w:tcPr>
            <w:tcW w:type="dxa" w:w="2160"/>
          </w:tcPr>
          <w:p>
            <w:r>
              <w:t>Operational noise from crushers, screens and haul trucks</w:t>
            </w:r>
          </w:p>
        </w:tc>
        <w:tc>
          <w:tcPr>
            <w:tcW w:type="dxa" w:w="2160"/>
          </w:tcPr>
          <w:p>
            <w:r>
              <w:t>• 4 m earth berm + vegetated buffer along east perimeter.&lt;br&gt;• Equipment fitted with acoustic enclosures and mufflers.&lt;br&gt;• Operational hours limited to 08:00‑17:00.</w:t>
            </w:r>
          </w:p>
        </w:tc>
        <w:tc>
          <w:tcPr>
            <w:tcW w:type="dxa" w:w="2160"/>
          </w:tcPr>
          <w:p>
            <w:r>
              <w:t>• Berm constructed to ≥ 70 % compacted earth density.&lt;br&gt;• Noise barriers inspected monthly for integrity.</w:t>
            </w:r>
          </w:p>
        </w:tc>
        <w:tc>
          <w:tcPr>
            <w:tcW w:type="dxa" w:w="2160"/>
          </w:tcPr>
          <w:p>
            <w:r>
              <w:t>• Continuous noise logging (Class 1 sound level meter) at Ndarugo Health Centre (740 m) and Gatundu South Academy (410 m).&lt;br&gt;• Frequency: weekly during construction, monthly during operation.&lt;br&gt;• Target: ≤ 58 dBA (baseline) and ≤ 45 dBA for residential night (NEMA).</w:t>
            </w:r>
          </w:p>
        </w:tc>
      </w:tr>
      <w:tr>
        <w:tc>
          <w:tcPr>
            <w:tcW w:type="dxa" w:w="2160"/>
          </w:tcPr>
          <w:p>
            <w:r/>
            <w:r>
              <w:rPr>
                <w:b/>
              </w:rPr>
              <w:t>Baseline</w:t>
            </w:r>
            <w:r>
              <w:t>: 58 dBA (exceeds NEMA residential night limit of 45 dBA).</w:t>
            </w:r>
          </w:p>
        </w:tc>
        <w:tc>
          <w:tcPr>
            <w:tcW w:type="dxa" w:w="2160"/>
          </w:tcPr>
          <w:p>
            <w:r/>
          </w:p>
        </w:tc>
        <w:tc>
          <w:tcPr>
            <w:tcW w:type="dxa" w:w="2160"/>
          </w:tcPr>
          <w:p>
            <w:r/>
          </w:p>
        </w:tc>
        <w:tc>
          <w:tcPr>
            <w:tcW w:type="dxa" w:w="2160"/>
          </w:tcPr>
          <w:p>
            <w:r/>
          </w:p>
        </w:tc>
      </w:tr>
      <w:tr>
        <w:tc>
          <w:tcPr>
            <w:tcW w:type="dxa" w:w="2160"/>
          </w:tcPr>
          <w:p>
            <w:r>
              <w:t>Ground vibration from blasting</w:t>
            </w:r>
          </w:p>
        </w:tc>
        <w:tc>
          <w:tcPr>
            <w:tcW w:type="dxa" w:w="2160"/>
          </w:tcPr>
          <w:p>
            <w:r>
              <w:t>• Pre‑blast structural surveys of all dwellings within 500 m.&lt;br&gt;• Blast design limited to 45 kg ANFO per delay, 2 blasts / week.&lt;br&gt;• Use of electronic detonators to control charge timing.&lt;br&gt;• Vibration monitoring with three Instantel Minimate Pro seismographs placed at 200 m, 400 m and 600 m from blast centre.</w:t>
            </w:r>
          </w:p>
        </w:tc>
        <w:tc>
          <w:tcPr>
            <w:tcW w:type="dxa" w:w="2160"/>
          </w:tcPr>
          <w:p>
            <w:r>
              <w:t>• Vibration thresholds: Peak Particle Velocity (PPV) ≤ 5 mm/s (KS 2003).&lt;br&gt;• Immediate post‑blast assessment; if PPV exceeds threshold, blast parameters revised.</w:t>
            </w:r>
          </w:p>
        </w:tc>
        <w:tc>
          <w:tcPr>
            <w:tcW w:type="dxa" w:w="2160"/>
          </w:tcPr>
          <w:p>
            <w:r>
              <w:t>• Real‑time PPV recording; data uploaded to central server.&lt;br&gt;• Frequency: per blast (recorded for each event).&lt;br&gt;• Reporting: weekly summary to EEO.</w:t>
            </w:r>
          </w:p>
        </w:tc>
      </w:tr>
    </w:tbl>
    <w:p>
      <w:r>
        <w:t>### 8.2.3 Water Resources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Mitigation Measure</w:t>
            </w:r>
          </w:p>
        </w:tc>
        <w:tc>
          <w:tcPr>
            <w:tcW w:type="dxa" w:w="2160"/>
          </w:tcPr>
          <w:p>
            <w:r>
              <w:rPr>
                <w:b/>
              </w:rPr>
              <w:t>Implementation Detail</w:t>
            </w:r>
          </w:p>
        </w:tc>
        <w:tc>
          <w:tcPr>
            <w:tcW w:type="dxa" w:w="2160"/>
          </w:tcPr>
          <w:p>
            <w:r>
              <w:rPr>
                <w:b/>
              </w:rPr>
              <w:t>Monitoring</w:t>
            </w:r>
          </w:p>
        </w:tc>
      </w:tr>
      <w:tr>
        <w:tc>
          <w:tcPr>
            <w:tcW w:type="dxa" w:w="2160"/>
          </w:tcPr>
          <w:p>
            <w:r>
              <w:t>Surface runoff and sediment load to Ndarugo River (95 m)</w:t>
            </w:r>
          </w:p>
        </w:tc>
        <w:tc>
          <w:tcPr>
            <w:tcW w:type="dxa" w:w="2160"/>
          </w:tcPr>
          <w:p>
            <w:r>
              <w:t>• 30 m no‑disturbance buffer zone along riverbank.&lt;br&gt;• Sediment traps and silt fences at all drainage points.&lt;br&gt;• Storm‑water collection pits with oil‑water separators for truck wash water.</w:t>
            </w:r>
          </w:p>
        </w:tc>
        <w:tc>
          <w:tcPr>
            <w:tcW w:type="dxa" w:w="2160"/>
          </w:tcPr>
          <w:p>
            <w:r>
              <w:t>• Buffer zone maintained free of excavation and storage.&lt;br&gt;• Traps cleaned monthly; overflow directed to designated discharge points.</w:t>
            </w:r>
          </w:p>
        </w:tc>
        <w:tc>
          <w:tcPr>
            <w:tcW w:type="dxa" w:w="2160"/>
          </w:tcPr>
          <w:p>
            <w:r>
              <w:t>• Turbidity (NTU) and total suspended solids (TSS) sampled at upstream (control) and downstream points.&lt;br&gt;• Frequency: monthly.&lt;br&gt;• Compliance: ≤ 10 NTU (Water Act 2016 guideline for surface water).</w:t>
            </w:r>
          </w:p>
        </w:tc>
      </w:tr>
      <w:tr>
        <w:tc>
          <w:tcPr>
            <w:tcW w:type="dxa" w:w="2160"/>
          </w:tcPr>
          <w:p>
            <w:r>
              <w:t>Groundwater abstraction (Rockline Staff Borehole, 20 m on‑site)</w:t>
            </w:r>
          </w:p>
        </w:tc>
        <w:tc>
          <w:tcPr>
            <w:tcW w:type="dxa" w:w="2160"/>
          </w:tcPr>
          <w:p>
            <w:r>
              <w:t xml:space="preserve">• Daily abstraction logged; total ≤ 34 m³ / day (water used for dust suppression &amp; wheel wash).&lt;br&gt;• No‑net‑abstraction claim </w:t>
            </w:r>
            <w:r>
              <w:rPr>
                <w:b/>
              </w:rPr>
              <w:t>NOT</w:t>
            </w:r>
            <w:r>
              <w:t xml:space="preserve"> made; water reuse target ≥ 80 % via recycling system.</w:t>
            </w:r>
          </w:p>
        </w:tc>
        <w:tc>
          <w:tcPr>
            <w:tcW w:type="dxa" w:w="2160"/>
          </w:tcPr>
          <w:p>
            <w:r>
              <w:t>• Borehole water quality tested for nitrate, pH and total dissolved solids (TDS).</w:t>
            </w:r>
          </w:p>
        </w:tc>
        <w:tc>
          <w:tcPr>
            <w:tcW w:type="dxa" w:w="2160"/>
          </w:tcPr>
          <w:p>
            <w:r>
              <w:t>• Quarterly water quality testing; monthly abstraction log review.</w:t>
            </w:r>
          </w:p>
        </w:tc>
      </w:tr>
    </w:tbl>
    <w:p>
      <w:r>
        <w:t>### 8.2.4 Soil &amp; Erosion</w:t>
      </w:r>
    </w:p>
    <w:p>
      <w:pPr>
        <w:pStyle w:val="ListBullet"/>
      </w:pPr>
      <w:r>
        <w:t>Apply hydro‑seeding on disturbed areas after each phase of excavation.</w:t>
      </w:r>
    </w:p>
    <w:p>
      <w:pPr>
        <w:pStyle w:val="ListBullet"/>
      </w:pPr>
      <w:r>
        <w:t>Use geotextile mats on slopes &gt; 15 % to prevent slippage.</w:t>
      </w:r>
    </w:p>
    <w:p>
      <w:pPr>
        <w:pStyle w:val="ListBullet"/>
      </w:pPr>
      <w:r>
        <w:t>Conduct post‑construction land‑reclamation to restore rocky scrubland.</w:t>
      </w:r>
    </w:p>
    <w:p>
      <w:r>
        <w:t>### 8.2.5 Waste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Waste Type</w:t>
            </w:r>
          </w:p>
        </w:tc>
        <w:tc>
          <w:tcPr>
            <w:tcW w:type="dxa" w:w="4320"/>
          </w:tcPr>
          <w:p>
            <w:r>
              <w:rPr>
                <w:b/>
              </w:rPr>
              <w:t>Handling Procedure</w:t>
            </w:r>
          </w:p>
        </w:tc>
      </w:tr>
      <w:tr>
        <w:tc>
          <w:tcPr>
            <w:tcW w:type="dxa" w:w="4320"/>
          </w:tcPr>
          <w:p>
            <w:r/>
            <w:r>
              <w:rPr>
                <w:b/>
              </w:rPr>
              <w:t>Construction waste</w:t>
            </w:r>
            <w:r>
              <w:t xml:space="preserve"> (concrete, steel, wood)</w:t>
            </w:r>
          </w:p>
        </w:tc>
        <w:tc>
          <w:tcPr>
            <w:tcW w:type="dxa" w:w="4320"/>
          </w:tcPr>
          <w:p>
            <w:r>
              <w:t>Segregated on‑site; reusable materials sent to licensed recyclers; non‑recyclables disposed at approved landfill.</w:t>
            </w:r>
          </w:p>
        </w:tc>
      </w:tr>
      <w:tr>
        <w:tc>
          <w:tcPr>
            <w:tcW w:type="dxa" w:w="4320"/>
          </w:tcPr>
          <w:p>
            <w:r/>
            <w:r>
              <w:rPr>
                <w:b/>
              </w:rPr>
              <w:t>Operational waste</w:t>
            </w:r>
            <w:r>
              <w:t xml:space="preserve"> (spent ANFO, oil, lubricants)</w:t>
            </w:r>
          </w:p>
        </w:tc>
        <w:tc>
          <w:tcPr>
            <w:tcW w:type="dxa" w:w="4320"/>
          </w:tcPr>
          <w:p>
            <w:r>
              <w:t xml:space="preserve">ANFO stored in sealed, labelled bulk containers; handled by licensed explosives contractor.&lt;br&gt;Oil &amp; lubricants collected in secondary containment drums; recycled or disposed per </w:t>
            </w:r>
            <w:r>
              <w:rPr>
                <w:b/>
              </w:rPr>
              <w:t>Environmental Management and Coordination Act (EMCA) 1999</w:t>
            </w:r>
            <w:r>
              <w:t>.</w:t>
            </w:r>
          </w:p>
        </w:tc>
      </w:tr>
      <w:tr>
        <w:tc>
          <w:tcPr>
            <w:tcW w:type="dxa" w:w="4320"/>
          </w:tcPr>
          <w:p>
            <w:r/>
            <w:r>
              <w:rPr>
                <w:b/>
              </w:rPr>
              <w:t>General solid waste</w:t>
            </w:r>
            <w:r>
              <w:t xml:space="preserve"> (office, cafeteria)</w:t>
            </w:r>
          </w:p>
        </w:tc>
        <w:tc>
          <w:tcPr>
            <w:tcW w:type="dxa" w:w="4320"/>
          </w:tcPr>
          <w:p>
            <w:r>
              <w:t>Segregated into recyclables, organics and landfill; weekly collection by licensed waste service provider.</w:t>
            </w:r>
          </w:p>
        </w:tc>
      </w:tr>
    </w:tbl>
    <w:p>
      <w:r>
        <w:t>### 8.2.6 Traffic Management</w:t>
      </w:r>
    </w:p>
    <w:p>
      <w:pPr>
        <w:pStyle w:val="ListBullet"/>
      </w:pPr>
      <w:r>
        <w:t>Designated haul road bypassing Kiuu Trading Centre (minimum 15 m wide, paved).</w:t>
      </w:r>
    </w:p>
    <w:p>
      <w:pPr>
        <w:pStyle w:val="ListBullet"/>
      </w:pPr>
      <w:r>
        <w:t>Truck movements limited to 08:00‑17:00; no night haulage.</w:t>
      </w:r>
    </w:p>
    <w:p>
      <w:pPr>
        <w:pStyle w:val="ListBullet"/>
      </w:pPr>
      <w:r>
        <w:t>Speed limit 30 km/h on site roads; signage and flaggers at intersections.</w:t>
      </w:r>
    </w:p>
    <w:p>
      <w:pPr>
        <w:pStyle w:val="ListBullet"/>
      </w:pPr>
      <w:r>
        <w:t>Daily traffic count logs maintained by site supervisor.</w:t>
      </w:r>
    </w:p>
    <w:p>
      <w:r>
        <w:t>### 8.2.7 Biodiversity &amp; Habitat</w:t>
      </w:r>
    </w:p>
    <w:p>
      <w:pPr>
        <w:pStyle w:val="ListBullet"/>
      </w:pPr>
      <w:r>
        <w:t>Preserve the Kieni Forest Buffer Zone (970 m west) by maintaining a 50 m undisturbed corridor.</w:t>
      </w:r>
    </w:p>
    <w:p>
      <w:pPr>
        <w:pStyle w:val="ListBullet"/>
      </w:pPr>
      <w:r>
        <w:t>No clearing of native vegetation within the buffer.</w:t>
      </w:r>
    </w:p>
    <w:p>
      <w:pPr>
        <w:pStyle w:val="ListBullet"/>
      </w:pPr>
      <w:r>
        <w:t>Conduct annual flora/fauna surveys to detect any adverse impacts.</w:t>
      </w:r>
    </w:p>
    <w:p>
      <w:r>
        <w:t>### 8.2.8 Community Health &amp; Safety</w:t>
      </w:r>
    </w:p>
    <w:p>
      <w:pPr>
        <w:pStyle w:val="ListBullet"/>
      </w:pPr>
      <w:r>
        <w:t>Provide priority transport for elderly residents during blasting windows (as identified in stakeholder engagement).</w:t>
      </w:r>
    </w:p>
    <w:p>
      <w:pPr>
        <w:pStyle w:val="ListBullet"/>
      </w:pPr>
      <w:r>
        <w:t>Install first‑aid stations and fire‑extinguishers at the plant perimeter.</w:t>
      </w:r>
    </w:p>
    <w:p>
      <w:pPr>
        <w:pStyle w:val="ListBullet"/>
      </w:pPr>
      <w:r>
        <w:t>Conduct quarterly health awareness sessions on dust‑related respiratory risks.</w:t>
      </w:r>
    </w:p>
    <w:p>
      <w:r>
        <w:t>### 8.2.9 Cultural Heritage</w:t>
      </w:r>
    </w:p>
    <w:p>
      <w:pPr>
        <w:pStyle w:val="ListBullet"/>
      </w:pPr>
      <w:r>
        <w:t>Pre‑construction desk‑based heritage audit (no known sites within 1 km).</w:t>
      </w:r>
    </w:p>
    <w:p>
      <w:pPr>
        <w:pStyle w:val="ListBullet"/>
      </w:pPr>
      <w:r>
        <w:t xml:space="preserve">If any artefacts are uncovered, work will stop and the </w:t>
      </w:r>
      <w:r>
        <w:rPr>
          <w:b/>
        </w:rPr>
        <w:t>National Museums of Kenya</w:t>
      </w:r>
      <w:r>
        <w:t xml:space="preserve"> will be notified immediately.</w:t>
      </w:r>
    </w:p>
    <w:p>
      <w:r>
        <w:t>---</w:t>
      </w:r>
    </w:p>
    <w:p>
      <w:r>
        <w:t>## 8.3 Monitoring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Monitoring Method</w:t>
            </w:r>
          </w:p>
        </w:tc>
        <w:tc>
          <w:tcPr>
            <w:tcW w:type="dxa" w:w="1728"/>
          </w:tcPr>
          <w:p>
            <w:r>
              <w:rPr>
                <w:b/>
              </w:rPr>
              <w:t>Frequency</w:t>
            </w:r>
          </w:p>
        </w:tc>
        <w:tc>
          <w:tcPr>
            <w:tcW w:type="dxa" w:w="1728"/>
          </w:tcPr>
          <w:p>
            <w:r>
              <w:rPr>
                <w:b/>
              </w:rPr>
              <w:t>Acceptance Criteria</w:t>
            </w:r>
          </w:p>
        </w:tc>
        <w:tc>
          <w:tcPr>
            <w:tcW w:type="dxa" w:w="1728"/>
          </w:tcPr>
          <w:p>
            <w:r>
              <w:rPr>
                <w:b/>
              </w:rPr>
              <w:t>Reporting</w:t>
            </w:r>
          </w:p>
        </w:tc>
      </w:tr>
      <w:tr>
        <w:tc>
          <w:tcPr>
            <w:tcW w:type="dxa" w:w="1728"/>
          </w:tcPr>
          <w:p>
            <w:r/>
            <w:r>
              <w:rPr>
                <w:b/>
              </w:rPr>
              <w:t>Air – PM2.5 &amp; PM10</w:t>
            </w:r>
            <w:r/>
          </w:p>
        </w:tc>
        <w:tc>
          <w:tcPr>
            <w:tcW w:type="dxa" w:w="1728"/>
          </w:tcPr>
          <w:p>
            <w:r>
              <w:t>Optical particle counters ( calibrated)</w:t>
            </w:r>
          </w:p>
        </w:tc>
        <w:tc>
          <w:tcPr>
            <w:tcW w:type="dxa" w:w="1728"/>
          </w:tcPr>
          <w:p>
            <w:r>
              <w:t>Weekly (construction) / Monthly (operation)</w:t>
            </w:r>
          </w:p>
        </w:tc>
        <w:tc>
          <w:tcPr>
            <w:tcW w:type="dxa" w:w="1728"/>
          </w:tcPr>
          <w:p>
            <w:r>
              <w:t>PM2.5 ≤ 15 µg/m³ (WHO); PM10 ≤ 75 µg/m³ (NEMA)</w:t>
            </w:r>
          </w:p>
        </w:tc>
        <w:tc>
          <w:tcPr>
            <w:tcW w:type="dxa" w:w="1728"/>
          </w:tcPr>
          <w:p>
            <w:r>
              <w:t>Monthly monitoring report to NEMA</w:t>
            </w:r>
          </w:p>
        </w:tc>
      </w:tr>
      <w:tr>
        <w:tc>
          <w:tcPr>
            <w:tcW w:type="dxa" w:w="1728"/>
          </w:tcPr>
          <w:p>
            <w:r/>
            <w:r>
              <w:rPr>
                <w:b/>
              </w:rPr>
              <w:t>Noise (dBA)</w:t>
            </w:r>
            <w:r/>
          </w:p>
        </w:tc>
        <w:tc>
          <w:tcPr>
            <w:tcW w:type="dxa" w:w="1728"/>
          </w:tcPr>
          <w:p>
            <w:r>
              <w:t>Class 1 sound level meter (A‑weighting)</w:t>
            </w:r>
          </w:p>
        </w:tc>
        <w:tc>
          <w:tcPr>
            <w:tcW w:type="dxa" w:w="1728"/>
          </w:tcPr>
          <w:p>
            <w:r>
              <w:t>Weekly (construction) / Monthly (operation)</w:t>
            </w:r>
          </w:p>
        </w:tc>
        <w:tc>
          <w:tcPr>
            <w:tcW w:type="dxa" w:w="1728"/>
          </w:tcPr>
          <w:p>
            <w:r>
              <w:t>≤ 58 dBA (baseline) and ≤ 45 dBA (night residential)</w:t>
            </w:r>
          </w:p>
        </w:tc>
        <w:tc>
          <w:tcPr>
            <w:tcW w:type="dxa" w:w="1728"/>
          </w:tcPr>
          <w:p>
            <w:r>
              <w:t>Included in monthly ESMP report</w:t>
            </w:r>
          </w:p>
        </w:tc>
      </w:tr>
      <w:tr>
        <w:tc>
          <w:tcPr>
            <w:tcW w:type="dxa" w:w="1728"/>
          </w:tcPr>
          <w:p>
            <w:r/>
            <w:r>
              <w:rPr>
                <w:b/>
              </w:rPr>
              <w:t>Ground Vibration (PPV)</w:t>
            </w:r>
            <w:r/>
          </w:p>
        </w:tc>
        <w:tc>
          <w:tcPr>
            <w:tcW w:type="dxa" w:w="1728"/>
          </w:tcPr>
          <w:p>
            <w:r>
              <w:t>Instantel Minimate Pro seismographs</w:t>
            </w:r>
          </w:p>
        </w:tc>
        <w:tc>
          <w:tcPr>
            <w:tcW w:type="dxa" w:w="1728"/>
          </w:tcPr>
          <w:p>
            <w:r>
              <w:t>Per blast (real‑time)</w:t>
            </w:r>
          </w:p>
        </w:tc>
        <w:tc>
          <w:tcPr>
            <w:tcW w:type="dxa" w:w="1728"/>
          </w:tcPr>
          <w:p>
            <w:r>
              <w:t>PPV ≤ 5 mm/s (KS 2003)</w:t>
            </w:r>
          </w:p>
        </w:tc>
        <w:tc>
          <w:tcPr>
            <w:tcW w:type="dxa" w:w="1728"/>
          </w:tcPr>
          <w:p>
            <w:r>
              <w:t>Weekly blast performance summary</w:t>
            </w:r>
          </w:p>
        </w:tc>
      </w:tr>
      <w:tr>
        <w:tc>
          <w:tcPr>
            <w:tcW w:type="dxa" w:w="1728"/>
          </w:tcPr>
          <w:p>
            <w:r/>
            <w:r>
              <w:rPr>
                <w:b/>
              </w:rPr>
              <w:t>Water – Turbidity &amp; TSS</w:t>
            </w:r>
            <w:r/>
          </w:p>
        </w:tc>
        <w:tc>
          <w:tcPr>
            <w:tcW w:type="dxa" w:w="1728"/>
          </w:tcPr>
          <w:p>
            <w:r>
              <w:t>Portable turbidity meter &amp; gravimetric TSS analysis</w:t>
            </w:r>
          </w:p>
        </w:tc>
        <w:tc>
          <w:tcPr>
            <w:tcW w:type="dxa" w:w="1728"/>
          </w:tcPr>
          <w:p>
            <w:r>
              <w:t>Monthly</w:t>
            </w:r>
          </w:p>
        </w:tc>
        <w:tc>
          <w:tcPr>
            <w:tcW w:type="dxa" w:w="1728"/>
          </w:tcPr>
          <w:p>
            <w:r>
              <w:t>≤ 10 NTU (Water Act 2016)</w:t>
            </w:r>
          </w:p>
        </w:tc>
        <w:tc>
          <w:tcPr>
            <w:tcW w:type="dxa" w:w="1728"/>
          </w:tcPr>
          <w:p>
            <w:r>
              <w:t>Quarterly water quality report</w:t>
            </w:r>
          </w:p>
        </w:tc>
      </w:tr>
      <w:tr>
        <w:tc>
          <w:tcPr>
            <w:tcW w:type="dxa" w:w="1728"/>
          </w:tcPr>
          <w:p>
            <w:r/>
            <w:r>
              <w:rPr>
                <w:b/>
              </w:rPr>
              <w:t>Groundwater Quality</w:t>
            </w:r>
            <w:r/>
          </w:p>
        </w:tc>
        <w:tc>
          <w:tcPr>
            <w:tcW w:type="dxa" w:w="1728"/>
          </w:tcPr>
          <w:p>
            <w:r>
              <w:t>Borehole sampling (pH, nitrate, TDS)</w:t>
            </w:r>
          </w:p>
        </w:tc>
        <w:tc>
          <w:tcPr>
            <w:tcW w:type="dxa" w:w="1728"/>
          </w:tcPr>
          <w:p>
            <w:r>
              <w:t>Quarterly</w:t>
            </w:r>
          </w:p>
        </w:tc>
        <w:tc>
          <w:tcPr>
            <w:tcW w:type="dxa" w:w="1728"/>
          </w:tcPr>
          <w:p>
            <w:r>
              <w:t>Within Kenyan drinking‑water standards (KEBS)</w:t>
            </w:r>
          </w:p>
        </w:tc>
        <w:tc>
          <w:tcPr>
            <w:tcW w:type="dxa" w:w="1728"/>
          </w:tcPr>
          <w:p>
            <w:r>
              <w:t>Annual water quality statement</w:t>
            </w:r>
          </w:p>
        </w:tc>
      </w:tr>
      <w:tr>
        <w:tc>
          <w:tcPr>
            <w:tcW w:type="dxa" w:w="1728"/>
          </w:tcPr>
          <w:p>
            <w:r/>
            <w:r>
              <w:rPr>
                <w:b/>
              </w:rPr>
              <w:t>Sediment Trap Performance</w:t>
            </w:r>
            <w:r/>
          </w:p>
        </w:tc>
        <w:tc>
          <w:tcPr>
            <w:tcW w:type="dxa" w:w="1728"/>
          </w:tcPr>
          <w:p>
            <w:r>
              <w:t>Visual inspection &amp; volume measurement</w:t>
            </w:r>
          </w:p>
        </w:tc>
        <w:tc>
          <w:tcPr>
            <w:tcW w:type="dxa" w:w="1728"/>
          </w:tcPr>
          <w:p>
            <w:r>
              <w:t>Monthly</w:t>
            </w:r>
          </w:p>
        </w:tc>
        <w:tc>
          <w:tcPr>
            <w:tcW w:type="dxa" w:w="1728"/>
          </w:tcPr>
          <w:p>
            <w:r>
              <w:t>No overflow; trap capacity ≥ 80 % of runoff volume</w:t>
            </w:r>
          </w:p>
        </w:tc>
        <w:tc>
          <w:tcPr>
            <w:tcW w:type="dxa" w:w="1728"/>
          </w:tcPr>
          <w:p>
            <w:r>
              <w:t>Maintenance log</w:t>
            </w:r>
          </w:p>
        </w:tc>
      </w:tr>
      <w:tr>
        <w:tc>
          <w:tcPr>
            <w:tcW w:type="dxa" w:w="1728"/>
          </w:tcPr>
          <w:p>
            <w:r/>
            <w:r>
              <w:rPr>
                <w:b/>
              </w:rPr>
              <w:t>Traffic Volume &amp; Speed</w:t>
            </w:r>
            <w:r/>
          </w:p>
        </w:tc>
        <w:tc>
          <w:tcPr>
            <w:tcW w:type="dxa" w:w="1728"/>
          </w:tcPr>
          <w:p>
            <w:r>
              <w:t>Manual count &amp; speed radar</w:t>
            </w:r>
          </w:p>
        </w:tc>
        <w:tc>
          <w:tcPr>
            <w:tcW w:type="dxa" w:w="1728"/>
          </w:tcPr>
          <w:p>
            <w:r>
              <w:t>Daily log; summary monthly</w:t>
            </w:r>
          </w:p>
        </w:tc>
        <w:tc>
          <w:tcPr>
            <w:tcW w:type="dxa" w:w="1728"/>
          </w:tcPr>
          <w:p>
            <w:r>
              <w:t>No trucks &gt; 30 km/h; ≤ 62 movements / day</w:t>
            </w:r>
          </w:p>
        </w:tc>
        <w:tc>
          <w:tcPr>
            <w:tcW w:type="dxa" w:w="1728"/>
          </w:tcPr>
          <w:p>
            <w:r>
              <w:t>Traffic management report</w:t>
            </w:r>
          </w:p>
        </w:tc>
      </w:tr>
      <w:tr>
        <w:tc>
          <w:tcPr>
            <w:tcW w:type="dxa" w:w="1728"/>
          </w:tcPr>
          <w:p>
            <w:r/>
            <w:r>
              <w:rPr>
                <w:b/>
              </w:rPr>
              <w:t>Dust Suppression Water Use</w:t>
            </w:r>
            <w:r/>
          </w:p>
        </w:tc>
        <w:tc>
          <w:tcPr>
            <w:tcW w:type="dxa" w:w="1728"/>
          </w:tcPr>
          <w:p>
            <w:r>
              <w:t>Flow meters on bowsers</w:t>
            </w:r>
          </w:p>
        </w:tc>
        <w:tc>
          <w:tcPr>
            <w:tcW w:type="dxa" w:w="1728"/>
          </w:tcPr>
          <w:p>
            <w:r>
              <w:t>Daily</w:t>
            </w:r>
          </w:p>
        </w:tc>
        <w:tc>
          <w:tcPr>
            <w:tcW w:type="dxa" w:w="1728"/>
          </w:tcPr>
          <w:p>
            <w:r>
              <w:t>≥ 80 % water recycled</w:t>
            </w:r>
          </w:p>
        </w:tc>
        <w:tc>
          <w:tcPr>
            <w:tcW w:type="dxa" w:w="1728"/>
          </w:tcPr>
          <w:p>
            <w:r>
              <w:t>Water use ledger</w:t>
            </w:r>
          </w:p>
        </w:tc>
      </w:tr>
      <w:tr>
        <w:tc>
          <w:tcPr>
            <w:tcW w:type="dxa" w:w="1728"/>
          </w:tcPr>
          <w:p>
            <w:r/>
            <w:r>
              <w:rPr>
                <w:b/>
              </w:rPr>
              <w:t>Waste Generation</w:t>
            </w:r>
            <w:r/>
          </w:p>
        </w:tc>
        <w:tc>
          <w:tcPr>
            <w:tcW w:type="dxa" w:w="1728"/>
          </w:tcPr>
          <w:p>
            <w:r>
              <w:t>Waste manifest tracking</w:t>
            </w:r>
          </w:p>
        </w:tc>
        <w:tc>
          <w:tcPr>
            <w:tcW w:type="dxa" w:w="1728"/>
          </w:tcPr>
          <w:p>
            <w:r>
              <w:t>Weekly</w:t>
            </w:r>
          </w:p>
        </w:tc>
        <w:tc>
          <w:tcPr>
            <w:tcW w:type="dxa" w:w="1728"/>
          </w:tcPr>
          <w:p>
            <w:r>
              <w:t>100 % of waste disposed at licensed facilities</w:t>
            </w:r>
          </w:p>
        </w:tc>
        <w:tc>
          <w:tcPr>
            <w:tcW w:type="dxa" w:w="1728"/>
          </w:tcPr>
          <w:p>
            <w:r>
              <w:t>Waste management report</w:t>
            </w:r>
          </w:p>
        </w:tc>
      </w:tr>
      <w:tr>
        <w:tc>
          <w:tcPr>
            <w:tcW w:type="dxa" w:w="1728"/>
          </w:tcPr>
          <w:p>
            <w:r/>
            <w:r>
              <w:rPr>
                <w:b/>
              </w:rPr>
              <w:t>Biodiversity</w:t>
            </w:r>
            <w:r/>
          </w:p>
        </w:tc>
        <w:tc>
          <w:tcPr>
            <w:tcW w:type="dxa" w:w="1728"/>
          </w:tcPr>
          <w:p>
            <w:r>
              <w:t>Visual surveys (flora/fauna)</w:t>
            </w:r>
          </w:p>
        </w:tc>
        <w:tc>
          <w:tcPr>
            <w:tcW w:type="dxa" w:w="1728"/>
          </w:tcPr>
          <w:p>
            <w:r>
              <w:t>Annual</w:t>
            </w:r>
          </w:p>
        </w:tc>
        <w:tc>
          <w:tcPr>
            <w:tcW w:type="dxa" w:w="1728"/>
          </w:tcPr>
          <w:p>
            <w:r>
              <w:t>No loss of protected species</w:t>
            </w:r>
          </w:p>
        </w:tc>
        <w:tc>
          <w:tcPr>
            <w:tcW w:type="dxa" w:w="1728"/>
          </w:tcPr>
          <w:p>
            <w:r>
              <w:t>Biodiversity monitoring annex</w:t>
            </w:r>
          </w:p>
        </w:tc>
      </w:tr>
    </w:tbl>
    <w:p>
      <w:r>
        <w:t>All</w:t>
      </w:r>
    </w:p>
    <w:p>
      <w:r>
        <w:br w:type="page"/>
      </w:r>
    </w:p>
    <w:p>
      <w:pPr>
        <w:pStyle w:val="Heading1"/>
      </w:pPr>
      <w:r>
        <w:t>Chapter 9: Conclusion and Recommendations</w:t>
      </w:r>
    </w:p>
    <w:p>
      <w:r>
        <w:t>[Content generation failed.]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