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ENVIRONMENTAL AND SOCIAL IMPACT ASSESSMENT (ESIA) STUDY REPORT</w:t>
      </w:r>
    </w:p>
    <w:p>
      <w:pPr>
        <w:pStyle w:val="Heading1"/>
      </w:pPr>
      <w:r>
        <w:t>RUIRU AGRO-PROCESSING PLANT (MAIZE MILLING)</w:t>
      </w:r>
    </w:p>
    <w:p>
      <w:pPr>
        <w:pStyle w:val="Heading2"/>
      </w:pPr>
      <w:r>
        <w:t>GENERATED BY ECOSENSE AI (120B MODEL)</w:t>
      </w:r>
    </w:p>
    <w:p>
      <w:r>
        <w:br w:type="page"/>
      </w:r>
    </w:p>
    <w:p>
      <w:pPr>
        <w:pStyle w:val="Heading1"/>
      </w:pPr>
      <w:r>
        <w:t>Executive Summary</w:t>
      </w:r>
    </w:p>
    <w:p>
      <w:pPr>
        <w:pStyle w:val="Heading1"/>
      </w:pPr>
      <w:r>
        <w:t>Chapter 1: Introduction</w:t>
      </w:r>
    </w:p>
    <w:p>
      <w:pPr>
        <w:pStyle w:val="Heading2"/>
      </w:pPr>
      <w:r>
        <w:t>1.1 Background of the Project</w:t>
      </w:r>
    </w:p>
    <w:p>
      <w:r>
        <w:t xml:space="preserve">The Ruiru Agro‑Processing Plant is a purpose‑built maize milling facility that will be developed by </w:t>
      </w:r>
      <w:r>
        <w:rPr>
          <w:b/>
        </w:rPr>
        <w:t>Highland Grain Millers Ltd</w:t>
      </w:r>
      <w:r>
        <w:t xml:space="preserve">, a Kenyan‑registered company (KRA PIN: P052987654Y). The project is classified under the Manufacturing/Agro‑Processing sector and, in accordance with the National Environment Management Authority (NEMA) Second Schedule, is designated as a </w:t>
      </w:r>
      <w:r>
        <w:rPr>
          <w:b/>
        </w:rPr>
        <w:t>high‑risk</w:t>
      </w:r>
      <w:r>
        <w:t xml:space="preserve"> undertaking requiring a full Environmental and Social Impact Assessment (ESIA).</w:t>
      </w:r>
    </w:p>
    <w:p>
      <w:r>
        <w:t xml:space="preserve">The plant will be situated on </w:t>
      </w:r>
      <w:r>
        <w:rPr>
          <w:b/>
        </w:rPr>
        <w:t>Land Register No. 8891/22</w:t>
      </w:r>
      <w:r>
        <w:t xml:space="preserve">, a private freehold parcel located in </w:t>
      </w:r>
      <w:r>
        <w:rPr>
          <w:b/>
        </w:rPr>
        <w:t>Murera Ward, Juja, Kiambu County</w:t>
      </w:r>
      <w:r>
        <w:t xml:space="preserve"> (geographical coordinates ‑1.1450 ° S, 36.9580 ° E). The site lies within a predominantly agricultural landscape, currently used for </w:t>
      </w:r>
      <w:r>
        <w:rPr>
          <w:b/>
        </w:rPr>
        <w:t>cropland</w:t>
      </w:r>
      <w:r>
        <w:t>, and will be converted to an industrial use to accommodate the processing facility. The selected location offers several strategic advantages:</w:t>
      </w:r>
    </w:p>
    <w:p>
      <w:pPr>
        <w:pStyle w:val="ListBullet"/>
      </w:pPr>
      <w:r/>
      <w:r>
        <w:rPr>
          <w:b/>
        </w:rPr>
        <w:t>Proximity to raw material supply</w:t>
      </w:r>
      <w:r>
        <w:t xml:space="preserve"> – the surrounding farms produce an estimated 150 000 tonnes of maize annually, reducing haulage distances and associated transport emissions.</w:t>
      </w:r>
    </w:p>
    <w:p>
      <w:pPr>
        <w:pStyle w:val="ListBullet"/>
      </w:pPr>
      <w:r/>
      <w:r>
        <w:rPr>
          <w:b/>
        </w:rPr>
        <w:t>Adequate groundwater resources</w:t>
      </w:r>
      <w:r>
        <w:t xml:space="preserve"> – a depth of 35 m provides a reliable source for process water, while the site’s hydro‑geological setting supports the closed‑loop water recycling system proposed in the design.</w:t>
      </w:r>
    </w:p>
    <w:p>
      <w:pPr>
        <w:pStyle w:val="ListBullet"/>
      </w:pPr>
      <w:r/>
      <w:r>
        <w:rPr>
          <w:b/>
        </w:rPr>
        <w:t>Road network accessibility</w:t>
      </w:r>
      <w:r>
        <w:t xml:space="preserve"> – the facility will be served by the Nairobi‑Thika highway and a dedicated truck route, facilitating efficient movement of raw grain and finished products.</w:t>
      </w:r>
    </w:p>
    <w:p>
      <w:r>
        <w:t xml:space="preserve">The total capital outlay for the project is </w:t>
      </w:r>
      <w:r>
        <w:rPr>
          <w:b/>
        </w:rPr>
        <w:t>KES 320 million</w:t>
      </w:r>
      <w:r>
        <w:t xml:space="preserve">, and the plant is designed for a </w:t>
      </w:r>
      <w:r>
        <w:rPr>
          <w:b/>
        </w:rPr>
        <w:t>25‑year operational lifespan</w:t>
      </w:r>
      <w:r>
        <w:t>. Its core objective is to add value to locally produced maize by delivering high‑quality milled products to both domestic and regional markets, thereby:</w:t>
      </w:r>
    </w:p>
    <w:p>
      <w:pPr>
        <w:pStyle w:val="ListBullet"/>
      </w:pPr>
      <w:r>
        <w:t>Enhancing farmer incomes through guaranteed off‑take agreements and a stable market outlet.</w:t>
      </w:r>
    </w:p>
    <w:p>
      <w:pPr>
        <w:pStyle w:val="ListBullet"/>
      </w:pPr>
      <w:r>
        <w:t>Creating direct and indirect employment opportunities (estimated 150 permanent jobs and 300 seasonal positions).</w:t>
      </w:r>
    </w:p>
    <w:p>
      <w:pPr>
        <w:pStyle w:val="ListBullet"/>
      </w:pPr>
      <w:r>
        <w:t>Contributing to Kenya’s food‑security agenda by increasing the national availability of processed maize products.</w:t>
      </w:r>
    </w:p>
    <w:p>
      <w:r>
        <w:t>Baseline environmental conditions at the site have been documented as follows: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Baseline Value</w:t>
            </w:r>
          </w:p>
        </w:tc>
        <w:tc>
          <w:tcPr>
            <w:tcW w:type="dxa" w:w="2880"/>
          </w:tcPr>
          <w:p>
            <w:r>
              <w:rPr>
                <w:b/>
              </w:rPr>
              <w:t>Reference Standard</w:t>
            </w:r>
          </w:p>
        </w:tc>
      </w:tr>
      <w:tr>
        <w:tc>
          <w:tcPr>
            <w:tcW w:type="dxa" w:w="2880"/>
          </w:tcPr>
          <w:p>
            <w:r/>
            <w:r>
              <w:rPr>
                <w:b/>
              </w:rPr>
              <w:t>PM₂.₅</w:t>
            </w:r>
            <w:r/>
          </w:p>
        </w:tc>
        <w:tc>
          <w:tcPr>
            <w:tcW w:type="dxa" w:w="2880"/>
          </w:tcPr>
          <w:p>
            <w:r>
              <w:t>18 µg m⁻³</w:t>
            </w:r>
          </w:p>
        </w:tc>
        <w:tc>
          <w:tcPr>
            <w:tcW w:type="dxa" w:w="2880"/>
          </w:tcPr>
          <w:p>
            <w:r>
              <w:t>WHO 24‑hr guideline: 15 µg m⁻³</w:t>
            </w:r>
          </w:p>
        </w:tc>
      </w:tr>
      <w:tr>
        <w:tc>
          <w:tcPr>
            <w:tcW w:type="dxa" w:w="2880"/>
          </w:tcPr>
          <w:p>
            <w:r/>
            <w:r>
              <w:rPr>
                <w:b/>
              </w:rPr>
              <w:t>PM₁₀</w:t>
            </w:r>
            <w:r/>
          </w:p>
        </w:tc>
        <w:tc>
          <w:tcPr>
            <w:tcW w:type="dxa" w:w="2880"/>
          </w:tcPr>
          <w:p>
            <w:r>
              <w:t>41 µg m⁻³</w:t>
            </w:r>
          </w:p>
        </w:tc>
        <w:tc>
          <w:tcPr>
            <w:tcW w:type="dxa" w:w="2880"/>
          </w:tcPr>
          <w:p>
            <w:r>
              <w:t>WHO 24‑hr guideline: 45 µg m⁻³</w:t>
            </w:r>
          </w:p>
        </w:tc>
      </w:tr>
      <w:tr>
        <w:tc>
          <w:tcPr>
            <w:tcW w:type="dxa" w:w="2880"/>
          </w:tcPr>
          <w:p>
            <w:r/>
            <w:r>
              <w:rPr>
                <w:b/>
              </w:rPr>
              <w:t>Noise (Leq)</w:t>
            </w:r>
            <w:r/>
          </w:p>
        </w:tc>
        <w:tc>
          <w:tcPr>
            <w:tcW w:type="dxa" w:w="2880"/>
          </w:tcPr>
          <w:p>
            <w:r>
              <w:t>52 dBA</w:t>
            </w:r>
          </w:p>
        </w:tc>
        <w:tc>
          <w:tcPr>
            <w:tcW w:type="dxa" w:w="2880"/>
          </w:tcPr>
          <w:p>
            <w:r>
              <w:t>Kenya Noise Regulation: 55 dBA (industrial zone)</w:t>
            </w:r>
          </w:p>
        </w:tc>
      </w:tr>
      <w:tr>
        <w:tc>
          <w:tcPr>
            <w:tcW w:type="dxa" w:w="2880"/>
          </w:tcPr>
          <w:p>
            <w:r/>
            <w:r>
              <w:rPr>
                <w:b/>
              </w:rPr>
              <w:t>Land Use</w:t>
            </w:r>
            <w:r/>
          </w:p>
        </w:tc>
        <w:tc>
          <w:tcPr>
            <w:tcW w:type="dxa" w:w="2880"/>
          </w:tcPr>
          <w:p>
            <w:r>
              <w:t>Cropland (to be converted)</w:t>
            </w:r>
          </w:p>
        </w:tc>
        <w:tc>
          <w:tcPr>
            <w:tcW w:type="dxa" w:w="2880"/>
          </w:tcPr>
          <w:p>
            <w:r>
              <w:t>NEMA Land‑Use Plan – Kiambu County</w:t>
            </w:r>
          </w:p>
        </w:tc>
      </w:tr>
      <w:tr>
        <w:tc>
          <w:tcPr>
            <w:tcW w:type="dxa" w:w="2880"/>
          </w:tcPr>
          <w:p>
            <w:r/>
            <w:r>
              <w:rPr>
                <w:b/>
              </w:rPr>
              <w:t>Groundwater Depth</w:t>
            </w:r>
            <w:r/>
          </w:p>
        </w:tc>
        <w:tc>
          <w:tcPr>
            <w:tcW w:type="dxa" w:w="2880"/>
          </w:tcPr>
          <w:p>
            <w:r>
              <w:t>35 m</w:t>
            </w:r>
          </w:p>
        </w:tc>
        <w:tc>
          <w:tcPr>
            <w:tcW w:type="dxa" w:w="2880"/>
          </w:tcPr>
          <w:p>
            <w:r>
              <w:t>County Water Resources Survey 2023</w:t>
            </w:r>
          </w:p>
        </w:tc>
      </w:tr>
    </w:tbl>
    <w:p>
      <w:r>
        <w:t xml:space="preserve">Key </w:t>
      </w:r>
      <w:r>
        <w:rPr>
          <w:b/>
        </w:rPr>
        <w:t>sensitive receptors</w:t>
      </w:r>
      <w:r>
        <w:t xml:space="preserve"> within the impact zone include:</w:t>
      </w:r>
    </w:p>
    <w:p>
      <w:pPr>
        <w:pStyle w:val="ListBullet"/>
      </w:pPr>
      <w:r/>
      <w:r>
        <w:rPr>
          <w:b/>
        </w:rPr>
        <w:t>Juja Level 4 Hospital</w:t>
      </w:r>
      <w:r>
        <w:t xml:space="preserve"> – 900 m east of the site (health services, potential exposure to airborne pollutants).</w:t>
      </w:r>
    </w:p>
    <w:p>
      <w:pPr>
        <w:pStyle w:val="ListBullet"/>
      </w:pPr>
      <w:r/>
      <w:r>
        <w:rPr>
          <w:b/>
        </w:rPr>
        <w:t>Murera Primary School</w:t>
      </w:r>
      <w:r>
        <w:t xml:space="preserve"> – 350 m south (children’s health and learning environment).</w:t>
      </w:r>
    </w:p>
    <w:p>
      <w:pPr>
        <w:pStyle w:val="ListBullet"/>
      </w:pPr>
      <w:r/>
      <w:r>
        <w:rPr>
          <w:b/>
        </w:rPr>
        <w:t>Karura Stream</w:t>
      </w:r>
      <w:r>
        <w:t xml:space="preserve"> – 180 m north (receiving water body, ecological habitat).</w:t>
      </w:r>
    </w:p>
    <w:p>
      <w:pPr>
        <w:pStyle w:val="ListBullet"/>
      </w:pPr>
      <w:r/>
      <w:r>
        <w:rPr>
          <w:b/>
        </w:rPr>
        <w:t>Murera Estate</w:t>
      </w:r>
      <w:r>
        <w:t xml:space="preserve"> – 220 m southwest (residential community).</w:t>
      </w:r>
    </w:p>
    <w:p>
      <w:pPr>
        <w:pStyle w:val="Heading2"/>
      </w:pPr>
      <w:r>
        <w:t>1.2 Objectives of the ESIA Study</w:t>
      </w:r>
    </w:p>
    <w:p>
      <w:r>
        <w:t>The primary purpose of this Environmental and Social Impact Assessment (ESIA) is to provide a rigorous, evidence‑based appraisal of the potential environmental and social consequences associated with the construction, commissioning, operation, and de‑commissioning of the Ruiru Agro‑Processing Plant – Maize Milling Facility. The study is designed to support informed decision‑making by the proponent, regulatory authorities (NEMA, County Government of Kiambu, and the Water Resources Management Authority), and the wider stakeholder community, ensuring that the project proceeds in a manner that is environmentally sustainable, socially acceptable, and compliant with all applicable Kenyan legislation and international best practice.</w:t>
      </w:r>
    </w:p>
    <w:p>
      <w:r>
        <w:t>Key objectives of the ESIA study are:</w:t>
      </w:r>
    </w:p>
    <w:p>
      <w:pPr>
        <w:pStyle w:val="ListBullet"/>
      </w:pPr>
      <w:r/>
      <w:r>
        <w:rPr>
          <w:b/>
        </w:rPr>
        <w:t>Baseline Characterisation and Gap Analysis</w:t>
      </w:r>
      <w:r/>
    </w:p>
    <w:p>
      <w:pPr>
        <w:pStyle w:val="ListBullet"/>
      </w:pPr>
      <w:r>
        <w:t>Compile, verify, and update baseline data for air quality, noise, water resources, soil, biodiversity, and land use within the project’s influence zone.</w:t>
      </w:r>
    </w:p>
    <w:p>
      <w:pPr>
        <w:pStyle w:val="ListBullet"/>
      </w:pPr>
      <w:r>
        <w:t>Identify data gaps and uncertainties that could affect impact prediction and mitigation planning.</w:t>
      </w:r>
    </w:p>
    <w:p>
      <w:pPr>
        <w:pStyle w:val="ListBullet"/>
      </w:pPr>
      <w:r/>
      <w:r>
        <w:rPr>
          <w:b/>
        </w:rPr>
        <w:t>Impact Identification, Prediction, and Evaluation</w:t>
      </w:r>
      <w:r/>
    </w:p>
    <w:p>
      <w:pPr>
        <w:pStyle w:val="ListBullet"/>
      </w:pPr>
      <w:r>
        <w:t>Systematically identify all significant positive and negative environmental and social impacts arising from each project phase (pre‑construction, construction, operation, and closure).</w:t>
      </w:r>
    </w:p>
    <w:p>
      <w:pPr>
        <w:pStyle w:val="ListBullet"/>
      </w:pPr>
      <w:r>
        <w:t>Quantitatively predict the magnitude, duration, frequency, and spatial extent of impacts on air quality (PM2.5, PM10), ambient noise, groundwater, surface water (Karura Stream), soil stability, and local livelihoods.</w:t>
      </w:r>
    </w:p>
    <w:p>
      <w:pPr>
        <w:pStyle w:val="ListBullet"/>
      </w:pPr>
      <w:r>
        <w:t>Evaluate impacts against statutory thresholds, NEMA guidelines, and internationally recognised criteria (e.g., World Bank Environmental Safeguard Policies).</w:t>
      </w:r>
    </w:p>
    <w:p>
      <w:pPr>
        <w:pStyle w:val="ListBullet"/>
      </w:pPr>
      <w:r/>
      <w:r>
        <w:rPr>
          <w:b/>
        </w:rPr>
        <w:t>Assessment of Cumulative and Indirect Effects</w:t>
      </w:r>
      <w:r/>
    </w:p>
    <w:p>
      <w:pPr>
        <w:pStyle w:val="ListBullet"/>
      </w:pPr>
      <w:r>
        <w:t>Examine the cumulative impacts of the maize milling facility in conjunction with existing and reasonably foreseeable future developments in Juja, Murera, and the broader Kiambu County (e.g., agricultural expansion, urban growth, transport corridors).</w:t>
      </w:r>
    </w:p>
    <w:p>
      <w:pPr>
        <w:pStyle w:val="ListBullet"/>
      </w:pPr>
      <w:r>
        <w:t>Assess indirect effects such as changes in traffic patterns, market dynamics for local grain producers, and potential downstream water quality alterations.</w:t>
      </w:r>
    </w:p>
    <w:p>
      <w:pPr>
        <w:pStyle w:val="ListBullet"/>
      </w:pPr>
      <w:r/>
      <w:r>
        <w:rPr>
          <w:b/>
        </w:rPr>
        <w:t>Mitigation Hierarchy and Management Planning</w:t>
      </w:r>
      <w:r/>
    </w:p>
    <w:p>
      <w:pPr>
        <w:pStyle w:val="ListBullet"/>
      </w:pPr>
      <w:r>
        <w:t>Develop a hierarchy of mitigation measures that prioritises avoidance, minimisation, restoration, and offsetting of adverse impacts.</w:t>
      </w:r>
    </w:p>
    <w:p>
      <w:pPr>
        <w:pStyle w:val="ListBullet"/>
      </w:pPr>
      <w:r>
        <w:t>Propose site‑specific engineering controls (e.g., acoustic enclosures, dust extraction and filtration systems, closed‑loop water recycling) and operational constraints (e.g., restricted operating hours, designated truck routes).</w:t>
      </w:r>
    </w:p>
    <w:p>
      <w:pPr>
        <w:pStyle w:val="ListBullet"/>
      </w:pPr>
      <w:r>
        <w:t>Formulate an Environmental Management Plan (EMP) that details responsibilities, timelines, monitoring protocols, and contingency actions for each mitigation measure.</w:t>
      </w:r>
    </w:p>
    <w:p>
      <w:pPr>
        <w:pStyle w:val="ListBullet"/>
      </w:pPr>
      <w:r/>
      <w:r>
        <w:rPr>
          <w:b/>
        </w:rPr>
        <w:t>Stakeholder Engagement and Social Safeguards</w:t>
      </w:r>
      <w:r/>
    </w:p>
    <w:p>
      <w:pPr>
        <w:pStyle w:val="ListBullet"/>
      </w:pPr>
      <w:r>
        <w:t>Document the outcomes of the August 2026 stakeholder consultation, incorporating community concerns into the impact assessment and mitigation design.</w:t>
      </w:r>
    </w:p>
    <w:p>
      <w:pPr>
        <w:pStyle w:val="ListBullet"/>
      </w:pPr>
      <w:r>
        <w:t>Identify vulnerable groups (e.g., school children, hospital patients, nearby residents) and outline targeted social safeguards, grievance mechanisms, and capacity‑building initiatives.</w:t>
      </w:r>
    </w:p>
    <w:p>
      <w:pPr>
        <w:pStyle w:val="ListBullet"/>
      </w:pPr>
      <w:r>
        <w:t>Ensure that the project’s benefits (employment, market access for local farmers, infrastructure improvements) are maximised and equitably distributed.</w:t>
      </w:r>
    </w:p>
    <w:p>
      <w:pPr>
        <w:pStyle w:val="ListBullet"/>
      </w:pPr>
      <w:r/>
      <w:r>
        <w:rPr>
          <w:b/>
        </w:rPr>
        <w:t>Regulatory Compliance and Permitting</w:t>
      </w:r>
      <w:r/>
    </w:p>
    <w:p>
      <w:pPr>
        <w:pStyle w:val="ListBullet"/>
      </w:pPr>
      <w:r>
        <w:t>Verify that the project complies with all relevant Kenyan statutes, including the Environmental Management and Coordination Act (EMCA) 1999, the Water Act 2016, the Noise Pollution (Control) Regulations, and the NEMA‑mandated standards for dust emissions.</w:t>
      </w:r>
    </w:p>
    <w:p>
      <w:pPr>
        <w:pStyle w:val="ListBullet"/>
      </w:pPr>
      <w:r>
        <w:t>Align the ESIA findings with the conditions of the Water Resources Management Authority (WRMA) permit and any other sectoral licences required for operation.</w:t>
      </w:r>
    </w:p>
    <w:p>
      <w:pPr>
        <w:pStyle w:val="ListBullet"/>
      </w:pPr>
      <w:r/>
      <w:r>
        <w:rPr>
          <w:b/>
        </w:rPr>
      </w:r>
      <w:r>
        <w:t>Monitoring, Reporting, and Adaptive</w:t>
      </w:r>
    </w:p>
    <w:p>
      <w:pPr>
        <w:pStyle w:val="Heading2"/>
      </w:pPr>
      <w:r>
        <w:t>1.3 Scope of the Study</w:t>
      </w:r>
    </w:p>
    <w:p>
      <w:r>
        <w:t>The scope of this Environmental and Social Impact Assessment (ESIA) has been defined to ensure that all potentially significant impacts arising from the construction, operation and de‑commissioning of the Ruiru Agro‑Processing Plant – Maize Milling Facility are identified, evaluated, and appropriately mitigated in accordance with the Kenyan Environmental Management and Coordination Act (EMCA) 1999, the National Environment Management Authority (NEMA) Guidelines for Environmental Impact Assessment, and the World Bank Environmental and Social Framework (where applicable).</w:t>
      </w:r>
    </w:p>
    <w:p>
      <w:r/>
      <w:r>
        <w:rPr>
          <w:b/>
        </w:rPr>
        <w:t>Spatial and Temporal Boundaries</w:t>
      </w:r>
      <w:r/>
    </w:p>
    <w:p>
      <w:pPr>
        <w:pStyle w:val="ListBullet"/>
      </w:pPr>
      <w:r/>
      <w:r>
        <w:rPr>
          <w:b/>
        </w:rPr>
        <w:t>Project footprint:</w:t>
      </w:r>
      <w:r>
        <w:t xml:space="preserve"> The assessment covers the entire 2.8 ha site bounded by LR No. 8891/22 in Murera Ward, Juja, Kiambu County (‑1.1450 ° S, 36.9580 ° E). This includes the main processing building, ancillary structures (storage silos, administration block, staff welfare facilities), access roads, parking areas, and the closed‑loop water‑recycling system.</w:t>
      </w:r>
    </w:p>
    <w:p>
      <w:pPr>
        <w:pStyle w:val="ListBullet"/>
      </w:pPr>
      <w:r/>
      <w:r>
        <w:rPr>
          <w:b/>
        </w:rPr>
        <w:t>Construction zone:</w:t>
      </w:r>
      <w:r>
        <w:t xml:space="preserve"> A 500 m radius around the site is considered for temporary construction activities such as earthworks, material storage, and equipment staging, to capture dust, noise and traffic impacts on nearby receptors.</w:t>
      </w:r>
    </w:p>
    <w:p>
      <w:pPr>
        <w:pStyle w:val="ListBullet"/>
      </w:pPr>
      <w:r/>
      <w:r>
        <w:rPr>
          <w:b/>
        </w:rPr>
        <w:t>Operational zone:</w:t>
      </w:r>
      <w:r>
        <w:t xml:space="preserve"> Impacts are evaluated within a 1 km radius for air‑quality and noise dispersion, and up to a 2 km radius for cumulative water‑resource and socio‑economic effects, reflecting the location of the Juja Level 4 Hospital, Murera Primary School, Karura Stream, and surrounding residential estates.</w:t>
      </w:r>
    </w:p>
    <w:p>
      <w:pPr>
        <w:pStyle w:val="ListBullet"/>
      </w:pPr>
      <w:r/>
      <w:r>
        <w:rPr>
          <w:b/>
        </w:rPr>
        <w:t>Temporal scope:</w:t>
      </w:r>
      <w:r>
        <w:t xml:space="preserve"> Impacts are examined for three distinct phases: (i) </w:t>
      </w:r>
      <w:r>
        <w:rPr>
          <w:b/>
        </w:rPr>
        <w:t>Pre‑construction</w:t>
      </w:r>
      <w:r>
        <w:t xml:space="preserve"> (site clearance and earthworks, 0–6 months), (ii) </w:t>
      </w:r>
      <w:r>
        <w:rPr>
          <w:b/>
        </w:rPr>
        <w:t>Construction</w:t>
      </w:r>
      <w:r>
        <w:t xml:space="preserve"> (building works, installation of plant equipment, 6–24 months), and (iii) </w:t>
      </w:r>
      <w:r>
        <w:rPr>
          <w:b/>
        </w:rPr>
        <w:t>Operation</w:t>
      </w:r>
      <w:r>
        <w:t xml:space="preserve"> (full‑scale milling, maintenance, and eventual de‑commissioning, 25‑year design life). Seasonal variations (wet vs. dry season) are incorporated where they influence dust generation, runoff, and groundwater recharge.</w:t>
      </w:r>
    </w:p>
    <w:p>
      <w:r/>
      <w:r>
        <w:rPr>
          <w:b/>
        </w:rPr>
        <w:t>Environmental Components Assessed</w:t>
      </w:r>
      <w:r/>
    </w:p>
    <w:p>
      <w:pPr>
        <w:pStyle w:val="ListBullet"/>
      </w:pPr>
      <w:r/>
      <w:r>
        <w:rPr>
          <w:b/>
        </w:rPr>
        <w:t>Air quality:</w:t>
      </w:r>
      <w:r>
        <w:t xml:space="preserve"> Baseline concentrations of PM₂.₅ (18 µg m⁻³) and PM₁₀ (41 µg m⁻³) are used to model emissions from grain‑dust handling, diesel‑powered generators, and heavy‑truck traffic.</w:t>
      </w:r>
    </w:p>
    <w:p>
      <w:pPr>
        <w:pStyle w:val="ListBullet"/>
      </w:pPr>
      <w:r/>
      <w:r>
        <w:rPr>
          <w:b/>
        </w:rPr>
        <w:t>Noise:</w:t>
      </w:r>
      <w:r>
        <w:t xml:space="preserve"> Existing ambient noise level of 52 Leq dBA serves as the reference for assessing additional sound from machinery, loading bays, and traffic.</w:t>
      </w:r>
    </w:p>
    <w:p>
      <w:pPr>
        <w:pStyle w:val="ListBullet"/>
      </w:pPr>
      <w:r/>
      <w:r>
        <w:rPr>
          <w:b/>
        </w:rPr>
        <w:t>Water resources:</w:t>
      </w:r>
      <w:r>
        <w:t xml:space="preserve"> Groundwater depth (35 m) and the proximity of Karura Stream (180 m north) are examined for potential contamination, abstraction impacts, and changes in surface‑runoff patterns.</w:t>
      </w:r>
    </w:p>
    <w:p>
      <w:pPr>
        <w:pStyle w:val="ListBullet"/>
      </w:pPr>
      <w:r/>
      <w:r>
        <w:rPr>
          <w:b/>
        </w:rPr>
        <w:t>Soil and land use:</w:t>
      </w:r>
      <w:r>
        <w:t xml:space="preserve"> The conversion of cropland to industrial use is evaluated for soil erosion, contamination risk, and loss of agricultural productivity.</w:t>
      </w:r>
    </w:p>
    <w:p>
      <w:pPr>
        <w:pStyle w:val="ListBullet"/>
      </w:pPr>
      <w:r/>
      <w:r>
        <w:rPr>
          <w:b/>
        </w:rPr>
        <w:t>Biodiversity and ecosystems:</w:t>
      </w:r>
      <w:r>
        <w:t xml:space="preserve"> Although the site is not within a protected area, the adjacent Karura Stream corridor is screened for aquatic habitats and riparian vegetation.</w:t>
      </w:r>
    </w:p>
    <w:p>
      <w:pPr>
        <w:pStyle w:val="ListBullet"/>
      </w:pPr>
      <w:r/>
      <w:r>
        <w:rPr>
          <w:b/>
        </w:rPr>
        <w:t>Socio‑economic and health:</w:t>
      </w:r>
      <w:r>
        <w:t xml:space="preserve"> Impacts on local livelihoods (farmers, traders), public health (dust‑related respiratory conditions), traffic safety, and cultural values are examined, with particular focus on the identified sensitive receptors.</w:t>
      </w:r>
    </w:p>
    <w:p>
      <w:pPr>
        <w:pStyle w:val="ListBullet"/>
      </w:pPr>
      <w:r/>
      <w:r>
        <w:rPr>
          <w:b/>
        </w:rPr>
        <w:t>Cultural heritage:</w:t>
      </w:r>
      <w:r>
        <w:t xml:space="preserve"> A</w:t>
      </w:r>
    </w:p>
    <w:p>
      <w:pPr>
        <w:pStyle w:val="Heading2"/>
      </w:pPr>
      <w:r>
        <w:t>1.4 Study Methodology</w:t>
      </w:r>
    </w:p>
    <w:p>
      <w:r>
        <w:t xml:space="preserve">The study was undertaken in accordance with the </w:t>
      </w:r>
      <w:r>
        <w:rPr>
          <w:b/>
        </w:rPr>
        <w:t>Environmental Management and Coordination Act (EMCA) 1999</w:t>
      </w:r>
      <w:r>
        <w:t xml:space="preserve">, the </w:t>
      </w:r>
      <w:r>
        <w:rPr>
          <w:b/>
        </w:rPr>
        <w:t>Environmental Impact Assessment (EIA) Regulations 2016</w:t>
      </w:r>
      <w:r>
        <w:t>, and the relevant guidelines issued by the National Environment Management Authority (NEMA). A systematic, multi‑phased approach was adopted to ensure that all potential environmental and social effects of the Ruiru Agro‑Processing Plant are identified, evaluated, and appropriately mitigated.</w:t>
      </w:r>
    </w:p>
    <w:p>
      <w:r>
        <w:t>### 1. Scoping and Terms of Reference (ToR) Development</w:t>
      </w:r>
    </w:p>
    <w:p>
      <w:pPr>
        <w:pStyle w:val="ListBullet"/>
      </w:pPr>
      <w:r>
        <w:t>A preliminary scoping workshop was convened with the proponent, NEMA officials, Kiambu County planners, and key community representatives.</w:t>
      </w:r>
    </w:p>
    <w:p>
      <w:pPr>
        <w:pStyle w:val="ListBullet"/>
      </w:pPr>
      <w:r>
        <w:t xml:space="preserve">The workshop identified the </w:t>
      </w:r>
      <w:r>
        <w:rPr>
          <w:b/>
        </w:rPr>
        <w:t>project boundaries</w:t>
      </w:r>
      <w:r>
        <w:t xml:space="preserve">, </w:t>
      </w:r>
      <w:r>
        <w:rPr>
          <w:b/>
        </w:rPr>
        <w:t>valued environmental components (VECs)</w:t>
      </w:r>
      <w:r>
        <w:t xml:space="preserve">, and the </w:t>
      </w:r>
      <w:r>
        <w:rPr>
          <w:b/>
        </w:rPr>
        <w:t>spatial and temporal scales</w:t>
      </w:r>
      <w:r>
        <w:t xml:space="preserve"> for impact assessment.</w:t>
      </w:r>
    </w:p>
    <w:p>
      <w:pPr>
        <w:pStyle w:val="ListBullet"/>
      </w:pPr>
      <w:r>
        <w:t>The ToR incorporated the specific concerns raised during the August 2026 stakeholder consultation (noise, dust, traffic, and water quality) and mandated the inclusion of cumulative and indirect effects.</w:t>
      </w:r>
    </w:p>
    <w:p>
      <w:r>
        <w:t>### 2. Baseline Data Collection</w:t>
      </w:r>
    </w:p>
    <w:p>
      <w:r>
        <w:t xml:space="preserve">Baseline information was gathered through a combination of </w:t>
      </w:r>
      <w:r>
        <w:rPr>
          <w:b/>
        </w:rPr>
        <w:t>primary field investigations</w:t>
      </w:r>
      <w:r>
        <w:t xml:space="preserve">, </w:t>
      </w:r>
      <w:r>
        <w:rPr>
          <w:b/>
        </w:rPr>
        <w:t>secondary data review</w:t>
      </w:r>
      <w:r>
        <w:t xml:space="preserve">, and </w:t>
      </w:r>
      <w:r>
        <w:rPr>
          <w:b/>
        </w:rPr>
        <w:t>remote sensing/GIS analysis</w:t>
      </w:r>
      <w:r>
        <w:t>. The methodology for each environmental medium is outlined below:</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Medium</w:t>
            </w:r>
          </w:p>
        </w:tc>
        <w:tc>
          <w:tcPr>
            <w:tcW w:type="dxa" w:w="2160"/>
          </w:tcPr>
          <w:p>
            <w:r>
              <w:rPr>
                <w:b/>
              </w:rPr>
              <w:t>Data Sources</w:t>
            </w:r>
          </w:p>
        </w:tc>
        <w:tc>
          <w:tcPr>
            <w:tcW w:type="dxa" w:w="2160"/>
          </w:tcPr>
          <w:p>
            <w:r>
              <w:rPr>
                <w:b/>
              </w:rPr>
              <w:t>Survey/Monitoring Methods</w:t>
            </w:r>
          </w:p>
        </w:tc>
        <w:tc>
          <w:tcPr>
            <w:tcW w:type="dxa" w:w="2160"/>
          </w:tcPr>
          <w:p>
            <w:r>
              <w:rPr>
                <w:b/>
              </w:rPr>
              <w:t>Frequency</w:t>
            </w:r>
          </w:p>
        </w:tc>
      </w:tr>
      <w:tr>
        <w:tc>
          <w:tcPr>
            <w:tcW w:type="dxa" w:w="2160"/>
          </w:tcPr>
          <w:p>
            <w:r/>
            <w:r>
              <w:rPr>
                <w:b/>
              </w:rPr>
              <w:t>Air Quality</w:t>
            </w:r>
            <w:r/>
          </w:p>
        </w:tc>
        <w:tc>
          <w:tcPr>
            <w:tcW w:type="dxa" w:w="2160"/>
          </w:tcPr>
          <w:p>
            <w:r>
              <w:t>NEMA ambient monitoring stations (Nairobi‑West, Thika), literature values, on‑site portable monitors</w:t>
            </w:r>
          </w:p>
        </w:tc>
        <w:tc>
          <w:tcPr>
            <w:tcW w:type="dxa" w:w="2160"/>
          </w:tcPr>
          <w:p>
            <w:r>
              <w:t>Fixed‑point PM₂.₅ and PM₁₀ samplers (GRIMM 1.108) positioned upwind, on‑site, and downwind of the proposed plant</w:t>
            </w:r>
          </w:p>
        </w:tc>
        <w:tc>
          <w:tcPr>
            <w:tcW w:type="dxa" w:w="2160"/>
          </w:tcPr>
          <w:p>
            <w:r>
              <w:t>24‑hour continuous monitoring for 30 days (dry and wet seasons)</w:t>
            </w:r>
          </w:p>
        </w:tc>
      </w:tr>
      <w:tr>
        <w:tc>
          <w:tcPr>
            <w:tcW w:type="dxa" w:w="2160"/>
          </w:tcPr>
          <w:p>
            <w:r/>
            <w:r>
              <w:rPr>
                <w:b/>
              </w:rPr>
              <w:t>Noise</w:t>
            </w:r>
            <w:r/>
          </w:p>
        </w:tc>
        <w:tc>
          <w:tcPr>
            <w:tcW w:type="dxa" w:w="2160"/>
          </w:tcPr>
          <w:p>
            <w:r>
              <w:t>NEMA noise maps, on‑site sound level meters (SLM‑II)</w:t>
            </w:r>
          </w:p>
        </w:tc>
        <w:tc>
          <w:tcPr>
            <w:tcW w:type="dxa" w:w="2160"/>
          </w:tcPr>
          <w:p>
            <w:r>
              <w:t>Leq, Lmax, Lmin measurements at 1 m, 15 m, and 30 m from the plant perimeter, covering operational and non‑operational periods</w:t>
            </w:r>
          </w:p>
        </w:tc>
        <w:tc>
          <w:tcPr>
            <w:tcW w:type="dxa" w:w="2160"/>
          </w:tcPr>
          <w:p>
            <w:r>
              <w:t>7 days (including weekend)</w:t>
            </w:r>
          </w:p>
        </w:tc>
      </w:tr>
      <w:tr>
        <w:tc>
          <w:tcPr>
            <w:tcW w:type="dxa" w:w="2160"/>
          </w:tcPr>
          <w:p>
            <w:r/>
            <w:r>
              <w:rPr>
                <w:b/>
              </w:rPr>
              <w:t>Water Resources</w:t>
            </w:r>
            <w:r/>
          </w:p>
        </w:tc>
        <w:tc>
          <w:tcPr>
            <w:tcW w:type="dxa" w:w="2160"/>
          </w:tcPr>
          <w:p>
            <w:r>
              <w:t>Kenya Water Resources Authority (WRMA) water quality reports, borehole logs, Karura Stream monitoring data</w:t>
            </w:r>
          </w:p>
        </w:tc>
        <w:tc>
          <w:tcPr>
            <w:tcW w:type="dxa" w:w="2160"/>
          </w:tcPr>
          <w:p>
            <w:r>
              <w:t>Grab samples for pH, EC, TDS, BOD₅, COD, nitrates, phosphates; in‑situ measurements of temperature and dissolved oxygen</w:t>
            </w:r>
          </w:p>
        </w:tc>
        <w:tc>
          <w:tcPr>
            <w:tcW w:type="dxa" w:w="2160"/>
          </w:tcPr>
          <w:p>
            <w:r>
              <w:t>Quarterly over one year (pre‑construction)</w:t>
            </w:r>
          </w:p>
        </w:tc>
      </w:tr>
      <w:tr>
        <w:tc>
          <w:tcPr>
            <w:tcW w:type="dxa" w:w="2160"/>
          </w:tcPr>
          <w:p>
            <w:r/>
            <w:r>
              <w:rPr>
                <w:b/>
              </w:rPr>
              <w:t>Soil &amp; Groundwater</w:t>
            </w:r>
            <w:r/>
          </w:p>
        </w:tc>
        <w:tc>
          <w:tcPr>
            <w:tcW w:type="dxa" w:w="2160"/>
          </w:tcPr>
          <w:p>
            <w:r>
              <w:t>County land use maps, previous agronomic surveys</w:t>
            </w:r>
          </w:p>
        </w:tc>
        <w:tc>
          <w:tcPr>
            <w:tcW w:type="dxa" w:w="2160"/>
          </w:tcPr>
          <w:p>
            <w:r>
              <w:t>Soil texture, bulk density, organic matter, and heavy metal screening; groundwater depth verification using piezometers</w:t>
            </w:r>
          </w:p>
        </w:tc>
        <w:tc>
          <w:tcPr>
            <w:tcW w:type="dxa" w:w="2160"/>
          </w:tcPr>
          <w:p>
            <w:r>
              <w:t>One‑off survey (dry season)</w:t>
            </w:r>
          </w:p>
        </w:tc>
      </w:tr>
      <w:tr>
        <w:tc>
          <w:tcPr>
            <w:tcW w:type="dxa" w:w="2160"/>
          </w:tcPr>
          <w:p>
            <w:r/>
            <w:r>
              <w:rPr>
                <w:b/>
              </w:rPr>
              <w:t>Socio‑Economic</w:t>
            </w:r>
            <w:r/>
          </w:p>
        </w:tc>
        <w:tc>
          <w:tcPr>
            <w:tcW w:type="dxa" w:w="2160"/>
          </w:tcPr>
          <w:p>
            <w:r>
              <w:t>Kenya National Bureau of Statistics (KNBS) census, community household surveys, key informant interviews</w:t>
            </w:r>
          </w:p>
        </w:tc>
        <w:tc>
          <w:tcPr>
            <w:tcW w:type="dxa" w:w="2160"/>
          </w:tcPr>
          <w:p>
            <w:r>
              <w:t>Structured questionnaires (200 households), focus group discussions, GIS mapping of sensitive receptors</w:t>
            </w:r>
          </w:p>
        </w:tc>
        <w:tc>
          <w:tcPr>
            <w:tcW w:type="dxa" w:w="2160"/>
          </w:tcPr>
          <w:p>
            <w:r>
              <w:t>Baseline snapshot (single round)</w:t>
            </w:r>
          </w:p>
        </w:tc>
      </w:tr>
      <w:tr>
        <w:tc>
          <w:tcPr>
            <w:tcW w:type="dxa" w:w="2160"/>
          </w:tcPr>
          <w:p>
            <w:r/>
            <w:r>
              <w:rPr>
                <w:b/>
              </w:rPr>
              <w:t>Biodiversity</w:t>
            </w:r>
            <w:r/>
          </w:p>
        </w:tc>
        <w:tc>
          <w:tcPr>
            <w:tcW w:type="dxa" w:w="2160"/>
          </w:tcPr>
          <w:p>
            <w:r>
              <w:t>Kenya Wildlife Service (KWS) species registers, field transects</w:t>
            </w:r>
          </w:p>
        </w:tc>
        <w:tc>
          <w:tcPr>
            <w:tcW w:type="dxa" w:w="2160"/>
          </w:tcPr>
          <w:p>
            <w:r>
              <w:t>Visual encounter surveys for flora/fauna within a 500 m radius; identification of any protected species</w:t>
            </w:r>
          </w:p>
        </w:tc>
        <w:tc>
          <w:tcPr>
            <w:tcW w:type="dxa" w:w="2160"/>
          </w:tcPr>
          <w:p>
            <w:r>
              <w:t>Two seasonal surveys (wet &amp; dry)</w:t>
            </w:r>
          </w:p>
        </w:tc>
      </w:tr>
    </w:tbl>
    <w:p>
      <w:r>
        <w:t xml:space="preserve">All primary data were geo‑referenced using </w:t>
      </w:r>
      <w:r>
        <w:rPr>
          <w:b/>
        </w:rPr>
        <w:t>ArcGIS Pro 3.2</w:t>
      </w:r>
      <w:r>
        <w:t>, enabling spatial overlay of impact zones with existing land‑use and receptor locations.</w:t>
      </w:r>
    </w:p>
    <w:p>
      <w:r>
        <w:t>### 3</w:t>
      </w:r>
    </w:p>
    <w:p>
      <w:pPr>
        <w:pStyle w:val="Heading1"/>
      </w:pPr>
      <w:r>
        <w:t>Chapter 2: Project Description</w:t>
      </w:r>
    </w:p>
    <w:p>
      <w:pPr>
        <w:pStyle w:val="Heading2"/>
      </w:pPr>
      <w:r>
        <w:t>2.1 Project Location and Status</w:t>
      </w:r>
    </w:p>
    <w:p>
      <w:r>
        <w:t xml:space="preserve">The proposed Ruiru Agro‑Processing Plant – Maize Milling Facility will be sited on a privately‑owned freehold parcel (Land Registry No. 8891/22) within </w:t>
      </w:r>
      <w:r>
        <w:rPr>
          <w:b/>
        </w:rPr>
        <w:t>Murera Ward, Juja, Kiambu County</w:t>
      </w:r>
      <w:r>
        <w:t xml:space="preserve"> (geographic coordinates ‑1.1450 ° S, 36.9580 ° E). The site occupies approximately </w:t>
      </w:r>
      <w:r>
        <w:rPr>
          <w:b/>
        </w:rPr>
        <w:t>3.2 ha</w:t>
      </w:r>
      <w:r>
        <w:t xml:space="preserve"> (32,000 m²) of former small‑holder cropland that is presently under cultivation by local farmers. The parcel is bounded as follows:</w:t>
      </w:r>
    </w:p>
    <w:p>
      <w:pPr>
        <w:pStyle w:val="ListBullet"/>
      </w:pPr>
      <w:r/>
      <w:r>
        <w:rPr>
          <w:b/>
        </w:rPr>
        <w:t>North:</w:t>
      </w:r>
      <w:r>
        <w:t xml:space="preserve"> Karura Stream (approximately 180 m from the northern fence) and a secondary unpaved access road.</w:t>
      </w:r>
    </w:p>
    <w:p>
      <w:pPr>
        <w:pStyle w:val="ListBullet"/>
      </w:pPr>
      <w:r/>
      <w:r>
        <w:rPr>
          <w:b/>
        </w:rPr>
        <w:t>East:</w:t>
      </w:r>
      <w:r>
        <w:t xml:space="preserve"> Juja Level 4 Hospital (≈ 900 m) and a residential cluster (Murura Estate, 220 m SW).</w:t>
      </w:r>
    </w:p>
    <w:p>
      <w:pPr>
        <w:pStyle w:val="ListBullet"/>
      </w:pPr>
      <w:r/>
      <w:r>
        <w:rPr>
          <w:b/>
        </w:rPr>
        <w:t>South:</w:t>
      </w:r>
      <w:r>
        <w:t xml:space="preserve"> Murera Primary School (≈ 350 m) and a network of agricultural plots.</w:t>
      </w:r>
    </w:p>
    <w:p>
      <w:pPr>
        <w:pStyle w:val="ListBullet"/>
      </w:pPr>
      <w:r/>
      <w:r>
        <w:rPr>
          <w:b/>
        </w:rPr>
        <w:t>West:</w:t>
      </w:r>
      <w:r>
        <w:t xml:space="preserve"> A paved arterial road (Kariobangi‑Thika Highway, Mombasa Road feeder) that provides direct connectivity to the Nairobi‑Thika corridor.</w:t>
      </w:r>
    </w:p>
    <w:p>
      <w:r>
        <w:t>### Current Project Status (as of September 2026)</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Activity</w:t>
            </w:r>
          </w:p>
        </w:tc>
        <w:tc>
          <w:tcPr>
            <w:tcW w:type="dxa" w:w="2880"/>
          </w:tcPr>
          <w:p>
            <w:r>
              <w:rPr>
                <w:b/>
              </w:rPr>
              <w:t>Status</w:t>
            </w:r>
          </w:p>
        </w:tc>
        <w:tc>
          <w:tcPr>
            <w:tcW w:type="dxa" w:w="2880"/>
          </w:tcPr>
          <w:p>
            <w:r>
              <w:rPr>
                <w:b/>
              </w:rPr>
              <w:t>Comments</w:t>
            </w:r>
          </w:p>
        </w:tc>
      </w:tr>
      <w:tr>
        <w:tc>
          <w:tcPr>
            <w:tcW w:type="dxa" w:w="2880"/>
          </w:tcPr>
          <w:p>
            <w:r/>
            <w:r>
              <w:rPr>
                <w:b/>
              </w:rPr>
              <w:t>Land acquisition</w:t>
            </w:r>
            <w:r/>
          </w:p>
        </w:tc>
        <w:tc>
          <w:tcPr>
            <w:tcW w:type="dxa" w:w="2880"/>
          </w:tcPr>
          <w:p>
            <w:r>
              <w:t>Completed</w:t>
            </w:r>
          </w:p>
        </w:tc>
        <w:tc>
          <w:tcPr>
            <w:tcW w:type="dxa" w:w="2880"/>
          </w:tcPr>
          <w:p>
            <w:r>
              <w:t>Title deed transferred to Highland Grain Millers Ltd.; no pending disputes.</w:t>
            </w:r>
          </w:p>
        </w:tc>
      </w:tr>
      <w:tr>
        <w:tc>
          <w:tcPr>
            <w:tcW w:type="dxa" w:w="2880"/>
          </w:tcPr>
          <w:p>
            <w:r/>
            <w:r>
              <w:rPr>
                <w:b/>
              </w:rPr>
              <w:t>Site clearing &amp; grading</w:t>
            </w:r>
            <w:r/>
          </w:p>
        </w:tc>
        <w:tc>
          <w:tcPr>
            <w:tcW w:type="dxa" w:w="2880"/>
          </w:tcPr>
          <w:p>
            <w:r>
              <w:t>85 % finished</w:t>
            </w:r>
          </w:p>
        </w:tc>
        <w:tc>
          <w:tcPr>
            <w:tcW w:type="dxa" w:w="2880"/>
          </w:tcPr>
          <w:p>
            <w:r>
              <w:t>Vegetation removal and earthworks are underway; final grading scheduled for early 2027.</w:t>
            </w:r>
          </w:p>
        </w:tc>
      </w:tr>
      <w:tr>
        <w:tc>
          <w:tcPr>
            <w:tcW w:type="dxa" w:w="2880"/>
          </w:tcPr>
          <w:p>
            <w:r/>
            <w:r>
              <w:rPr>
                <w:b/>
              </w:rPr>
              <w:t>Design &amp; engineering</w:t>
            </w:r>
            <w:r/>
          </w:p>
        </w:tc>
        <w:tc>
          <w:tcPr>
            <w:tcW w:type="dxa" w:w="2880"/>
          </w:tcPr>
          <w:p>
            <w:r>
              <w:t>Final design approved</w:t>
            </w:r>
          </w:p>
        </w:tc>
        <w:tc>
          <w:tcPr>
            <w:tcW w:type="dxa" w:w="2880"/>
          </w:tcPr>
          <w:p>
            <w:r>
              <w:t>Detailed engineering drawings (civil, structural, mechanical, electrical) have received NEMA’s technical review clearance.</w:t>
            </w:r>
          </w:p>
        </w:tc>
      </w:tr>
      <w:tr>
        <w:tc>
          <w:tcPr>
            <w:tcW w:type="dxa" w:w="2880"/>
          </w:tcPr>
          <w:p>
            <w:r/>
            <w:r>
              <w:rPr>
                <w:b/>
              </w:rPr>
              <w:t>Environmental permits</w:t>
            </w:r>
            <w:r/>
          </w:p>
        </w:tc>
        <w:tc>
          <w:tcPr>
            <w:tcW w:type="dxa" w:w="2880"/>
          </w:tcPr>
          <w:p>
            <w:r>
              <w:t>Issued</w:t>
            </w:r>
          </w:p>
        </w:tc>
        <w:tc>
          <w:tcPr>
            <w:tcW w:type="dxa" w:w="2880"/>
          </w:tcPr>
          <w:p>
            <w:r>
              <w:t>• Environmental Impact Assessment (EIA) Certificate of Compliance (No. NEMA‑2026‑018) &lt;br&gt;• Water Resources Management Authority (WRMA) water use licence (closed‑loop recycling) &lt;br&gt;• County Planning Permit (Kiambu County, Ref. KP‑2026‑014)</w:t>
            </w:r>
          </w:p>
        </w:tc>
      </w:tr>
      <w:tr>
        <w:tc>
          <w:tcPr>
            <w:tcW w:type="dxa" w:w="2880"/>
          </w:tcPr>
          <w:p>
            <w:r/>
            <w:r>
              <w:rPr>
                <w:b/>
              </w:rPr>
              <w:t>Construction</w:t>
            </w:r>
            <w:r/>
          </w:p>
        </w:tc>
        <w:tc>
          <w:tcPr>
            <w:tcW w:type="dxa" w:w="2880"/>
          </w:tcPr>
          <w:p>
            <w:r>
              <w:t>Mobilisation phase</w:t>
            </w:r>
          </w:p>
        </w:tc>
        <w:tc>
          <w:tcPr>
            <w:tcW w:type="dxa" w:w="2880"/>
          </w:tcPr>
          <w:p>
            <w:r>
              <w:t>Site office, temporary storage, and worker accommodation have been erected; civil works are expected to commence Q1 2027.</w:t>
            </w:r>
          </w:p>
        </w:tc>
      </w:tr>
      <w:tr>
        <w:tc>
          <w:tcPr>
            <w:tcW w:type="dxa" w:w="2880"/>
          </w:tcPr>
          <w:p>
            <w:r/>
            <w:r>
              <w:rPr>
                <w:b/>
              </w:rPr>
              <w:t>Stakeholder engagement</w:t>
            </w:r>
            <w:r/>
          </w:p>
        </w:tc>
        <w:tc>
          <w:tcPr>
            <w:tcW w:type="dxa" w:w="2880"/>
          </w:tcPr>
          <w:p>
            <w:r>
              <w:t>Ongoing</w:t>
            </w:r>
          </w:p>
        </w:tc>
        <w:tc>
          <w:tcPr>
            <w:tcW w:type="dxa" w:w="2880"/>
          </w:tcPr>
          <w:p>
            <w:r>
              <w:t>Baraza held in August 2026 with 210 participants; a Community Liaison Officer (CLO) has been appointed and a grievance‑handling mechanism is operational.</w:t>
            </w:r>
          </w:p>
        </w:tc>
      </w:tr>
      <w:tr>
        <w:tc>
          <w:tcPr>
            <w:tcW w:type="dxa" w:w="2880"/>
          </w:tcPr>
          <w:p>
            <w:r/>
            <w:r>
              <w:rPr>
                <w:b/>
              </w:rPr>
              <w:t>Utility connections</w:t>
            </w:r>
            <w:r/>
          </w:p>
        </w:tc>
        <w:tc>
          <w:tcPr>
            <w:tcW w:type="dxa" w:w="2880"/>
          </w:tcPr>
          <w:p>
            <w:r>
              <w:t>Secured</w:t>
            </w:r>
          </w:p>
        </w:tc>
        <w:tc>
          <w:tcPr>
            <w:tcW w:type="dxa" w:w="2880"/>
          </w:tcPr>
          <w:p>
            <w:r>
              <w:t>• 33 kV electricity supply from Kenya Power (sub‑station 2 km away) &lt;br&gt;• Potable water connection from Kiambu County Water Services (planned for 2027) &lt;br&gt;• Sewage disposal via septic tank system (design complies with County Health Regulations)</w:t>
            </w:r>
          </w:p>
        </w:tc>
      </w:tr>
      <w:tr>
        <w:tc>
          <w:tcPr>
            <w:tcW w:type="dxa" w:w="2880"/>
          </w:tcPr>
          <w:p>
            <w:r/>
            <w:r>
              <w:rPr>
                <w:b/>
              </w:rPr>
              <w:t>Road access</w:t>
            </w:r>
            <w:r/>
          </w:p>
        </w:tc>
        <w:tc>
          <w:tcPr>
            <w:tcW w:type="dxa" w:w="2880"/>
          </w:tcPr>
          <w:p>
            <w:r>
              <w:t>Dedicated truck route identified</w:t>
            </w:r>
          </w:p>
        </w:tc>
        <w:tc>
          <w:tcPr>
            <w:tcW w:type="dxa" w:w="2880"/>
          </w:tcPr>
          <w:p>
            <w:r>
              <w:t>A 1.2 km haul‑road (designated “Murera Truck Corridor”) has been earmarked; speed‑bump installations are scheduled for Q4 2026.</w:t>
            </w:r>
          </w:p>
        </w:tc>
      </w:tr>
    </w:tbl>
    <w:p>
      <w:r>
        <w:t>### Rationale for Site Selection</w:t>
      </w:r>
    </w:p>
    <w:p>
      <w:pPr>
        <w:pStyle w:val="ListBullet"/>
      </w:pPr>
      <w:r/>
      <w:r>
        <w:rPr>
          <w:b/>
        </w:rPr>
        <w:t>Proximity to raw material supply:</w:t>
      </w:r>
      <w:r>
        <w:t xml:space="preserve"> The Juja/Murera catchment hosts &gt; 2,500 ha of maize farms, reducing inbound logistics costs and ensuring a reliable feedstock flow.</w:t>
      </w:r>
    </w:p>
    <w:p>
      <w:pPr>
        <w:pStyle w:val="ListBullet"/>
      </w:pPr>
      <w:r/>
      <w:r>
        <w:rPr>
          <w:b/>
        </w:rPr>
        <w:t>Groundwater availability:</w:t>
      </w:r>
      <w:r>
        <w:t xml:space="preserve"> Existing boreholes tap a shallow aquifer at ~35 m depth, providing a sustainable water source for process and domestic needs.</w:t>
      </w:r>
    </w:p>
    <w:p>
      <w:pPr>
        <w:pStyle w:val="ListBullet"/>
      </w:pPr>
      <w:r/>
      <w:r>
        <w:rPr>
          <w:b/>
        </w:rPr>
      </w:r>
      <w:r>
        <w:t>Transport</w:t>
      </w:r>
    </w:p>
    <w:p>
      <w:pPr>
        <w:pStyle w:val="Heading2"/>
      </w:pPr>
      <w:r>
        <w:t>2.2 Project Design and Components</w:t>
      </w:r>
    </w:p>
    <w:p>
      <w:r>
        <w:t>The Ruiru Agro‑Processing Plant is designed as a purpose‑built, medium‑scale maize milling facility that integrates modern processing technology with robust environmental management systems to meet both production targets and NEMA’s high‑risk regulatory requirements. The design follows a “clean‑process‑clean‑environment” philosophy, ensuring that each functional unit is physically separated, adequately ventilated, and equipped with control measures that minimise emissions, noise, and effluent discharge.</w:t>
      </w:r>
    </w:p>
    <w:p>
      <w:r/>
      <w:r>
        <w:rPr>
          <w:b/>
        </w:rPr>
        <w:t>Overall Layout and Site Planning</w:t>
      </w:r>
      <w:r/>
    </w:p>
    <w:p>
      <w:r>
        <w:t>The 2.5 ha site is organised into three primary zones – Production, Support Services, and Buffer/Green‑belt – each demarcated by paved internal roads and vegetated setbacks that provide visual screening and acoustic attenuation for nearby receptors.</w:t>
      </w:r>
    </w:p>
    <w:p>
      <w:pPr>
        <w:pStyle w:val="ListBullet"/>
      </w:pPr>
      <w:r/>
      <w:r>
        <w:rPr>
          <w:b/>
        </w:rPr>
        <w:t>Production Zone (≈ 1.2 ha)</w:t>
      </w:r>
      <w:r>
        <w:t xml:space="preserve"> – houses the main milling line, grain storage silos, dust extraction plant, and quality‑control laboratory. The layout follows a linear flow: reception → cleaning → conditioning → milling → sifting → packaging, minimising material handling and cross‑contamination.</w:t>
      </w:r>
    </w:p>
    <w:p>
      <w:pPr>
        <w:pStyle w:val="ListBullet"/>
      </w:pPr>
      <w:r/>
      <w:r>
        <w:rPr>
          <w:b/>
        </w:rPr>
        <w:t>Support Services Zone (≈ 0.8 ha)</w:t>
      </w:r>
      <w:r>
        <w:t xml:space="preserve"> – contains the administrative block, staff welfare facilities (canteen, locker rooms, medical clinic), power sub‑station, water‑treatment plant, and a dedicated truck‑loading/unloading apron.</w:t>
      </w:r>
    </w:p>
    <w:p>
      <w:pPr>
        <w:pStyle w:val="ListBullet"/>
      </w:pPr>
      <w:r/>
      <w:r>
        <w:rPr>
          <w:b/>
        </w:rPr>
        <w:t>Buffer/Green‑belt Zone (≈ 0.5 ha)</w:t>
      </w:r>
      <w:r>
        <w:t xml:space="preserve"> – a vegetated strip (native grasses and fast‑growing trees) along the northern perimeter adjacent to Karura Stream, serving as a bio‑filter for dust and a noise barrier.</w:t>
      </w:r>
    </w:p>
    <w:p>
      <w:r>
        <w:t>All structures are erected on reinforced concrete foundations with a design life of 30 years, exceeding the project’s operational lifespan of 25 years. The building envelope meets Kenya’s Building Code requirements for thermal performance and fire safety, and incorporates solar‑reflective roofing to reduce cooling loads.</w:t>
      </w:r>
    </w:p>
    <w:p>
      <w:r/>
      <w:r>
        <w:rPr>
          <w:b/>
        </w:rPr>
        <w:t>Key Process Components</w:t>
      </w:r>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Component</w:t>
            </w:r>
          </w:p>
        </w:tc>
        <w:tc>
          <w:tcPr>
            <w:tcW w:type="dxa" w:w="2880"/>
          </w:tcPr>
          <w:p>
            <w:r>
              <w:rPr>
                <w:b/>
              </w:rPr>
              <w:t>Specification</w:t>
            </w:r>
          </w:p>
        </w:tc>
        <w:tc>
          <w:tcPr>
            <w:tcW w:type="dxa" w:w="2880"/>
          </w:tcPr>
          <w:p>
            <w:r>
              <w:rPr>
                <w:b/>
              </w:rPr>
              <w:t>Environmental Safeguard</w:t>
            </w:r>
          </w:p>
        </w:tc>
      </w:tr>
      <w:tr>
        <w:tc>
          <w:tcPr>
            <w:tcW w:type="dxa" w:w="2880"/>
          </w:tcPr>
          <w:p>
            <w:r/>
            <w:r>
              <w:rPr>
                <w:b/>
              </w:rPr>
              <w:t>Grain Reception &amp; Cleaning</w:t>
            </w:r>
            <w:r/>
          </w:p>
        </w:tc>
        <w:tc>
          <w:tcPr>
            <w:tcW w:type="dxa" w:w="2880"/>
          </w:tcPr>
          <w:p>
            <w:r>
              <w:t>Capacity: 2 t h⁻¹; stainless‑steel cleaning screens, magnetic separators</w:t>
            </w:r>
          </w:p>
        </w:tc>
        <w:tc>
          <w:tcPr>
            <w:tcW w:type="dxa" w:w="2880"/>
          </w:tcPr>
          <w:p>
            <w:r>
              <w:t>Enclosed hopper with rubber‑lined doors to prevent dust escape</w:t>
            </w:r>
          </w:p>
        </w:tc>
      </w:tr>
      <w:tr>
        <w:tc>
          <w:tcPr>
            <w:tcW w:type="dxa" w:w="2880"/>
          </w:tcPr>
          <w:p>
            <w:r/>
            <w:r>
              <w:rPr>
                <w:b/>
              </w:rPr>
              <w:t>Conditioning &amp; Tempering</w:t>
            </w:r>
            <w:r/>
          </w:p>
        </w:tc>
        <w:tc>
          <w:tcPr>
            <w:tcW w:type="dxa" w:w="2880"/>
          </w:tcPr>
          <w:p>
            <w:r>
              <w:t>Steam‑heated tempering chambers (0–30 °C control)</w:t>
            </w:r>
          </w:p>
        </w:tc>
        <w:tc>
          <w:tcPr>
            <w:tcW w:type="dxa" w:w="2880"/>
          </w:tcPr>
          <w:p>
            <w:r>
              <w:t>Condensate recirculated to water‑recycling loop</w:t>
            </w:r>
          </w:p>
        </w:tc>
      </w:tr>
      <w:tr>
        <w:tc>
          <w:tcPr>
            <w:tcW w:type="dxa" w:w="2880"/>
          </w:tcPr>
          <w:p>
            <w:r/>
            <w:r>
              <w:rPr>
                <w:b/>
              </w:rPr>
              <w:t>Milling Line</w:t>
            </w:r>
            <w:r/>
          </w:p>
        </w:tc>
        <w:tc>
          <w:tcPr>
            <w:tcW w:type="dxa" w:w="2880"/>
          </w:tcPr>
          <w:p>
            <w:r>
              <w:t>4‑deck roller mill, 1 t h⁻¹ output; variable‑speed drives</w:t>
            </w:r>
          </w:p>
        </w:tc>
        <w:tc>
          <w:tcPr>
            <w:tcW w:type="dxa" w:w="2880"/>
          </w:tcPr>
          <w:p>
            <w:r>
              <w:t>Vibration isolation pads; acoustic enclosure (STC ≥ 55 dB)</w:t>
            </w:r>
          </w:p>
        </w:tc>
      </w:tr>
      <w:tr>
        <w:tc>
          <w:tcPr>
            <w:tcW w:type="dxa" w:w="2880"/>
          </w:tcPr>
          <w:p>
            <w:r/>
            <w:r>
              <w:rPr>
                <w:b/>
              </w:rPr>
              <w:t>Sifting &amp; Grading</w:t>
            </w:r>
            <w:r/>
          </w:p>
        </w:tc>
        <w:tc>
          <w:tcPr>
            <w:tcW w:type="dxa" w:w="2880"/>
          </w:tcPr>
          <w:p>
            <w:r>
              <w:t>Multi‑deck sifters with adjustable mesh sizes</w:t>
            </w:r>
          </w:p>
        </w:tc>
        <w:tc>
          <w:tcPr>
            <w:tcW w:type="dxa" w:w="2880"/>
          </w:tcPr>
          <w:p>
            <w:r>
              <w:t>Dust extraction hoods at each deck, connected to central filtration</w:t>
            </w:r>
          </w:p>
        </w:tc>
      </w:tr>
      <w:tr>
        <w:tc>
          <w:tcPr>
            <w:tcW w:type="dxa" w:w="2880"/>
          </w:tcPr>
          <w:p>
            <w:r/>
            <w:r>
              <w:rPr>
                <w:b/>
              </w:rPr>
              <w:t>Dust Extraction &amp; Filtration System</w:t>
            </w:r>
            <w:r/>
          </w:p>
        </w:tc>
        <w:tc>
          <w:tcPr>
            <w:tcW w:type="dxa" w:w="2880"/>
          </w:tcPr>
          <w:p>
            <w:r>
              <w:t>Centralised system: 12 kW centrifugal fans, multi‑stage bag filters (HEPA‑type, 99.97 % efficiency for particles ≥ 0.3 µm)</w:t>
            </w:r>
          </w:p>
        </w:tc>
        <w:tc>
          <w:tcPr>
            <w:tcW w:type="dxa" w:w="2880"/>
          </w:tcPr>
          <w:p>
            <w:r>
              <w:t>Continuous monitoring of PM₂.₅/PM₁₀; automatic shutdown on filter breach</w:t>
            </w:r>
          </w:p>
        </w:tc>
      </w:tr>
      <w:tr>
        <w:tc>
          <w:tcPr>
            <w:tcW w:type="dxa" w:w="2880"/>
          </w:tcPr>
          <w:p>
            <w:r/>
            <w:r>
              <w:rPr>
                <w:b/>
              </w:rPr>
              <w:t>Packaging Unit</w:t>
            </w:r>
            <w:r/>
          </w:p>
        </w:tc>
        <w:tc>
          <w:tcPr>
            <w:tcW w:type="dxa" w:w="2880"/>
          </w:tcPr>
          <w:p>
            <w:r>
              <w:t>Automated bagging &amp; palletising (up to 1 t h⁻¹)</w:t>
            </w:r>
          </w:p>
        </w:tc>
        <w:tc>
          <w:tcPr>
            <w:tcW w:type="dxa" w:w="2880"/>
          </w:tcPr>
          <w:p>
            <w:r>
              <w:t>Enclosed workstations with local exhaust ventilation</w:t>
            </w:r>
          </w:p>
        </w:tc>
      </w:tr>
    </w:tbl>
    <w:p>
      <w:r>
        <w:t xml:space="preserve">| </w:t>
      </w:r>
      <w:r>
        <w:rPr>
          <w:b/>
        </w:rPr>
        <w:t>Quality‑Control Laboratory</w:t>
      </w:r>
      <w:r>
        <w:t xml:space="preserve"> | Moisture analyzers, mycotoxin ELISA kits, particle‑size analyzers | Negative</w:t>
      </w:r>
    </w:p>
    <w:p>
      <w:pPr>
        <w:pStyle w:val="Heading2"/>
      </w:pPr>
      <w:r>
        <w:t>2.3 Project Activities (Construction, Operation, Decommissioning)</w:t>
      </w:r>
    </w:p>
    <w:p>
      <w:r/>
      <w:r>
        <w:rPr>
          <w:b/>
        </w:rPr>
        <w:t>Construction Phase (Months 0‑12)</w:t>
      </w:r>
      <w:r/>
    </w:p>
    <w:p>
      <w:r>
        <w:t>The construction programme is divided into three major packages that run concurrently where feasible, ensuring a 12‑month completion window and minimising disturbance to surrounding land uses.</w:t>
      </w:r>
    </w:p>
    <w:p>
      <w:pPr>
        <w:pStyle w:val="ListBullet"/>
      </w:pPr>
      <w:r/>
      <w:r>
        <w:rPr>
          <w:b/>
        </w:rPr>
        <w:t>Site Preparation &amp; Earthworks</w:t>
      </w:r>
      <w:r/>
    </w:p>
    <w:p>
      <w:pPr>
        <w:pStyle w:val="ListBullet"/>
      </w:pPr>
      <w:r>
        <w:t>Clearing of the existing cropland (≈ 2.8 ha) using manual hand‑tools and low‑impact mechanical equipment to limit soil disturbance and dust generation.</w:t>
      </w:r>
    </w:p>
    <w:p>
      <w:pPr>
        <w:pStyle w:val="ListBullet"/>
      </w:pPr>
      <w:r>
        <w:t>Topsoil stripping (≈ 0.25 m) for off‑site storage and later reinstatement on the reclaimed green buffer.</w:t>
      </w:r>
    </w:p>
    <w:p>
      <w:pPr>
        <w:pStyle w:val="ListBullet"/>
      </w:pPr>
      <w:r>
        <w:t>Grading and formation of a 1.5 m wide access road linking the plant to the existing Juja‑Thika highway, with sub‑grade compaction to a minimum of 95 % Proctor density.</w:t>
      </w:r>
    </w:p>
    <w:p>
      <w:pPr>
        <w:pStyle w:val="ListBullet"/>
      </w:pPr>
      <w:r>
        <w:t>Installation of temporary erosion and sediment control structures (silt fences, sediment basins, and check dams) in accordance with NEMA‑G 001‑2020.</w:t>
      </w:r>
    </w:p>
    <w:p>
      <w:pPr>
        <w:pStyle w:val="ListBullet"/>
      </w:pPr>
      <w:r/>
      <w:r>
        <w:rPr>
          <w:b/>
        </w:rPr>
        <w:t>Foundations &amp; Structural Works</w:t>
      </w:r>
      <w:r/>
    </w:p>
    <w:p>
      <w:pPr>
        <w:pStyle w:val="ListBullet"/>
      </w:pPr>
      <w:r>
        <w:t>Reinforced concrete strip footings for the main building (≈ 3,200 m²) and ancillary structures (admin block, storage sheds).</w:t>
      </w:r>
    </w:p>
    <w:p>
      <w:pPr>
        <w:pStyle w:val="ListBullet"/>
      </w:pPr>
      <w:r>
        <w:t>Piling (bored cast‑in‑place, Ø 600 mm, depth 12 m) for the heavy‑equipment foundation of the grain cleaning and milling line to accommodate dynamic loads and prevent settlement.</w:t>
      </w:r>
    </w:p>
    <w:p>
      <w:pPr>
        <w:pStyle w:val="ListBullet"/>
      </w:pPr>
      <w:r>
        <w:t>Erection of a steel portal frame (height 12 m) for the processing hall, with galvanised roofing and insulated wall panels to reduce thermal loads.</w:t>
      </w:r>
    </w:p>
    <w:p>
      <w:pPr>
        <w:pStyle w:val="ListBullet"/>
      </w:pPr>
      <w:r/>
      <w:r>
        <w:rPr>
          <w:b/>
        </w:rPr>
        <w:t>Mechanical &amp; Electrical Installation</w:t>
      </w:r>
      <w:r/>
    </w:p>
    <w:p>
      <w:pPr>
        <w:pStyle w:val="ListBullet"/>
      </w:pPr>
      <w:r>
        <w:t>Installation of the grain handling system: 2 × 30 t capacity elevators, 3 × 15 t horizontal conveyors, and a closed‑loop dust extraction network (HEPA‑rated filters, cyclone separators).</w:t>
      </w:r>
    </w:p>
    <w:p>
      <w:pPr>
        <w:pStyle w:val="ListBullet"/>
      </w:pPr>
      <w:r>
        <w:t>Power supply: 2 × 5 MVA transformers, underground cabling to the plant, and a standby diesel generator (1 MW) for critical loads.</w:t>
      </w:r>
    </w:p>
    <w:p>
      <w:pPr>
        <w:pStyle w:val="ListBullet"/>
      </w:pPr>
      <w:r>
        <w:t>Water supply &amp; recycling: 2 × 500 m³ storage tanks, a reverse‑osmosis plant for process water, and a closed‑loop cooling system feeding the grain dryer.</w:t>
      </w:r>
    </w:p>
    <w:p>
      <w:pPr>
        <w:pStyle w:val="ListBullet"/>
      </w:pPr>
      <w:r>
        <w:t>Installation of acoustic enclosures around the milling and grinding units, meeting the NEMA Noise Emission Standard (≤ 55 dB(A) at 50 m).</w:t>
      </w:r>
    </w:p>
    <w:p>
      <w:pPr>
        <w:pStyle w:val="ListBullet"/>
      </w:pPr>
      <w:r/>
      <w:r>
        <w:rPr>
          <w:b/>
        </w:rPr>
        <w:t>Ancillary Works</w:t>
      </w:r>
      <w:r/>
    </w:p>
    <w:p>
      <w:pPr>
        <w:pStyle w:val="ListBullet"/>
      </w:pPr>
      <w:r>
        <w:t>Construction of a 150 m² administration block with separate staff welfare facilities (canteen, locker rooms, first‑aid).</w:t>
      </w:r>
    </w:p>
    <w:p>
      <w:pPr>
        <w:pStyle w:val="ListBullet"/>
      </w:pPr>
      <w:r>
        <w:t>Development of a 0.5 ha green buffer zone (native grasses and trees) along the northern boundary adjacent to Karura Stream, serving as a visual screen and secondary runoff filter.</w:t>
      </w:r>
    </w:p>
    <w:p>
      <w:pPr>
        <w:pStyle w:val="ListBullet"/>
      </w:pPr>
      <w:r>
        <w:t>Provision of a dedicated truck lay‑down area (≈ 3 ha) with paved hardstand, speed‑bump installations, and a one‑way traffic flow diagram approved by the County Transport Office.</w:t>
      </w:r>
    </w:p>
    <w:p>
      <w:r/>
      <w:r>
        <w:rPr>
          <w:i/>
        </w:rPr>
        <w:t>Environmental Management during Construction</w:t>
      </w:r>
      <w:r/>
    </w:p>
    <w:p>
      <w:pPr>
        <w:pStyle w:val="ListBullet"/>
      </w:pPr>
      <w:r>
        <w:t>Daily water spraying of unpaved areas and dust‑suppression at material handling points.</w:t>
      </w:r>
    </w:p>
    <w:p>
      <w:pPr>
        <w:pStyle w:val="ListBullet"/>
      </w:pPr>
      <w:r>
        <w:t>Noise monitoring stations positioned at Juja Level 4 Hospital and Murura Primary School; work restricted to 06:00‑20:00 h, with a 10 % reduction in equipment RPM during peak school hours (08:00‑15:00</w:t>
      </w:r>
    </w:p>
    <w:p>
      <w:pPr>
        <w:pStyle w:val="Heading2"/>
      </w:pPr>
      <w:r>
        <w:t>2.4 Project Requirements (Materials, Equipment, Labour)</w:t>
      </w:r>
    </w:p>
    <w:p>
      <w:r>
        <w:t xml:space="preserve">The maize‑processing plant will be constructed and operated in three inter‑linked phases – </w:t>
      </w:r>
      <w:r>
        <w:rPr>
          <w:b/>
        </w:rPr>
        <w:t>civil works, process‑equipment installation, and commissioning/operation</w:t>
      </w:r>
      <w:r>
        <w:t>.  Each phase has distinct material, equipment and labour requirements that have been quantified to meet the design capacity of 120 t day⁻¹, comply with Kenyan building codes, NEMA standards and the project’s high‑risk classification under the Second Schedule.</w:t>
      </w:r>
    </w:p>
    <w:p>
      <w:r>
        <w:t>---</w:t>
      </w:r>
    </w:p>
    <w:p>
      <w:r>
        <w:t>### 1. Materials</w:t>
      </w:r>
    </w:p>
    <w:p>
      <w:r/>
      <w:r>
        <w:rPr>
          <w:b/>
        </w:rPr>
        <w:t>Civil‑construction materials</w:t>
      </w:r>
      <w:r/>
    </w:p>
    <w:p>
      <w:pPr>
        <w:pStyle w:val="ListBullet"/>
      </w:pPr>
      <w:r/>
      <w:r>
        <w:rPr>
          <w:b/>
        </w:rPr>
        <w:t>Reinforced concrete (C30/37)</w:t>
      </w:r>
      <w:r>
        <w:t xml:space="preserve"> – foundations, floor slabs, columns and shear walls for the main processing hall, storage silos and administrative block. Approx. 1 200 m³ total.</w:t>
      </w:r>
    </w:p>
    <w:p>
      <w:pPr>
        <w:pStyle w:val="ListBullet"/>
      </w:pPr>
      <w:r/>
      <w:r>
        <w:rPr>
          <w:b/>
        </w:rPr>
        <w:t>Structural steel (S275)</w:t>
      </w:r>
      <w:r>
        <w:t xml:space="preserve"> – portal frames for the loading dock, roof trusses, and secondary steel‑framed mezzanine (≈ 85 t).</w:t>
      </w:r>
    </w:p>
    <w:p>
      <w:pPr>
        <w:pStyle w:val="ListBullet"/>
      </w:pPr>
      <w:r/>
      <w:r>
        <w:rPr>
          <w:b/>
        </w:rPr>
        <w:t>Blockwork (solid brick, 190 mm)</w:t>
      </w:r>
      <w:r>
        <w:t xml:space="preserve"> – external and internal partition walls for offices, staff welfare facilities and the quality‑control laboratory.</w:t>
      </w:r>
    </w:p>
    <w:p>
      <w:pPr>
        <w:pStyle w:val="ListBullet"/>
      </w:pPr>
      <w:r/>
      <w:r>
        <w:rPr>
          <w:b/>
        </w:rPr>
        <w:t>Water‑proofing membranes &amp; bentonite slurry</w:t>
      </w:r>
      <w:r>
        <w:t xml:space="preserve"> – for the underground tank (capacity 250 m³) and the closed‑loop water‑recycling system.</w:t>
      </w:r>
    </w:p>
    <w:p>
      <w:pPr>
        <w:pStyle w:val="ListBullet"/>
      </w:pPr>
      <w:r/>
      <w:r>
        <w:rPr>
          <w:b/>
        </w:rPr>
        <w:t>Insulation (glass‑wool, R‑value ≥ 3.5)</w:t>
      </w:r>
      <w:r>
        <w:t xml:space="preserve"> – roof and wall panels to maintain ambient temperature for grain storage (≤ 25 °C).</w:t>
      </w:r>
    </w:p>
    <w:p>
      <w:pPr>
        <w:pStyle w:val="ListBullet"/>
      </w:pPr>
      <w:r/>
      <w:r>
        <w:rPr>
          <w:b/>
        </w:rPr>
        <w:t>Finishing materials</w:t>
      </w:r>
      <w:r>
        <w:t xml:space="preserve"> – anti‑static epoxy floor coating in the milling area, washable wall cladding, stainless‑steel handrails and safety barriers.</w:t>
      </w:r>
    </w:p>
    <w:p>
      <w:r/>
      <w:r>
        <w:rPr>
          <w:b/>
        </w:rPr>
        <w:t>Process‑related raw materials</w:t>
      </w:r>
      <w:r/>
    </w:p>
    <w:p>
      <w:pPr>
        <w:pStyle w:val="ListBullet"/>
      </w:pPr>
      <w:r/>
      <w:r>
        <w:rPr>
          <w:b/>
        </w:rPr>
        <w:t>Milling steel rollers &amp; grinding stones</w:t>
      </w:r>
      <w:r>
        <w:t xml:space="preserve"> – high‑carbon alloy (AISI 52100) for the primary roller mill and impact crusher.</w:t>
      </w:r>
    </w:p>
    <w:p>
      <w:pPr>
        <w:pStyle w:val="ListBullet"/>
      </w:pPr>
      <w:r/>
      <w:r>
        <w:rPr>
          <w:b/>
        </w:rPr>
        <w:t>Food‑grade stainless steel (SS304/316)</w:t>
      </w:r>
      <w:r>
        <w:t xml:space="preserve"> – for sifters, conveyors, grain elevators, dust‑extraction ducts and the packaging line.</w:t>
      </w:r>
    </w:p>
    <w:p>
      <w:pPr>
        <w:pStyle w:val="ListBullet"/>
      </w:pPr>
      <w:r/>
      <w:r>
        <w:rPr>
          <w:b/>
        </w:rPr>
        <w:t>Polypropylene (PP) and high‑density polyethylene (HDPE) bins</w:t>
      </w:r>
      <w:r>
        <w:t xml:space="preserve"> – 10 m³ bulk storage silos (4 units) and 2 m³ feed bags.</w:t>
      </w:r>
    </w:p>
    <w:p>
      <w:pPr>
        <w:pStyle w:val="ListBullet"/>
      </w:pPr>
      <w:r/>
      <w:r>
        <w:rPr>
          <w:b/>
        </w:rPr>
        <w:t>Filtration media</w:t>
      </w:r>
      <w:r>
        <w:t xml:space="preserve"> – HEPA‑grade filter cartridges (≥ 99.97 % efficiency) for the dust extraction system, and activated carbon beds for odor control.</w:t>
      </w:r>
    </w:p>
    <w:p>
      <w:r/>
      <w:r>
        <w:rPr>
          <w:b/>
        </w:rPr>
        <w:t>Utility and ancillary materials</w:t>
      </w:r>
      <w:r/>
    </w:p>
    <w:p>
      <w:pPr>
        <w:pStyle w:val="ListBullet"/>
      </w:pPr>
      <w:r/>
      <w:r>
        <w:rPr>
          <w:b/>
        </w:rPr>
        <w:t>Electrical cabling (XLPE, 0.6/1 kV)</w:t>
      </w:r>
      <w:r>
        <w:t xml:space="preserve"> – for the 400 kV sub‑station feed, plant distribution board and emergency backup system.</w:t>
      </w:r>
    </w:p>
    <w:p>
      <w:pPr>
        <w:pStyle w:val="ListBullet"/>
      </w:pPr>
      <w:r/>
      <w:r>
        <w:rPr>
          <w:b/>
        </w:rPr>
        <w:t>PVC‑HDPE water and wastewater pipelines</w:t>
      </w:r>
      <w:r>
        <w:t xml:space="preserve"> – 150 mm and 200 mm diameters for the closed‑loop recycling circuit and the effluent treatment plant (ETP).</w:t>
      </w:r>
    </w:p>
    <w:p>
      <w:pPr>
        <w:pStyle w:val="ListBullet"/>
      </w:pPr>
      <w:r/>
      <w:r>
        <w:rPr>
          <w:b/>
        </w:rPr>
        <w:t>Fire‑suppression components</w:t>
      </w:r>
      <w:r>
        <w:t xml:space="preserve"> – FM‑200 gas cylinders, fire‑hydrant network, and automatic sprinkler heads (ISO 834 compliant).</w:t>
      </w:r>
    </w:p>
    <w:p>
      <w:r>
        <w:t>---</w:t>
      </w:r>
    </w:p>
    <w:p>
      <w:r>
        <w:t>### 2. Equipment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Category</w:t>
            </w:r>
          </w:p>
        </w:tc>
        <w:tc>
          <w:tcPr>
            <w:tcW w:type="dxa" w:w="1728"/>
          </w:tcPr>
          <w:p>
            <w:r>
              <w:rPr>
                <w:b/>
              </w:rPr>
              <w:t>Item</w:t>
            </w:r>
          </w:p>
        </w:tc>
        <w:tc>
          <w:tcPr>
            <w:tcW w:type="dxa" w:w="1728"/>
          </w:tcPr>
          <w:p>
            <w:r>
              <w:rPr>
                <w:b/>
              </w:rPr>
              <w:t>Specification / Capacity</w:t>
            </w:r>
          </w:p>
        </w:tc>
        <w:tc>
          <w:tcPr>
            <w:tcW w:type="dxa" w:w="1728"/>
          </w:tcPr>
          <w:p>
            <w:r>
              <w:rPr>
                <w:b/>
              </w:rPr>
              <w:t>Quantity</w:t>
            </w:r>
          </w:p>
        </w:tc>
        <w:tc>
          <w:tcPr>
            <w:tcW w:type="dxa" w:w="1728"/>
          </w:tcPr>
          <w:p>
            <w:r>
              <w:rPr>
                <w:b/>
              </w:rPr>
              <w:t>Remarks</w:t>
            </w:r>
          </w:p>
        </w:tc>
      </w:tr>
      <w:tr>
        <w:tc>
          <w:tcPr>
            <w:tcW w:type="dxa" w:w="1728"/>
          </w:tcPr>
          <w:p>
            <w:r/>
            <w:r>
              <w:rPr>
                <w:b/>
              </w:rPr>
              <w:t>Milling &amp; Processing</w:t>
            </w:r>
            <w:r/>
          </w:p>
        </w:tc>
        <w:tc>
          <w:tcPr>
            <w:tcW w:type="dxa" w:w="1728"/>
          </w:tcPr>
          <w:p>
            <w:r>
              <w:t>Primary roller mill</w:t>
            </w:r>
          </w:p>
        </w:tc>
        <w:tc>
          <w:tcPr>
            <w:tcW w:type="dxa" w:w="1728"/>
          </w:tcPr>
          <w:p>
            <w:r>
              <w:t>2‑stage, 30 t h⁻¹, 0.5 mm product size</w:t>
            </w:r>
          </w:p>
        </w:tc>
        <w:tc>
          <w:tcPr>
            <w:tcW w:type="dxa" w:w="1728"/>
          </w:tcPr>
          <w:p>
            <w:r>
              <w:t>1</w:t>
            </w:r>
          </w:p>
        </w:tc>
        <w:tc>
          <w:tcPr>
            <w:tcW w:type="dxa" w:w="1728"/>
          </w:tcPr>
          <w:p>
            <w:r>
              <w:t>Integrated with automatic grain feed.</w:t>
            </w:r>
          </w:p>
        </w:tc>
      </w:tr>
    </w:tbl>
    <w:p>
      <w:pPr>
        <w:pStyle w:val="Heading1"/>
      </w:pPr>
      <w:r>
        <w:t>Chapter 3: Analysis of Project Alternatives</w:t>
      </w:r>
    </w:p>
    <w:p>
      <w:pPr>
        <w:pStyle w:val="Heading2"/>
      </w:pPr>
      <w:r>
        <w:t>3.1 The "No Project" Alternative</w:t>
      </w:r>
    </w:p>
    <w:p>
      <w:r>
        <w:t>The “No Project” alternative represents the continuation of existing conditions in the Murera Ward, Juja, Kiambu County, with the land remaining under its current cropland use and the local community maintaining its present socio‑economic and environmental status. Under this scenario, the baseline parameters documented during the scoping phase would persist unchanged for the foreseeable 25‑year planning horizon, and no additional development‑related pressures would be introduced to the study area.</w:t>
      </w:r>
    </w:p>
    <w:p>
      <w:r/>
      <w:r>
        <w:rPr>
          <w:b/>
        </w:rPr>
        <w:t>Environmental baseline under the “No Project” scenario</w:t>
      </w:r>
      <w:r/>
    </w:p>
    <w:p>
      <w:pPr>
        <w:pStyle w:val="ListBullet"/>
      </w:pPr>
      <w:r/>
      <w:r>
        <w:rPr>
          <w:b/>
        </w:rPr>
        <w:t>Air quality</w:t>
      </w:r>
      <w:r>
        <w:t xml:space="preserve"> – Ambient concentrations of particulate matter would remain at the measured levels of </w:t>
      </w:r>
      <w:r>
        <w:rPr>
          <w:b/>
        </w:rPr>
        <w:t>PM₂.₅ = 18 µg m⁻³</w:t>
      </w:r>
      <w:r>
        <w:t xml:space="preserve"> and </w:t>
      </w:r>
      <w:r>
        <w:rPr>
          <w:b/>
        </w:rPr>
        <w:t>PM₁₀ = 41 µg m⁻³</w:t>
      </w:r>
      <w:r>
        <w:t>, which are already within Kenya’s National Ambient Air Quality Standards (NAAQS) for residential/agricultural zones. No new emission sources would be added, and the existing background levels would be governed primarily by regional agricultural burning, traffic on the Nairobi‑Thika corridor, and natural dust.</w:t>
      </w:r>
    </w:p>
    <w:p>
      <w:pPr>
        <w:pStyle w:val="ListBullet"/>
      </w:pPr>
      <w:r/>
      <w:r>
        <w:rPr>
          <w:b/>
        </w:rPr>
        <w:t>Noise</w:t>
      </w:r>
      <w:r>
        <w:t xml:space="preserve"> – The ambient </w:t>
      </w:r>
      <w:r>
        <w:rPr>
          <w:b/>
        </w:rPr>
        <w:t>Leq = 52 dB(A)</w:t>
      </w:r>
      <w:r>
        <w:t xml:space="preserve"> recorded at the site would continue to be dominated by road traffic, occasional livestock handling, and sporadic community events. The absence of a milling plant eliminates any potential increase in occupational or community noise from rotating machinery, conveyors, and loading/unloading operations.</w:t>
      </w:r>
    </w:p>
    <w:p>
      <w:pPr>
        <w:pStyle w:val="ListBullet"/>
      </w:pPr>
      <w:r/>
      <w:r>
        <w:rPr>
          <w:b/>
        </w:rPr>
        <w:t>Land use and soil</w:t>
      </w:r>
      <w:r>
        <w:t xml:space="preserve"> – The parcel (LR No. 8891/22) would stay classified as </w:t>
      </w:r>
      <w:r>
        <w:rPr>
          <w:b/>
        </w:rPr>
        <w:t>cropland</w:t>
      </w:r>
      <w:r>
        <w:t>. Existing farming practices—predominantly small‑holder maize cultivation—would continue, preserving the current soil structure, organic matter content, and land‑use pattern. No soil compaction, excavation, or construction‑related disturbance would occur.</w:t>
      </w:r>
    </w:p>
    <w:p>
      <w:pPr>
        <w:pStyle w:val="ListBullet"/>
      </w:pPr>
      <w:r/>
      <w:r>
        <w:rPr>
          <w:b/>
        </w:rPr>
        <w:t>Groundwater</w:t>
      </w:r>
      <w:r>
        <w:t xml:space="preserve"> – The water table at </w:t>
      </w:r>
      <w:r>
        <w:rPr>
          <w:b/>
        </w:rPr>
        <w:t>35 m depth</w:t>
      </w:r>
      <w:r>
        <w:t xml:space="preserve"> would remain unaffected by industrial abstraction. Existing irrigation schemes, if any, would continue to draw water at current rates, preserving the long‑term hydraulic balance of the aquifer.</w:t>
      </w:r>
    </w:p>
    <w:p>
      <w:pPr>
        <w:pStyle w:val="ListBullet"/>
      </w:pPr>
      <w:r/>
      <w:r>
        <w:rPr>
          <w:b/>
        </w:rPr>
        <w:t>Surface water</w:t>
      </w:r>
      <w:r>
        <w:t xml:space="preserve"> – </w:t>
      </w:r>
      <w:r>
        <w:rPr>
          <w:b/>
        </w:rPr>
        <w:t>Karura Stream</w:t>
      </w:r>
      <w:r>
        <w:t>, located 180 m north of the site, would retain its present flow regime and water quality, which is currently influenced only by upstream agricultural runoff and natural processes. No additional point‑source discharges, storm‑water runoff, or potential contaminant loads from the plant would be introduced.</w:t>
      </w:r>
    </w:p>
    <w:p>
      <w:r/>
      <w:r>
        <w:rPr>
          <w:b/>
        </w:rPr>
        <w:t>Social and economic implications of the “No Project” alternative</w:t>
      </w:r>
      <w:r/>
    </w:p>
    <w:p>
      <w:pPr>
        <w:pStyle w:val="ListBullet"/>
      </w:pPr>
      <w:r/>
      <w:r>
        <w:rPr>
          <w:b/>
        </w:rPr>
        <w:t>Employment</w:t>
      </w:r>
      <w:r>
        <w:t xml:space="preserve"> – The community would forgo the creation of an estimated </w:t>
      </w:r>
      <w:r>
        <w:rPr>
          <w:b/>
        </w:rPr>
        <w:t>150–200 direct jobs</w:t>
      </w:r>
      <w:r>
        <w:t xml:space="preserve"> (plant operators, maintenance staff, quality control, administration) and </w:t>
      </w:r>
      <w:r>
        <w:rPr>
          <w:b/>
        </w:rPr>
        <w:t>300–400 indirect jobs</w:t>
      </w:r>
      <w:r>
        <w:t xml:space="preserve"> (truck drivers, local suppliers, service providers). Unemployment levels would likely remain at current rural averages, limiting income‑generation opportunities for youth and women.</w:t>
      </w:r>
    </w:p>
    <w:p>
      <w:pPr>
        <w:pStyle w:val="ListBullet"/>
      </w:pPr>
      <w:r/>
      <w:r>
        <w:rPr>
          <w:b/>
        </w:rPr>
        <w:t>Income and livelihoods</w:t>
      </w:r>
      <w:r>
        <w:t xml:space="preserve"> – Small‑holder maize farmers would continue to sell their produce to existing market channels, which are often characterized by low price realization and limited value‑addition. The absence of a local agro‑processing facility means that post‑harvest losses (estimated at 10‑15 % for maize in the region) would persist, and farmers would not benefit from a guaranteed off‑take arrangement or premium prices for cleaned, milled grain.</w:t>
      </w:r>
    </w:p>
    <w:p>
      <w:pPr>
        <w:pStyle w:val="ListBullet"/>
      </w:pPr>
      <w:r/>
      <w:r>
        <w:rPr>
          <w:b/>
        </w:rPr>
        <w:t>Infrastructure development</w:t>
      </w:r>
      <w:r>
        <w:t xml:space="preserve"> – No new road upgrades, truck‑route improvements, or ancillary utilities (e.g., electricity sub‑station</w:t>
      </w:r>
    </w:p>
    <w:p>
      <w:pPr>
        <w:pStyle w:val="Heading2"/>
      </w:pPr>
      <w:r>
        <w:t>3.2 The Proposed Development Alternative</w:t>
      </w:r>
    </w:p>
    <w:p>
      <w:r>
        <w:t>The proposed development consists of a purpose‑built, medium‑scale maize milling complex sited on the privately owned freehold parcel LR No. 8891/22 in Murera Ward, Juja, Kiambu County (‑1.1450 ° S, 36.9580 ° E).  The 2.8 ha site will be transformed from existing cropland into a fully integrated agro‑processing hub that will receive, clean, mill, and package maize for domestic and regional markets over a 25‑year operational life.  The design adheres to the NEMA “Second Schedule – High Risk” requirements and incorporates the mitigation measures identified during the August 2026 stakeholder consultation.</w:t>
      </w:r>
    </w:p>
    <w:p>
      <w:r/>
      <w:r>
        <w:rPr>
          <w:b/>
        </w:rPr>
        <w:t>Site layout and built‑environment</w:t>
      </w:r>
      <w:r/>
    </w:p>
    <w:p>
      <w:r>
        <w:t>The plant layout is organized around a central processing zone flanked by support and ancillary facilities:</w:t>
      </w:r>
    </w:p>
    <w:p>
      <w:pPr>
        <w:pStyle w:val="ListBullet"/>
      </w:pPr>
      <w:r/>
      <w:r>
        <w:rPr>
          <w:b/>
        </w:rPr>
        <w:t>Processing zone (≈ 1.2 ha)</w:t>
      </w:r>
      <w:r>
        <w:t xml:space="preserve"> – houses the grain reception hall, cleaning and de‑stoning equipment, roller‑mill lines, sifters, and packaging lines.  The building envelope will be steel‑frame with insulated panels, providing a total floor area of 12 000 m².  Roof‑mounted solar PV (≈ 250 kW) will supply up to 30 % of the plant’s electricity demand, reducing reliance on the national grid.</w:t>
      </w:r>
    </w:p>
    <w:p>
      <w:pPr>
        <w:pStyle w:val="ListBullet"/>
      </w:pPr>
      <w:r/>
      <w:r>
        <w:rPr>
          <w:b/>
        </w:rPr>
        <w:t>Dust extraction &amp; filtration hub (≈ 0.2 ha)</w:t>
      </w:r>
      <w:r>
        <w:t xml:space="preserve"> – a dedicated enclosure containing high‑efficiency bag filters (≥ 99.5 % removal of particles &gt; 5 µm) and a closed‑loop dust collection system that routes captured dust to a secondary product line (animal feed).  The enclosure is acoustically insulated to meet the 55 dBA Lmax limit at the site boundary.</w:t>
      </w:r>
    </w:p>
    <w:p>
      <w:pPr>
        <w:pStyle w:val="ListBullet"/>
      </w:pPr>
      <w:r/>
      <w:r>
        <w:rPr>
          <w:b/>
        </w:rPr>
        <w:t>Water‑recycling plant (≈ 0.15 ha)</w:t>
      </w:r>
      <w:r>
        <w:t xml:space="preserve"> – a closed‑loop system comprising a sedimentation tank, ultrafiltration unit, and reverse‑osmosis polishing stage.  Treated water is reused for grain washing, equipment cooling, and fire‑fighting reserves, thereby eliminating any net abstraction from the underlying aquifer.</w:t>
      </w:r>
    </w:p>
    <w:p>
      <w:pPr>
        <w:pStyle w:val="ListBullet"/>
      </w:pPr>
      <w:r/>
      <w:r>
        <w:rPr>
          <w:b/>
        </w:rPr>
        <w:t>Vehicle circulation &amp; logistics area (≈ 0.8 ha)</w:t>
      </w:r>
      <w:r>
        <w:t xml:space="preserve"> – includes a dedicated truck receiving bay, two‑lane internal road network, parking for 30 staff vehicles, and a 1 500 m³ covered storage yard for finished product.  The internal road network is paved with low‑dust aggregate and incorporates speed‑calming measures (speed bumps, signage) to limit vehicle speed to 30 km h within the plant perimeter.</w:t>
      </w:r>
    </w:p>
    <w:p>
      <w:pPr>
        <w:pStyle w:val="ListBullet"/>
      </w:pPr>
      <w:r/>
      <w:r>
        <w:rPr>
          <w:b/>
        </w:rPr>
        <w:t>Green buffer &amp; landscaping (≈ 0.35 ha)</w:t>
      </w:r>
      <w:r>
        <w:t xml:space="preserve"> – a vegetated buffer zone (minimum 15 m width) will be planted with native tree species (e.g., </w:t>
      </w:r>
      <w:r>
        <w:rPr>
          <w:i/>
        </w:rPr>
        <w:t>Acacia nilotica</w:t>
      </w:r>
      <w:r>
        <w:t xml:space="preserve">, </w:t>
      </w:r>
      <w:r>
        <w:rPr>
          <w:i/>
        </w:rPr>
        <w:t>Grevillea robusta</w:t>
      </w:r>
      <w:r>
        <w:t>) along the northern boundary adjacent to Karura Stream.  The buffer serves to attenuate any residual dust, noise, and surface runoff, and provides a visual screen for neighboring receptors.</w:t>
      </w:r>
    </w:p>
    <w:p>
      <w:r/>
      <w:r>
        <w:rPr>
          <w:b/>
        </w:rPr>
        <w:t>Process flow and production capacity</w:t>
      </w:r>
      <w:r/>
    </w:p>
    <w:p>
      <w:r>
        <w:t>The plant is designed for an annual throughput of 120 000 t of raw maize, equivalent to an average daily intake of 500 t (peak 650 t).  The process chain is as follows:</w:t>
      </w:r>
    </w:p>
    <w:p>
      <w:pPr>
        <w:pStyle w:val="ListNumber"/>
      </w:pPr>
      <w:r/>
      <w:r>
        <w:rPr>
          <w:b/>
        </w:rPr>
        <w:t>Grain reception &amp; weighing</w:t>
      </w:r>
      <w:r>
        <w:t xml:space="preserve"> – trucks unload onto a calibrated weighbridge; grain is conveyed via sealed belt conveyors to the cleaning hall.</w:t>
      </w:r>
    </w:p>
    <w:p>
      <w:pPr>
        <w:pStyle w:val="ListNumber"/>
      </w:pPr>
      <w:r/>
      <w:r>
        <w:rPr>
          <w:b/>
        </w:rPr>
      </w:r>
      <w:r>
        <w:t>Cleaning &amp; de‑</w:t>
      </w:r>
    </w:p>
    <w:p>
      <w:pPr>
        <w:pStyle w:val="Heading2"/>
      </w:pPr>
      <w:r>
        <w:t>3.3 Alternative Designs and Technologies</w:t>
      </w:r>
    </w:p>
    <w:p>
      <w:r>
        <w:t xml:space="preserve">The design of the Ruiru Agro‑Processing Plant was examined through a systematic alternatives analysis that integrated technical feasibility, environmental performance, socio‑economic implications, and compliance with Kenya’s National Environment Management Authority (NEMA) regulations for high‑risk, second‑schedule projects. The analysis progressed from a </w:t>
      </w:r>
      <w:r>
        <w:rPr>
          <w:b/>
        </w:rPr>
        <w:t>screening stage</w:t>
      </w:r>
      <w:r>
        <w:t xml:space="preserve"> (identifying the broad range of possible plant configurations) to a </w:t>
      </w:r>
      <w:r>
        <w:rPr>
          <w:b/>
        </w:rPr>
        <w:t>detailed evaluation stage</w:t>
      </w:r>
      <w:r>
        <w:t xml:space="preserve"> (quantifying the environmental impacts of each option and comparing them against the baseline conditions). The preferred configuration – a compact, low‑emission, closed‑loop maize milling facility – emerged as the option that best balances production efficiency with the protection of air, water, noise, and community health.</w:t>
      </w:r>
    </w:p>
    <w:p>
      <w:r>
        <w:t>---</w:t>
      </w:r>
    </w:p>
    <w:p>
      <w:r>
        <w:t>### 1.  Screening of Design Alternatives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Alternative</w:t>
            </w:r>
          </w:p>
        </w:tc>
        <w:tc>
          <w:tcPr>
            <w:tcW w:type="dxa" w:w="1728"/>
          </w:tcPr>
          <w:p>
            <w:r>
              <w:rPr>
                <w:b/>
              </w:rPr>
              <w:t>Core Concept</w:t>
            </w:r>
          </w:p>
        </w:tc>
        <w:tc>
          <w:tcPr>
            <w:tcW w:type="dxa" w:w="1728"/>
          </w:tcPr>
          <w:p>
            <w:r>
              <w:rPr>
                <w:b/>
              </w:rPr>
              <w:t>Key Process Features</w:t>
            </w:r>
          </w:p>
        </w:tc>
        <w:tc>
          <w:tcPr>
            <w:tcW w:type="dxa" w:w="1728"/>
          </w:tcPr>
          <w:p>
            <w:r>
              <w:rPr>
                <w:b/>
              </w:rPr>
              <w:t>Anticipated Environmental Benefits</w:t>
            </w:r>
          </w:p>
        </w:tc>
        <w:tc>
          <w:tcPr>
            <w:tcW w:type="dxa" w:w="1728"/>
          </w:tcPr>
          <w:p>
            <w:r>
              <w:rPr>
                <w:b/>
              </w:rPr>
              <w:t>Main Constraints</w:t>
            </w:r>
          </w:p>
        </w:tc>
      </w:tr>
      <w:tr>
        <w:tc>
          <w:tcPr>
            <w:tcW w:type="dxa" w:w="1728"/>
          </w:tcPr>
          <w:p>
            <w:r/>
            <w:r>
              <w:rPr>
                <w:b/>
              </w:rPr>
              <w:t>A1 – Conventional Open‑Loop Mill</w:t>
            </w:r>
            <w:r/>
          </w:p>
        </w:tc>
        <w:tc>
          <w:tcPr>
            <w:tcW w:type="dxa" w:w="1728"/>
          </w:tcPr>
          <w:p>
            <w:r>
              <w:t>Standard grain‑to‑flour line with open‑air handling and cooling</w:t>
            </w:r>
          </w:p>
        </w:tc>
        <w:tc>
          <w:tcPr>
            <w:tcW w:type="dxa" w:w="1728"/>
          </w:tcPr>
          <w:p>
            <w:r>
              <w:t>• Open grain elevators &lt;br&gt;• Ambient‑air drying &lt;br&gt;• Direct discharge of process water to storm‑drain</w:t>
            </w:r>
          </w:p>
        </w:tc>
        <w:tc>
          <w:tcPr>
            <w:tcW w:type="dxa" w:w="1728"/>
          </w:tcPr>
          <w:p>
            <w:r>
              <w:t>Minimal capital cost; simple operation</w:t>
            </w:r>
          </w:p>
        </w:tc>
        <w:tc>
          <w:tcPr>
            <w:tcW w:type="dxa" w:w="1728"/>
          </w:tcPr>
          <w:p>
            <w:r>
              <w:t>• High dust emissions (PM2.5/PM10) &lt;br&gt;• Large water consumption (≈ 1.2 m³ t⁻¹) &lt;br&gt;• Uncontrolled noise (≈ 68 dBA)</w:t>
            </w:r>
          </w:p>
        </w:tc>
      </w:tr>
      <w:tr>
        <w:tc>
          <w:tcPr>
            <w:tcW w:type="dxa" w:w="1728"/>
          </w:tcPr>
          <w:p>
            <w:r/>
            <w:r>
              <w:rPr>
                <w:b/>
              </w:rPr>
              <w:t>A2 – Semi‑Closed Mill with Bag‑Filters</w:t>
            </w:r>
            <w:r/>
          </w:p>
        </w:tc>
        <w:tc>
          <w:tcPr>
            <w:tcW w:type="dxa" w:w="1728"/>
          </w:tcPr>
          <w:p>
            <w:r>
              <w:t>Same process flow as A1 but equipped with bag‑filter dust collectors on each major unit</w:t>
            </w:r>
          </w:p>
        </w:tc>
        <w:tc>
          <w:tcPr>
            <w:tcW w:type="dxa" w:w="1728"/>
          </w:tcPr>
          <w:p>
            <w:r>
              <w:t>• Bag‑filter on sifters, grinders, and conveyors &lt;br&gt;• Partial water recirculation (≈ 30 % reuse)</w:t>
            </w:r>
          </w:p>
        </w:tc>
        <w:tc>
          <w:tcPr>
            <w:tcW w:type="dxa" w:w="1728"/>
          </w:tcPr>
          <w:p>
            <w:r>
              <w:t>• Dust reduction to ~30 % of baseline &lt;br&gt;• Moderate water savings</w:t>
            </w:r>
          </w:p>
        </w:tc>
        <w:tc>
          <w:tcPr>
            <w:tcW w:type="dxa" w:w="1728"/>
          </w:tcPr>
          <w:p>
            <w:r>
              <w:t>• Still requires venting of filtered air to ambient &lt;br&gt;• Noise levels remain above 60 dBA &lt;br&gt;• Higher OPEX for filter replacement</w:t>
            </w:r>
          </w:p>
        </w:tc>
      </w:tr>
    </w:tbl>
    <w:p>
      <w:r>
        <w:t xml:space="preserve">| </w:t>
      </w:r>
      <w:r>
        <w:rPr>
          <w:b/>
        </w:rPr>
        <w:t>A3 – Fully Closed‑Loop Mill with Integrated Energy Recovery (Selected)</w:t>
      </w:r>
      <w:r>
        <w:t xml:space="preserve"> | Enclosed process train with 100 % water recirculation, dust extraction, acoustic enclosures, and waste‑heat recovery | • Fully sealed grain handling chambers &lt;br&gt;• High‑efficiency cyclone‑bag filter system (≥ 99 % PM capture) &lt;br&gt;• Closed‑loop water system with ultrafiltration &lt;br&gt;• Variable‑frequency drives (VFDs) on all motors &lt;br&gt;• Heat‑exchanger recovering waste heat from exhaust air for pre‑drying grain &lt;br&gt;• Acoustic enclosures around grinders and sifters (STC ≥ 55) | • PM2.5 reduced to &lt; 5 µg m⁻³ (≈ 70 % below baseline) &lt;br&gt;• Water consumption cut to ≤ 0.2 m³ t⁻¹ (≈ 85 % saving) &lt;br&gt;• Noise limited to 55 Leq dBA within plant perimeter &lt;br&gt;• Energy use lowered by ~15 % via VFDs and heat recovery | • Highest capital cost (≈ 15 % above A2) &lt;br&gt;• Requires skilled operation and maintenance of filtration and water</w:t>
      </w:r>
    </w:p>
    <w:p>
      <w:pPr>
        <w:pStyle w:val="Heading1"/>
      </w:pPr>
      <w:r>
        <w:t>Chapter 4: Policy, Legal and Institutional Framework</w:t>
      </w:r>
    </w:p>
    <w:p>
      <w:pPr>
        <w:pStyle w:val="Heading2"/>
      </w:pPr>
      <w:r>
        <w:t>4.1 National Policy Framework</w:t>
      </w:r>
    </w:p>
    <w:p>
      <w:r>
        <w:t>The proposed Ruiru Agro‑Processing Plant is evaluated against Kenya’s statutory environmental and development framework, which establishes the mandatory parameters for the preparation, submission and approval of an Environmental and Social Impact Assessment (ESIA) for a Second‑Schedule, high‑risk project.</w:t>
      </w:r>
    </w:p>
    <w:p>
      <w:r/>
      <w:r>
        <w:rPr>
          <w:b/>
        </w:rPr>
        <w:t>Applicable National Legislation</w:t>
      </w:r>
      <w:r/>
    </w:p>
    <w:p>
      <w:pPr>
        <w:pStyle w:val="ListBullet"/>
      </w:pPr>
      <w:r/>
      <w:r>
        <w:rPr>
          <w:b/>
        </w:rPr>
        <w:t>Environmental Management and Co‑ordination Act (EMCA) 1999</w:t>
      </w:r>
      <w:r>
        <w:t xml:space="preserve"> – </w:t>
      </w:r>
      <w:r>
        <w:rPr>
          <w:b/>
        </w:rPr>
        <w:t>Section 58</w:t>
      </w:r>
      <w:r>
        <w:t xml:space="preserve"> mandates a compulsory EIA for all Second‑Schedule projects, thereby providing the legal basis for the preparation of this ESIA.</w:t>
      </w:r>
    </w:p>
    <w:p>
      <w:pPr>
        <w:pStyle w:val="ListBullet"/>
      </w:pPr>
      <w:r/>
      <w:r>
        <w:rPr>
          <w:b/>
        </w:rPr>
        <w:t>Environmental (Impact Assessment and Audit) Regulations 2003 (NEMA_REGS)</w:t>
      </w:r>
      <w:r>
        <w:t xml:space="preserve"> – </w:t>
      </w:r>
      <w:r>
        <w:rPr>
          <w:b/>
        </w:rPr>
        <w:t>Regulation 17</w:t>
      </w:r>
      <w:r>
        <w:t xml:space="preserve"> requires comprehensive public participation, disclosure of baseline information and the incorporation of stakeholder concerns into mitigation measures.</w:t>
      </w:r>
    </w:p>
    <w:p>
      <w:pPr>
        <w:pStyle w:val="ListBullet"/>
      </w:pPr>
      <w:r/>
      <w:r>
        <w:rPr>
          <w:b/>
        </w:rPr>
        <w:t>Water Act 2016</w:t>
      </w:r>
      <w:r>
        <w:t xml:space="preserve"> – </w:t>
      </w:r>
      <w:r>
        <w:rPr>
          <w:b/>
        </w:rPr>
        <w:t>Section 143</w:t>
      </w:r>
      <w:r>
        <w:t xml:space="preserve"> prohibits any activity that may cause pollution or degradation of water resources within a 30‑metre buffer of a water body, directly relevant to the proximity of Karura Stream.</w:t>
      </w:r>
    </w:p>
    <w:p>
      <w:pPr>
        <w:pStyle w:val="ListBullet"/>
      </w:pPr>
      <w:r/>
      <w:r>
        <w:rPr>
          <w:b/>
        </w:rPr>
        <w:t>Occupational Safety and Health Act (OSHA) 2007</w:t>
      </w:r>
      <w:r>
        <w:t xml:space="preserve"> – sets the standards for workplace safety, including control of dust and noise, which underpin the proposed engineering controls.</w:t>
      </w:r>
    </w:p>
    <w:p>
      <w:pPr>
        <w:pStyle w:val="ListBullet"/>
      </w:pPr>
      <w:r/>
      <w:r>
        <w:rPr>
          <w:b/>
        </w:rPr>
        <w:t>Public Health Act Cap 242</w:t>
      </w:r>
      <w:r>
        <w:t xml:space="preserve"> – obliges the proponent to prevent environmental conditions that could jeopardise public health, such as airborne particulate matter from grain processing.</w:t>
      </w:r>
    </w:p>
    <w:p>
      <w:pPr>
        <w:pStyle w:val="ListBullet"/>
      </w:pPr>
      <w:r/>
      <w:r>
        <w:rPr>
          <w:b/>
        </w:rPr>
        <w:t>Physical and Land Use Planning Act 2019</w:t>
      </w:r>
      <w:r>
        <w:t xml:space="preserve"> – governs land‑use conversion from cropland to industrial use and requires conformity with county spatial development plans.</w:t>
      </w:r>
    </w:p>
    <w:p>
      <w:pPr>
        <w:pStyle w:val="ListBullet"/>
      </w:pPr>
      <w:r/>
      <w:r>
        <w:rPr>
          <w:b/>
        </w:rPr>
        <w:t>County Government Act</w:t>
      </w:r>
      <w:r>
        <w:t xml:space="preserve"> – confers on Kiambu County the authority to enforce local environmental bylaws and to monitor compliance with the ESIA conditions.</w:t>
      </w:r>
    </w:p>
    <w:p>
      <w:r/>
      <w:r>
        <w:rPr>
          <w:b/>
        </w:rPr>
        <w:t>Key Policy Instruments Integrated into the Assessment</w:t>
      </w:r>
      <w:r/>
    </w:p>
    <w:p>
      <w:pPr>
        <w:pStyle w:val="ListBullet"/>
      </w:pPr>
      <w:r/>
      <w:r>
        <w:rPr>
          <w:b/>
        </w:rPr>
        <w:t>National Climate Change Action Plan (NCCAP) 2018‑2022</w:t>
      </w:r>
      <w:r>
        <w:t xml:space="preserve"> – the project adopts energy‑efficient milling equipment and closed‑loop water recycling to reduce greenhouse gas emissions and water consumption.</w:t>
      </w:r>
    </w:p>
    <w:p>
      <w:pPr>
        <w:pStyle w:val="ListBullet"/>
      </w:pPr>
      <w:r/>
      <w:r>
        <w:rPr>
          <w:b/>
        </w:rPr>
        <w:t>Kenya Vision 2030 – Industrialisation Pillar</w:t>
      </w:r>
      <w:r>
        <w:t xml:space="preserve"> – the location in Juja aligns with the vision’s objective of promoting agro‑processing close to raw material sources, thereby enhancing value addition and rural employment.</w:t>
      </w:r>
    </w:p>
    <w:p>
      <w:pPr>
        <w:pStyle w:val="ListBullet"/>
      </w:pPr>
      <w:r/>
      <w:r>
        <w:rPr>
          <w:b/>
        </w:rPr>
        <w:t>National Environment Policy (2003)</w:t>
      </w:r>
      <w:r>
        <w:t xml:space="preserve"> – emphasizes pollution prevention, sustainable resource use and the precautionary principle, all reflected in the dust extraction, acoustic enclosures and traffic management measures.</w:t>
      </w:r>
    </w:p>
    <w:p>
      <w:pPr>
        <w:pStyle w:val="ListBullet"/>
      </w:pPr>
      <w:r/>
      <w:r>
        <w:rPr>
          <w:b/>
        </w:rPr>
        <w:t>National Water Resources Management Strategy (NWRMS) 2019‑2025</w:t>
      </w:r>
      <w:r>
        <w:t xml:space="preserve"> – the closed‑loop water system and the requirement for a Water Resources Management Authority (WRMA) permit ensure compliance with water‑use efficiency targets.</w:t>
      </w:r>
    </w:p>
    <w:p>
      <w:r/>
      <w:r>
        <w:rPr>
          <w:b/>
        </w:rPr>
        <w:t>Compliance Summary</w:t>
      </w:r>
      <w:r/>
    </w:p>
    <w:p>
      <w:pPr>
        <w:pStyle w:val="ListBullet"/>
      </w:pPr>
      <w:r>
        <w:t xml:space="preserve">The ESIA satisfies </w:t>
      </w:r>
      <w:r>
        <w:rPr>
          <w:b/>
        </w:rPr>
        <w:t>EMCA Section 58</w:t>
      </w:r>
      <w:r>
        <w:t xml:space="preserve"> by delivering a full impact assessment, mitigation hierarchy and monitoring plan.</w:t>
      </w:r>
    </w:p>
    <w:p>
      <w:pPr>
        <w:pStyle w:val="ListBullet"/>
      </w:pPr>
      <w:r>
        <w:t xml:space="preserve">Public participation has been conducted in accordance with </w:t>
      </w:r>
      <w:r>
        <w:rPr>
          <w:b/>
        </w:rPr>
        <w:t>NEMA_REG Regulation 17</w:t>
      </w:r>
      <w:r>
        <w:t>, evidenced by the Baraza attendance of 210 stakeholders and the incorporation of all four community concerns.</w:t>
      </w:r>
    </w:p>
    <w:p>
      <w:pPr>
        <w:pStyle w:val="ListBullet"/>
      </w:pPr>
      <w:r>
        <w:t xml:space="preserve">All proposed water‑related activities respect </w:t>
      </w:r>
      <w:r>
        <w:rPr>
          <w:b/>
        </w:rPr>
      </w:r>
      <w:r>
        <w:t>Water Act Section</w:t>
      </w:r>
    </w:p>
    <w:p>
      <w:pPr>
        <w:pStyle w:val="Heading2"/>
      </w:pPr>
      <w:r>
        <w:t>4.2 National Legal Framework (EMCA Cap 387, OSHA 2007, etc.)</w:t>
      </w:r>
    </w:p>
    <w:p>
      <w:r/>
      <w:r>
        <w:rPr>
          <w:b/>
        </w:rPr>
        <w:t>Environmental Management and Co‑ordination Act (EMCA) 1999</w:t>
      </w:r>
      <w:r>
        <w:t xml:space="preserve"> – The project falls within the </w:t>
      </w:r>
      <w:r>
        <w:rPr>
          <w:b/>
        </w:rPr>
        <w:t>Second Schedule</w:t>
      </w:r>
      <w:r>
        <w:t xml:space="preserve"> of EMCA and therefore triggers the </w:t>
      </w:r>
      <w:r>
        <w:rPr>
          <w:b/>
        </w:rPr>
        <w:t>mandatory Environmental Impact Assessment (EIA)</w:t>
      </w:r>
      <w:r>
        <w:t xml:space="preserve"> under </w:t>
      </w:r>
      <w:r>
        <w:rPr>
          <w:b/>
        </w:rPr>
        <w:t>Section 58</w:t>
      </w:r>
      <w:r>
        <w:t xml:space="preserve">.  The proponent must submit a full EIA report, obtain a </w:t>
      </w:r>
      <w:r>
        <w:rPr>
          <w:b/>
        </w:rPr>
        <w:t>Certificate of Environmental Compliance (CEC)</w:t>
      </w:r>
      <w:r>
        <w:t xml:space="preserve"> and a </w:t>
      </w:r>
      <w:r>
        <w:rPr>
          <w:b/>
        </w:rPr>
        <w:t>Certificate of Environmental Clearance (CEC‑L)</w:t>
      </w:r>
      <w:r>
        <w:t xml:space="preserve"> before any ground‑breaking activity.  In accordance with </w:t>
      </w:r>
      <w:r>
        <w:rPr>
          <w:b/>
        </w:rPr>
        <w:t>Section 102</w:t>
      </w:r>
      <w:r>
        <w:t xml:space="preserve">, the County Government may issue a </w:t>
      </w:r>
      <w:r>
        <w:rPr>
          <w:b/>
        </w:rPr>
        <w:t>Restoration Order</w:t>
      </w:r>
      <w:r>
        <w:t xml:space="preserve"> should any adverse impact on soil, water or biodiversity exceed the thresholds set out in the approved mitigation plan.</w:t>
      </w:r>
    </w:p>
    <w:p>
      <w:r/>
      <w:r>
        <w:rPr>
          <w:b/>
        </w:rPr>
        <w:t>Environmental (Impact Assessment and Audit) Regulations 2003 (NEMA REGS)</w:t>
      </w:r>
      <w:r>
        <w:t xml:space="preserve"> – </w:t>
      </w:r>
      <w:r>
        <w:rPr>
          <w:b/>
        </w:rPr>
        <w:t>Regulation 17</w:t>
      </w:r>
      <w:r>
        <w:t xml:space="preserve"> obliges the proponent to conduct </w:t>
      </w:r>
      <w:r>
        <w:rPr>
          <w:b/>
        </w:rPr>
        <w:t>public participation</w:t>
      </w:r>
      <w:r>
        <w:t xml:space="preserve"> throughout the EIA process, to document the outcomes of the Baraza (210 participants) and to incorporate the mitigation measures identified for noise, dust, traffic and water use.  The regulations also require the preparation of an </w:t>
      </w:r>
      <w:r>
        <w:rPr>
          <w:b/>
        </w:rPr>
        <w:t>Environmental Management Plan (EMP)</w:t>
      </w:r>
      <w:r>
        <w:t xml:space="preserve"> and an </w:t>
      </w:r>
      <w:r>
        <w:rPr>
          <w:b/>
        </w:rPr>
        <w:t>Environmental Monitoring and Audit (EM&amp;A) schedule</w:t>
      </w:r>
      <w:r>
        <w:t xml:space="preserve"> that must be submitted to NEMA for approval.</w:t>
      </w:r>
    </w:p>
    <w:p>
      <w:r/>
      <w:r>
        <w:rPr>
          <w:b/>
        </w:rPr>
        <w:t>Water Act 2016</w:t>
      </w:r>
      <w:r>
        <w:t xml:space="preserve"> – The plant’s water‑recycling system and the proposed </w:t>
      </w:r>
      <w:r>
        <w:rPr>
          <w:b/>
        </w:rPr>
        <w:t>closed‑loop</w:t>
      </w:r>
      <w:r>
        <w:t xml:space="preserve"> use of groundwater are subject to the </w:t>
      </w:r>
      <w:r>
        <w:rPr>
          <w:b/>
        </w:rPr>
        <w:t>Water Resources Management Authority (WRMA) permit</w:t>
      </w:r>
      <w:r>
        <w:t xml:space="preserve">.  Under </w:t>
      </w:r>
      <w:r>
        <w:rPr>
          <w:b/>
        </w:rPr>
        <w:t>Section 143</w:t>
      </w:r>
      <w:r>
        <w:t xml:space="preserve">, any activity that may affect the quality or quantity of </w:t>
      </w:r>
      <w:r>
        <w:rPr>
          <w:b/>
        </w:rPr>
        <w:t>Karura Stream</w:t>
      </w:r>
      <w:r>
        <w:t xml:space="preserve"> is prohibited unless a specific waiver is granted, and the proponent must implement the stipulated </w:t>
      </w:r>
      <w:r>
        <w:rPr>
          <w:b/>
        </w:rPr>
        <w:t>water‑quality monitoring</w:t>
      </w:r>
      <w:r>
        <w:t xml:space="preserve"> and </w:t>
      </w:r>
      <w:r>
        <w:rPr>
          <w:b/>
        </w:rPr>
        <w:t>spill‑containment</w:t>
      </w:r>
      <w:r>
        <w:t xml:space="preserve"> measures.</w:t>
      </w:r>
    </w:p>
    <w:p>
      <w:r/>
      <w:r>
        <w:rPr>
          <w:b/>
        </w:rPr>
        <w:t>Occupational Safety and Health Act (OSHA) 2007</w:t>
      </w:r>
      <w:r>
        <w:t xml:space="preserve"> – All plant operations must comply with OSHA’s requirements for </w:t>
      </w:r>
      <w:r>
        <w:rPr>
          <w:b/>
        </w:rPr>
        <w:t>dust control</w:t>
      </w:r>
      <w:r>
        <w:t xml:space="preserve">, </w:t>
      </w:r>
      <w:r>
        <w:rPr>
          <w:b/>
        </w:rPr>
        <w:t>noise exposure limits</w:t>
      </w:r>
      <w:r>
        <w:t xml:space="preserve">, and </w:t>
      </w:r>
      <w:r>
        <w:rPr>
          <w:b/>
        </w:rPr>
        <w:t>machinery safety</w:t>
      </w:r>
      <w:r>
        <w:t xml:space="preserve">.  The act mandates the provision of </w:t>
      </w:r>
      <w:r>
        <w:rPr>
          <w:b/>
        </w:rPr>
        <w:t>personal protective equipment (PPE)</w:t>
      </w:r>
      <w:r>
        <w:t xml:space="preserve">, regular </w:t>
      </w:r>
      <w:r>
        <w:rPr>
          <w:b/>
        </w:rPr>
        <w:t>occupational health surveillance</w:t>
      </w:r>
      <w:r>
        <w:t xml:space="preserve"> for workers, and the establishment of an </w:t>
      </w:r>
      <w:r>
        <w:rPr>
          <w:b/>
        </w:rPr>
        <w:t>occupational health and safety management system</w:t>
      </w:r>
      <w:r>
        <w:t xml:space="preserve"> approved by the Directorate of Occupational Safety and Health Services.</w:t>
      </w:r>
    </w:p>
    <w:p>
      <w:r/>
      <w:r>
        <w:rPr>
          <w:b/>
        </w:rPr>
        <w:t>Public Health Act Cap 242</w:t>
      </w:r>
      <w:r>
        <w:t xml:space="preserve"> – The generation of grain dust and potential microbial contamination are regulated under this Act.  The proponent must ensure that </w:t>
      </w:r>
      <w:r>
        <w:rPr>
          <w:b/>
        </w:rPr>
        <w:t>air‑quality standards</w:t>
      </w:r>
      <w:r>
        <w:t xml:space="preserve"> for</w:t>
      </w:r>
    </w:p>
    <w:p>
      <w:pPr>
        <w:pStyle w:val="Heading2"/>
      </w:pPr>
      <w:r>
        <w:t>4.3 Institutional Framework</w:t>
      </w:r>
    </w:p>
    <w:p>
      <w:r/>
      <w:r>
        <w:rPr>
          <w:b/>
        </w:rPr>
        <w:t>Regulatory Authority and Statutory Mandate</w:t>
      </w:r>
      <w:r/>
    </w:p>
    <w:p>
      <w:pPr>
        <w:pStyle w:val="ListBullet"/>
      </w:pPr>
      <w:r/>
      <w:r>
        <w:rPr>
          <w:b/>
        </w:rPr>
        <w:t>National Environment Management Authority (NEMA)</w:t>
      </w:r>
      <w:r>
        <w:t xml:space="preserve"> – the principal authority for the implementation of the </w:t>
      </w:r>
      <w:r>
        <w:rPr>
          <w:i/>
        </w:rPr>
        <w:t>Environmental Management and Co‑ordination Act (EMCA) 1999</w:t>
      </w:r>
      <w:r>
        <w:t xml:space="preserve"> and the </w:t>
      </w:r>
      <w:r>
        <w:rPr>
          <w:i/>
        </w:rPr>
        <w:t>Environmental (Impact Assessment and Audit) Regulations 2003</w:t>
      </w:r>
      <w:r>
        <w:t xml:space="preserve">. Under </w:t>
      </w:r>
      <w:r>
        <w:rPr>
          <w:b/>
        </w:rPr>
        <w:t>EMCA Section 58</w:t>
      </w:r>
      <w:r>
        <w:t xml:space="preserve"> the project is classified as a Second‑Schedule activity and therefore requires a mandatory EIA. NEMA is responsible for reviewing the EIA report, issuing the Environmental Impact Assessment (EIA) licence, and supervising compliance with the conditions stipulated therein, in accordance with </w:t>
      </w:r>
      <w:r>
        <w:rPr>
          <w:b/>
        </w:rPr>
        <w:t>NEMA Regulation 17</w:t>
      </w:r>
      <w:r>
        <w:t xml:space="preserve"> on public participation.</w:t>
      </w:r>
    </w:p>
    <w:p>
      <w:pPr>
        <w:pStyle w:val="ListBullet"/>
      </w:pPr>
      <w:r/>
      <w:r>
        <w:rPr>
          <w:b/>
        </w:rPr>
        <w:t>Ministry of Water and Sanitation</w:t>
      </w:r>
      <w:r>
        <w:t xml:space="preserve"> – vested with powers under the </w:t>
      </w:r>
      <w:r>
        <w:rPr>
          <w:i/>
        </w:rPr>
        <w:t>Water Act 2016</w:t>
      </w:r>
      <w:r>
        <w:t xml:space="preserve"> to regulate water use and protect water resources. The project’s closed‑loop water recycling system and the discharge‑free operation must comply with </w:t>
      </w:r>
      <w:r>
        <w:rPr>
          <w:b/>
        </w:rPr>
        <w:t>Water Section 143</w:t>
      </w:r>
      <w:r>
        <w:t>, which prohibits any activity that may cause pollution of the Karura Stream. The Ministry will issue the Water Resources Management Authority (WRMA) permit and conduct periodic inspections.</w:t>
      </w:r>
    </w:p>
    <w:p>
      <w:pPr>
        <w:pStyle w:val="ListBullet"/>
      </w:pPr>
      <w:r/>
      <w:r>
        <w:rPr>
          <w:b/>
        </w:rPr>
        <w:t>Ministry of Agriculture, Livestock and Fisheries</w:t>
      </w:r>
      <w:r>
        <w:t xml:space="preserve"> – oversees grain handling and storage standards; it will liaise with the proponent to ensure that dust extraction and filtration systems meet the </w:t>
      </w:r>
      <w:r>
        <w:rPr>
          <w:i/>
        </w:rPr>
        <w:t>NEMA</w:t>
      </w:r>
      <w:r>
        <w:t xml:space="preserve"> technical specifications for particulate emissions.</w:t>
      </w:r>
    </w:p>
    <w:p>
      <w:pPr>
        <w:pStyle w:val="ListBullet"/>
      </w:pPr>
      <w:r/>
      <w:r>
        <w:rPr>
          <w:b/>
        </w:rPr>
        <w:t>County Government of Kiambu</w:t>
      </w:r>
      <w:r>
        <w:t xml:space="preserve"> – under the </w:t>
      </w:r>
      <w:r>
        <w:rPr>
          <w:i/>
        </w:rPr>
        <w:t>Physical and Land Use Planning Act 2019</w:t>
      </w:r>
      <w:r>
        <w:t xml:space="preserve"> and the </w:t>
      </w:r>
      <w:r>
        <w:rPr>
          <w:b/>
        </w:rPr>
        <w:t>Relevant County Government Act</w:t>
      </w:r>
      <w:r>
        <w:t>, the County Executive Committee on Environment, the County Planning Department and the County Health Services are tasked with:</w:t>
      </w:r>
    </w:p>
    <w:p>
      <w:pPr>
        <w:pStyle w:val="ListBullet"/>
      </w:pPr>
      <w:r>
        <w:t>reviewing the EIA licence conditions for alignment with County Integrated Development Plans (CIDPs);</w:t>
      </w:r>
    </w:p>
    <w:p>
      <w:pPr>
        <w:pStyle w:val="ListBullet"/>
      </w:pPr>
      <w:r>
        <w:t>issuing the County Development Permit and ensuring compliance with the County’s zoning regulations (conversion of cropland to industrial use);</w:t>
      </w:r>
    </w:p>
    <w:p>
      <w:pPr>
        <w:pStyle w:val="ListBullet"/>
      </w:pPr>
      <w:r>
        <w:t xml:space="preserve">monitoring occupational health and safety in line with the </w:t>
      </w:r>
      <w:r>
        <w:rPr>
          <w:i/>
        </w:rPr>
        <w:t>Occupational Safety and Health Act (OSHA) 2007</w:t>
      </w:r>
      <w:r>
        <w:t>; and</w:t>
      </w:r>
    </w:p>
    <w:p>
      <w:pPr>
        <w:pStyle w:val="ListBullet"/>
      </w:pPr>
      <w:r>
        <w:t>enforcing the *Public Health Act Cap 242</w:t>
      </w:r>
    </w:p>
    <w:p>
      <w:pPr>
        <w:pStyle w:val="Heading2"/>
      </w:pPr>
      <w:r>
        <w:t>4.4 International Safeguard Policies</w:t>
      </w:r>
    </w:p>
    <w:p>
      <w:r>
        <w:t xml:space="preserve">The proposed Ruiru Agro‑Processing Plant will be implemented in full conformity with Kenya’s statutory framework and the applicable </w:t>
      </w:r>
      <w:r>
        <w:rPr>
          <w:b/>
        </w:rPr>
        <w:t>International Safeguard Policies</w:t>
      </w:r>
      <w:r>
        <w:t xml:space="preserve"> that govern high‑risk projects under the World Bank Group’s environmental and social safeguards.  The following legal and policy instruments constitute the binding basis for compliance:</w:t>
      </w:r>
    </w:p>
    <w:p>
      <w:r/>
      <w:r>
        <w:rPr>
          <w:b/>
        </w:rPr>
        <w:t>1. Mandatory Environmental Impact Assessment</w:t>
      </w:r>
      <w:r/>
    </w:p>
    <w:p>
      <w:pPr>
        <w:pStyle w:val="ListBullet"/>
      </w:pPr>
      <w:r>
        <w:t xml:space="preserve">The project is classified as a </w:t>
      </w:r>
      <w:r>
        <w:rPr>
          <w:b/>
        </w:rPr>
        <w:t>Second‑Schedule activity</w:t>
      </w:r>
      <w:r>
        <w:t xml:space="preserve"> and therefore triggers </w:t>
      </w:r>
      <w:r>
        <w:rPr>
          <w:b/>
        </w:rPr>
        <w:t>Section 58 of the Environmental Management and Co‑ordination Act (EMCA) 1999</w:t>
      </w:r>
      <w:r>
        <w:t xml:space="preserve"> (EMCA_58).  An approved Environmental Impact Assessment (EIA) report, prepared in accordance with </w:t>
      </w:r>
      <w:r>
        <w:rPr>
          <w:b/>
        </w:rPr>
        <w:t>Regulation 17 of the Environmental (Impact Assessment and Audit) Regulations 2003</w:t>
      </w:r>
      <w:r>
        <w:t xml:space="preserve"> (NEMA_REG_17), is a prerequisite for any subsequent licensing or financing.</w:t>
      </w:r>
    </w:p>
    <w:p>
      <w:r/>
      <w:r>
        <w:rPr>
          <w:b/>
        </w:rPr>
        <w:t>2. Water Resources Protection</w:t>
      </w:r>
      <w:r/>
    </w:p>
    <w:p>
      <w:pPr>
        <w:pStyle w:val="ListBullet"/>
      </w:pPr>
      <w:r>
        <w:t xml:space="preserve">All water‑related operations, including the closed‑loop recycling system and the discharge limits for the Karura Stream, must comply with </w:t>
      </w:r>
      <w:r>
        <w:rPr>
          <w:b/>
        </w:rPr>
        <w:t>Section 143 of the Water Act 2016</w:t>
      </w:r>
      <w:r>
        <w:t xml:space="preserve"> (WATER_143), which prohibits any activity that may cause pollution or alteration of water quality within a 30‑metre buffer of a water resource.  The project’s Water Resources Management Authority (WRMA) permit expressly incorporates this provision.</w:t>
      </w:r>
    </w:p>
    <w:p>
      <w:r/>
      <w:r>
        <w:rPr>
          <w:b/>
        </w:rPr>
        <w:t>3. Occupational Health and Safety</w:t>
      </w:r>
      <w:r/>
    </w:p>
    <w:p>
      <w:pPr>
        <w:pStyle w:val="ListBullet"/>
      </w:pPr>
      <w:r>
        <w:t xml:space="preserve">The plant’s dust extraction, acoustic enclosures, and machinery safety measures are required to meet the standards set out in the </w:t>
      </w:r>
      <w:r>
        <w:rPr>
          <w:b/>
        </w:rPr>
        <w:t>Occupational Safety and Health Act (OSHA) 2007</w:t>
      </w:r>
      <w:r>
        <w:t>.  Compliance will be demonstrated through a Site‑Specific Health &amp; Safety Management Plan that references the Act’s general duties to protect workers from exposure to hazardous dust and noise.</w:t>
      </w:r>
    </w:p>
    <w:p>
      <w:r/>
      <w:r>
        <w:rPr>
          <w:b/>
        </w:rPr>
        <w:t>4. Public Health Safeguards</w:t>
      </w:r>
      <w:r/>
    </w:p>
    <w:p>
      <w:pPr>
        <w:pStyle w:val="ListBullet"/>
      </w:pPr>
      <w:r>
        <w:t xml:space="preserve">In accordance with the </w:t>
      </w:r>
      <w:r>
        <w:rPr>
          <w:b/>
        </w:rPr>
        <w:t>Public Health Act Cap 242</w:t>
      </w:r>
      <w:r>
        <w:t>, the project shall implement a sanitary waste management system to prevent the spread of vector‑borne diseases and to safeguard the health of nearby receptors (Juja Level 4 Hospital and Murera Primary School).</w:t>
      </w:r>
    </w:p>
    <w:p>
      <w:r/>
      <w:r>
        <w:rPr>
          <w:b/>
        </w:rPr>
        <w:t>5. Alignment with World Bank Environmental and Social Safeguard Policies (OP 4.01)</w:t>
      </w:r>
      <w:r/>
    </w:p>
    <w:p>
      <w:pPr>
        <w:pStyle w:val="ListBullet"/>
      </w:pPr>
      <w:r>
        <w:t xml:space="preserve">The project will be financed, in part, through a World Bank loan and is therefore subject to </w:t>
      </w:r>
      <w:r>
        <w:rPr>
          <w:b/>
        </w:rPr>
        <w:t>World Bank Environmental and Social Safeguard Policies (OP 4.01)</w:t>
      </w:r>
      <w:r>
        <w:t>.  The following safeguards are directly relevant:</w:t>
      </w:r>
    </w:p>
    <w:p>
      <w:pPr>
        <w:pStyle w:val="ListBullet"/>
      </w:pPr>
      <w:r/>
      <w:r>
        <w:rPr>
          <w:b/>
        </w:rPr>
        <w:t>Environmental Assessment (Category A)</w:t>
      </w:r>
      <w:r>
        <w:t xml:space="preserve"> – The EIA satisfies the World Bank’s requirement for a comprehensive impact analysis, including cumulative effects on air quality (PM₂.₅, PM₁₀) and noise (Leq dBA).</w:t>
      </w:r>
    </w:p>
    <w:p>
      <w:pPr>
        <w:pStyle w:val="ListBullet"/>
      </w:pPr>
      <w:r/>
      <w:r>
        <w:rPr>
          <w:b/>
        </w:rPr>
        <w:t>Pollution Prevention and Abatement</w:t>
      </w:r>
      <w:r>
        <w:t xml:space="preserve"> – The dust extraction system and closed‑loop water recycling meet the World Bank’s standards for minimizing emissions to air and water.</w:t>
      </w:r>
    </w:p>
    <w:p>
      <w:pPr>
        <w:pStyle w:val="ListBullet"/>
      </w:pPr>
      <w:r/>
      <w:r>
        <w:rPr>
          <w:b/>
        </w:rPr>
        <w:t>Labor and Working Conditions</w:t>
      </w:r>
      <w:r>
        <w:t xml:space="preserve"> – The</w:t>
      </w:r>
    </w:p>
    <w:p>
      <w:pPr>
        <w:pStyle w:val="Heading1"/>
      </w:pPr>
      <w:r>
        <w:t>Chapter 5: Baseline Environmental and Social Conditions</w:t>
      </w:r>
    </w:p>
    <w:p>
      <w:pPr>
        <w:pStyle w:val="Heading2"/>
      </w:pPr>
      <w:r>
        <w:t>5.1 Physical Environment (Topography, Climate, Soils)</w:t>
      </w:r>
    </w:p>
    <w:p>
      <w:r>
        <w:t xml:space="preserve">The proposed maize‑milling facility is situated on a gently undulating </w:t>
      </w:r>
      <w:r>
        <w:rPr>
          <w:b/>
        </w:rPr>
        <w:t>low‑land plateau</w:t>
      </w:r>
      <w:r>
        <w:t xml:space="preserve"> within the Murera Ward of Juja, Kiambu County (Latitude ‑1.1450 °S, Longitude 36.9580 °E). The site lies at an average elevation of </w:t>
      </w:r>
      <w:r>
        <w:rPr>
          <w:b/>
        </w:rPr>
        <w:t>1 620 m a.s.l.</w:t>
      </w:r>
      <w:r>
        <w:t xml:space="preserve">, with a maximum relief of </w:t>
      </w:r>
      <w:r>
        <w:rPr>
          <w:b/>
        </w:rPr>
        <w:t>≈ 12 m</w:t>
      </w:r>
      <w:r>
        <w:t xml:space="preserve"> across the 2.8 ha parcel (LR No. 8891/22). The terrain is characterised by a </w:t>
      </w:r>
      <w:r>
        <w:rPr>
          <w:b/>
        </w:rPr>
        <w:t>south‑westward slope of 1.5 %–2.0 %</w:t>
      </w:r>
      <w:r>
        <w:t xml:space="preserve">, which facilitates natural drainage towards the </w:t>
      </w:r>
      <w:r>
        <w:rPr>
          <w:b/>
        </w:rPr>
        <w:t>Karura Stream</w:t>
      </w:r>
      <w:r>
        <w:t xml:space="preserve"> located 180 m to the north‑north‑east of the project boundary.</w:t>
      </w:r>
    </w:p>
    <w:p>
      <w:r>
        <w:t>### Climate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Typical Value (30‑year normal)</w:t>
            </w:r>
          </w:p>
        </w:tc>
        <w:tc>
          <w:tcPr>
            <w:tcW w:type="dxa" w:w="2880"/>
          </w:tcPr>
          <w:p>
            <w:r>
              <w:rPr>
                <w:b/>
              </w:rPr>
              <w:t>Relevance to Project</w:t>
            </w:r>
          </w:p>
        </w:tc>
      </w:tr>
      <w:tr>
        <w:tc>
          <w:tcPr>
            <w:tcW w:type="dxa" w:w="2880"/>
          </w:tcPr>
          <w:p>
            <w:r/>
            <w:r>
              <w:rPr>
                <w:b/>
              </w:rPr>
              <w:t>Mean Annual Temperature</w:t>
            </w:r>
            <w:r/>
          </w:p>
        </w:tc>
        <w:tc>
          <w:tcPr>
            <w:tcW w:type="dxa" w:w="2880"/>
          </w:tcPr>
          <w:p>
            <w:r>
              <w:t>19.8 °C (range 12.3 °C – 27.5 °C)</w:t>
            </w:r>
          </w:p>
        </w:tc>
        <w:tc>
          <w:tcPr>
            <w:tcW w:type="dxa" w:w="2880"/>
          </w:tcPr>
          <w:p>
            <w:r>
              <w:t>Influences grain moisture content and equipment cooling requirements.</w:t>
            </w:r>
          </w:p>
        </w:tc>
      </w:tr>
      <w:tr>
        <w:tc>
          <w:tcPr>
            <w:tcW w:type="dxa" w:w="2880"/>
          </w:tcPr>
          <w:p>
            <w:r/>
            <w:r>
              <w:rPr>
                <w:b/>
              </w:rPr>
              <w:t>Mean Annual Rainfall</w:t>
            </w:r>
            <w:r/>
          </w:p>
        </w:tc>
        <w:tc>
          <w:tcPr>
            <w:tcW w:type="dxa" w:w="2880"/>
          </w:tcPr>
          <w:p>
            <w:r>
              <w:t>1 250 mm (bimodal distribution: long rains Mar–May, short rains Oct–Dec)</w:t>
            </w:r>
          </w:p>
        </w:tc>
        <w:tc>
          <w:tcPr>
            <w:tcW w:type="dxa" w:w="2880"/>
          </w:tcPr>
          <w:p>
            <w:r>
              <w:t>Determines groundwater recharge rates and dictates the design of the closed‑loop water‑recycling system.</w:t>
            </w:r>
          </w:p>
        </w:tc>
      </w:tr>
      <w:tr>
        <w:tc>
          <w:tcPr>
            <w:tcW w:type="dxa" w:w="2880"/>
          </w:tcPr>
          <w:p>
            <w:r/>
            <w:r>
              <w:rPr>
                <w:b/>
              </w:rPr>
              <w:t>Relative Humidity</w:t>
            </w:r>
            <w:r/>
          </w:p>
        </w:tc>
        <w:tc>
          <w:tcPr>
            <w:tcW w:type="dxa" w:w="2880"/>
          </w:tcPr>
          <w:p>
            <w:r>
              <w:t>68 % (annual average)</w:t>
            </w:r>
          </w:p>
        </w:tc>
        <w:tc>
          <w:tcPr>
            <w:tcW w:type="dxa" w:w="2880"/>
          </w:tcPr>
          <w:p>
            <w:r>
              <w:t>Affects dust generation and the efficiency of dust‑extraction equipment.</w:t>
            </w:r>
          </w:p>
        </w:tc>
      </w:tr>
      <w:tr>
        <w:tc>
          <w:tcPr>
            <w:tcW w:type="dxa" w:w="2880"/>
          </w:tcPr>
          <w:p>
            <w:r/>
            <w:r>
              <w:rPr>
                <w:b/>
              </w:rPr>
              <w:t>Wind Regime</w:t>
            </w:r>
            <w:r/>
          </w:p>
        </w:tc>
        <w:tc>
          <w:tcPr>
            <w:tcW w:type="dxa" w:w="2880"/>
          </w:tcPr>
          <w:p>
            <w:r>
              <w:t>Predominantly from the east‑northeast (average speed 3.2 m s⁻¹)</w:t>
            </w:r>
          </w:p>
        </w:tc>
        <w:tc>
          <w:tcPr>
            <w:tcW w:type="dxa" w:w="2880"/>
          </w:tcPr>
          <w:p>
            <w:r>
              <w:t>Governs dispersion of particulate emissions; baseline PM2.5 = 18 µg m⁻³ and PM10 = 41 µg m⁻³.</w:t>
            </w:r>
          </w:p>
        </w:tc>
      </w:tr>
      <w:tr>
        <w:tc>
          <w:tcPr>
            <w:tcW w:type="dxa" w:w="2880"/>
          </w:tcPr>
          <w:p>
            <w:r/>
            <w:r>
              <w:rPr>
                <w:b/>
              </w:rPr>
              <w:t>Solar Radiation</w:t>
            </w:r>
            <w:r/>
          </w:p>
        </w:tc>
        <w:tc>
          <w:tcPr>
            <w:tcW w:type="dxa" w:w="2880"/>
          </w:tcPr>
          <w:p>
            <w:r>
              <w:t>5 300 MJ m⁻² yr⁻¹</w:t>
            </w:r>
          </w:p>
        </w:tc>
        <w:tc>
          <w:tcPr>
            <w:tcW w:type="dxa" w:w="2880"/>
          </w:tcPr>
          <w:p>
            <w:r>
              <w:t>Relevant for potential solar‑PV integration on the plant roof.</w:t>
            </w:r>
          </w:p>
        </w:tc>
      </w:tr>
    </w:tbl>
    <w:p>
      <w:r>
        <w:t xml:space="preserve">The climatic conditions are typical of the </w:t>
      </w:r>
      <w:r>
        <w:rPr>
          <w:b/>
        </w:rPr>
        <w:t>central highlands of Kenya</w:t>
      </w:r>
      <w:r>
        <w:t xml:space="preserve">, with a moderate temperature regime and sufficient rainfall to sustain the underlying </w:t>
      </w:r>
      <w:r>
        <w:rPr>
          <w:b/>
        </w:rPr>
        <w:t>granitic‑derived soils</w:t>
      </w:r>
      <w:r>
        <w:t>. Seasonal variations in humidity and wind speed are taken into account in the design of the plant’s ventilation and dust‑control systems to ensure compliance with the NEMA‑mandated ambient air‑quality standards.</w:t>
      </w:r>
    </w:p>
    <w:p>
      <w:r>
        <w:t>### Soils</w:t>
      </w:r>
    </w:p>
    <w:p>
      <w:r>
        <w:t xml:space="preserve">The site is underlain by </w:t>
      </w:r>
      <w:r>
        <w:rPr>
          <w:b/>
        </w:rPr>
        <w:t>A‑Acrisols</w:t>
      </w:r>
      <w:r>
        <w:t xml:space="preserve"> (FAO classification) derived from weathered </w:t>
      </w:r>
      <w:r>
        <w:rPr>
          <w:b/>
        </w:rPr>
        <w:t>granite and gneiss</w:t>
      </w:r>
      <w:r>
        <w:t xml:space="preserve"> parent material. Key pedological attributes are summarised below:</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Property</w:t>
            </w:r>
          </w:p>
        </w:tc>
        <w:tc>
          <w:tcPr>
            <w:tcW w:type="dxa" w:w="2880"/>
          </w:tcPr>
          <w:p>
            <w:r>
              <w:rPr>
                <w:b/>
              </w:rPr>
              <w:t>Value / Description</w:t>
            </w:r>
          </w:p>
        </w:tc>
        <w:tc>
          <w:tcPr>
            <w:tcW w:type="dxa" w:w="2880"/>
          </w:tcPr>
          <w:p>
            <w:r>
              <w:rPr>
                <w:b/>
              </w:rPr>
              <w:t>Implication for Development</w:t>
            </w:r>
          </w:p>
        </w:tc>
      </w:tr>
    </w:tbl>
    <w:p>
      <w:r>
        <w:t xml:space="preserve">| </w:t>
      </w:r>
      <w:r>
        <w:rPr>
          <w:b/>
        </w:rPr>
        <w:t>Soil Depth</w:t>
      </w:r>
      <w:r>
        <w:t xml:space="preserve"> | 1.2 – 1.8 m (to bedrock) | Adequate for foundation works; shallow bedrock requires careful piling</w:t>
      </w:r>
    </w:p>
    <w:p>
      <w:pPr>
        <w:pStyle w:val="Heading2"/>
      </w:pPr>
      <w:r>
        <w:t>5.2 Biological Environment (Flora and Fauna)</w:t>
      </w:r>
    </w:p>
    <w:p>
      <w:r/>
      <w:r>
        <w:rPr>
          <w:b/>
        </w:rPr>
        <w:t>5.2.1 Site Description and Existing Biological Resources</w:t>
      </w:r>
      <w:r/>
    </w:p>
    <w:p>
      <w:r>
        <w:t xml:space="preserve">The project site occupies a 2.8 ha parcel (LR No. 8891/22) within the Murera Ward, Juja, Kiambu County (‑1.1450 °S, 36.9580 °E). The land is presently classified as </w:t>
      </w:r>
      <w:r>
        <w:rPr>
          <w:b/>
        </w:rPr>
        <w:t>cropland</w:t>
      </w:r>
      <w:r>
        <w:t xml:space="preserve"> under the Kiambu County Land Use Plan and is slated for conversion to an industrial/agro‑processing zone. The site lies on a gently undulating terrain (average slope ≈ 3 %) under a </w:t>
      </w:r>
      <w:r>
        <w:rPr>
          <w:b/>
        </w:rPr>
        <w:t>humid subtropical climate</w:t>
      </w:r>
      <w:r>
        <w:t xml:space="preserve"> (mean annual rainfall ≈ 1 200 mm; mean temperature ≈ 20 °C). Groundwater occurs at a depth of </w:t>
      </w:r>
      <w:r>
        <w:rPr>
          <w:b/>
        </w:rPr>
        <w:t>35 m</w:t>
      </w:r>
      <w:r>
        <w:t xml:space="preserve"> and is the principal source for the proposed water‑recycling system.</w:t>
      </w:r>
    </w:p>
    <w:p>
      <w:r>
        <w:t>A rapid ecological reconnaissance (June 2026) identified the following biotic components: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Component</w:t>
            </w:r>
          </w:p>
        </w:tc>
        <w:tc>
          <w:tcPr>
            <w:tcW w:type="dxa" w:w="2880"/>
          </w:tcPr>
          <w:p>
            <w:r>
              <w:rPr>
                <w:b/>
              </w:rPr>
              <w:t>Description</w:t>
            </w:r>
          </w:p>
        </w:tc>
        <w:tc>
          <w:tcPr>
            <w:tcW w:type="dxa" w:w="2880"/>
          </w:tcPr>
          <w:p>
            <w:r>
              <w:rPr>
                <w:b/>
              </w:rPr>
              <w:t>Representative Species (Latin)</w:t>
            </w:r>
          </w:p>
        </w:tc>
      </w:tr>
      <w:tr>
        <w:tc>
          <w:tcPr>
            <w:tcW w:type="dxa" w:w="2880"/>
          </w:tcPr>
          <w:p>
            <w:r/>
            <w:r>
              <w:rPr>
                <w:b/>
              </w:rPr>
              <w:t>Vegetation</w:t>
            </w:r>
            <w:r/>
          </w:p>
        </w:tc>
        <w:tc>
          <w:tcPr>
            <w:tcW w:type="dxa" w:w="2880"/>
          </w:tcPr>
          <w:p>
            <w:r>
              <w:t xml:space="preserve">Remnant patches of </w:t>
            </w:r>
            <w:r>
              <w:rPr>
                <w:b/>
              </w:rPr>
              <w:t>Acacia sciophora</w:t>
            </w:r>
            <w:r>
              <w:t xml:space="preserve"> (African thorn) and </w:t>
            </w:r>
            <w:r>
              <w:rPr>
                <w:b/>
              </w:rPr>
              <w:t>Cynodon dactylon</w:t>
            </w:r>
            <w:r>
              <w:t xml:space="preserve"> (Bermuda grass) interspersed with cultivated maize (Zea mays) and beans (Phaseolus vulgaris).</w:t>
            </w:r>
          </w:p>
        </w:tc>
        <w:tc>
          <w:tcPr>
            <w:tcW w:type="dxa" w:w="2880"/>
          </w:tcPr>
          <w:p>
            <w:r/>
            <w:r>
              <w:rPr>
                <w:i/>
              </w:rPr>
              <w:t>Acacia sciophora</w:t>
            </w:r>
            <w:r>
              <w:t xml:space="preserve">, </w:t>
            </w:r>
            <w:r>
              <w:rPr>
                <w:i/>
              </w:rPr>
              <w:t>Cynodon dactylon</w:t>
            </w:r>
            <w:r>
              <w:t xml:space="preserve">, </w:t>
            </w:r>
            <w:r>
              <w:rPr>
                <w:i/>
              </w:rPr>
              <w:t>Zea mays</w:t>
            </w:r>
            <w:r>
              <w:t xml:space="preserve">, </w:t>
            </w:r>
            <w:r>
              <w:rPr>
                <w:i/>
              </w:rPr>
              <w:t>Phaseolus vulgaris</w:t>
            </w:r>
            <w:r/>
          </w:p>
        </w:tc>
      </w:tr>
      <w:tr>
        <w:tc>
          <w:tcPr>
            <w:tcW w:type="dxa" w:w="2880"/>
          </w:tcPr>
          <w:p>
            <w:r/>
            <w:r>
              <w:rPr>
                <w:b/>
              </w:rPr>
              <w:t>Woody Flora</w:t>
            </w:r>
            <w:r/>
          </w:p>
        </w:tc>
        <w:tc>
          <w:tcPr>
            <w:tcW w:type="dxa" w:w="2880"/>
          </w:tcPr>
          <w:p>
            <w:r>
              <w:t xml:space="preserve">Isolated </w:t>
            </w:r>
            <w:r>
              <w:rPr>
                <w:b/>
              </w:rPr>
              <w:t>Mimusops zeyheri</w:t>
            </w:r>
            <w:r>
              <w:t xml:space="preserve"> (Mimusops) and </w:t>
            </w:r>
            <w:r>
              <w:rPr>
                <w:b/>
              </w:rPr>
              <w:t>Ficus sycomorus</w:t>
            </w:r>
            <w:r>
              <w:t xml:space="preserve"> (Sycamore fig) along the northern boundary adjacent to Karura Stream.</w:t>
            </w:r>
          </w:p>
        </w:tc>
        <w:tc>
          <w:tcPr>
            <w:tcW w:type="dxa" w:w="2880"/>
          </w:tcPr>
          <w:p>
            <w:r/>
            <w:r>
              <w:rPr>
                <w:i/>
              </w:rPr>
              <w:t>Mimusops zeyheri</w:t>
            </w:r>
            <w:r>
              <w:t xml:space="preserve">, </w:t>
            </w:r>
            <w:r>
              <w:rPr>
                <w:i/>
              </w:rPr>
              <w:t>Ficus sycomorus</w:t>
            </w:r>
            <w:r/>
          </w:p>
        </w:tc>
      </w:tr>
      <w:tr>
        <w:tc>
          <w:tcPr>
            <w:tcW w:type="dxa" w:w="2880"/>
          </w:tcPr>
          <w:p>
            <w:r/>
            <w:r>
              <w:rPr>
                <w:b/>
              </w:rPr>
              <w:t>Fauna – Mammals</w:t>
            </w:r>
            <w:r/>
          </w:p>
        </w:tc>
        <w:tc>
          <w:tcPr>
            <w:tcW w:type="dxa" w:w="2880"/>
          </w:tcPr>
          <w:p>
            <w:r>
              <w:t xml:space="preserve">Sporadic sightings of </w:t>
            </w:r>
            <w:r>
              <w:rPr>
                <w:b/>
              </w:rPr>
              <w:t>Rattus rattus</w:t>
            </w:r>
            <w:r>
              <w:t xml:space="preserve"> (black rat) and </w:t>
            </w:r>
            <w:r>
              <w:rPr>
                <w:b/>
              </w:rPr>
              <w:t>Cricetomys gambianus</w:t>
            </w:r>
            <w:r>
              <w:t xml:space="preserve"> (African giant pouched rat). No records of large mammals within a 1 km radius.</w:t>
            </w:r>
          </w:p>
        </w:tc>
        <w:tc>
          <w:tcPr>
            <w:tcW w:type="dxa" w:w="2880"/>
          </w:tcPr>
          <w:p>
            <w:r/>
            <w:r>
              <w:rPr>
                <w:i/>
              </w:rPr>
              <w:t>Rattus rattus</w:t>
            </w:r>
            <w:r>
              <w:t xml:space="preserve">, </w:t>
            </w:r>
            <w:r>
              <w:rPr>
                <w:i/>
              </w:rPr>
              <w:t>Cricetomys gambianus</w:t>
            </w:r>
            <w:r/>
          </w:p>
        </w:tc>
      </w:tr>
      <w:tr>
        <w:tc>
          <w:tcPr>
            <w:tcW w:type="dxa" w:w="2880"/>
          </w:tcPr>
          <w:p>
            <w:r/>
            <w:r>
              <w:rPr>
                <w:b/>
              </w:rPr>
              <w:t>Fauna – Birds</w:t>
            </w:r>
            <w:r/>
          </w:p>
        </w:tc>
        <w:tc>
          <w:tcPr>
            <w:tcW w:type="dxa" w:w="2880"/>
          </w:tcPr>
          <w:p>
            <w:r>
              <w:t xml:space="preserve">Presence of </w:t>
            </w:r>
            <w:r>
              <w:rPr>
                <w:b/>
              </w:rPr>
              <w:t>Passer domesticus</w:t>
            </w:r>
            <w:r>
              <w:t xml:space="preserve"> (House sparrow), </w:t>
            </w:r>
            <w:r>
              <w:rPr>
                <w:b/>
              </w:rPr>
              <w:t>Columba livia</w:t>
            </w:r>
            <w:r>
              <w:t xml:space="preserve"> (Rock pigeon), and occasional </w:t>
            </w:r>
            <w:r>
              <w:rPr>
                <w:b/>
              </w:rPr>
              <w:t>Ploceus bicolor</w:t>
            </w:r>
            <w:r>
              <w:t xml:space="preserve"> (Southern masked weaver) near the stream corridor.</w:t>
            </w:r>
          </w:p>
        </w:tc>
        <w:tc>
          <w:tcPr>
            <w:tcW w:type="dxa" w:w="2880"/>
          </w:tcPr>
          <w:p>
            <w:r/>
            <w:r>
              <w:rPr>
                <w:i/>
              </w:rPr>
              <w:t>Passer domesticus</w:t>
            </w:r>
            <w:r>
              <w:t xml:space="preserve">, </w:t>
            </w:r>
            <w:r>
              <w:rPr>
                <w:i/>
              </w:rPr>
              <w:t>Columba livia</w:t>
            </w:r>
            <w:r>
              <w:t xml:space="preserve">, </w:t>
            </w:r>
            <w:r>
              <w:rPr>
                <w:i/>
              </w:rPr>
              <w:t>Ploceus bicolor</w:t>
            </w:r>
            <w:r/>
          </w:p>
        </w:tc>
      </w:tr>
      <w:tr>
        <w:tc>
          <w:tcPr>
            <w:tcW w:type="dxa" w:w="2880"/>
          </w:tcPr>
          <w:p>
            <w:r/>
            <w:r>
              <w:rPr>
                <w:b/>
              </w:rPr>
              <w:t>Fauna – Reptiles &amp; Amphibians</w:t>
            </w:r>
            <w:r/>
          </w:p>
        </w:tc>
        <w:tc>
          <w:tcPr>
            <w:tcW w:type="dxa" w:w="2880"/>
          </w:tcPr>
          <w:p>
            <w:r>
              <w:t xml:space="preserve">Limited to </w:t>
            </w:r>
            <w:r>
              <w:rPr>
                <w:b/>
              </w:rPr>
              <w:t>Hemidactylus turcicus</w:t>
            </w:r>
            <w:r>
              <w:t xml:space="preserve"> (Mediterranean house gecko) on building walls; no amphibians recorded.</w:t>
            </w:r>
          </w:p>
        </w:tc>
        <w:tc>
          <w:tcPr>
            <w:tcW w:type="dxa" w:w="2880"/>
          </w:tcPr>
          <w:p>
            <w:r/>
            <w:r>
              <w:rPr>
                <w:i/>
              </w:rPr>
              <w:t>Hemidactylus turcicus</w:t>
            </w:r>
            <w:r/>
          </w:p>
        </w:tc>
      </w:tr>
    </w:tbl>
    <w:p>
      <w:r>
        <w:t xml:space="preserve">| </w:t>
      </w:r>
      <w:r>
        <w:rPr>
          <w:b/>
        </w:rPr>
        <w:t>Aquatic Biota</w:t>
      </w:r>
      <w:r>
        <w:t xml:space="preserve"> | Karura Stream (≈ 180 m north) supports </w:t>
      </w:r>
      <w:r>
        <w:rPr>
          <w:b/>
        </w:rPr>
        <w:t>Barbus sp.</w:t>
      </w:r>
      <w:r>
        <w:t xml:space="preserve"> (small barbs) and macroinvertebrate assemblages indicative of </w:t>
      </w:r>
      <w:r>
        <w:rPr>
          <w:b/>
        </w:rPr>
      </w:r>
      <w:r>
        <w:t>moder</w:t>
      </w:r>
    </w:p>
    <w:p>
      <w:pPr>
        <w:pStyle w:val="Heading2"/>
      </w:pPr>
      <w:r>
        <w:t>5.3 Socio-Economic Environment (Demographics, Livelihoods)</w:t>
      </w:r>
    </w:p>
    <w:p>
      <w:r>
        <w:t xml:space="preserve">The study area surrounding the proposed Ruiru Agro‑Processing Plant lies within Murera Ward, Juja (Kiambu County) at latitude ‑1.1450 °S and longitude 36.9580 °E. The ward is characterised by a </w:t>
      </w:r>
      <w:r>
        <w:rPr>
          <w:b/>
        </w:rPr>
        <w:t>predominantly agrarian population</w:t>
      </w:r>
      <w:r>
        <w:t xml:space="preserve"> that derives its livelihood from small‑scale maize production, mixed horticulture, and livestock rearing. According to the 2024 Kiambu County Integrated Household Survey, the resident population of Murera Ward is </w:t>
      </w:r>
      <w:r>
        <w:rPr>
          <w:b/>
        </w:rPr>
        <w:t>≈ 28 000 persons</w:t>
      </w:r>
      <w:r>
        <w:t xml:space="preserve">, distributed across </w:t>
      </w:r>
      <w:r>
        <w:rPr>
          <w:b/>
        </w:rPr>
        <w:t>≈ 5 400 households</w:t>
      </w:r>
      <w:r>
        <w:t xml:space="preserve">. The demographic profile is youthful, with </w:t>
      </w:r>
      <w:r>
        <w:rPr>
          <w:b/>
        </w:rPr>
        <w:t>62 %</w:t>
      </w:r>
      <w:r>
        <w:t xml:space="preserve"> of the population aged </w:t>
      </w:r>
      <w:r>
        <w:rPr>
          <w:b/>
        </w:rPr>
        <w:t>15–44 years</w:t>
      </w:r>
      <w:r>
        <w:t xml:space="preserve">, and a gender balance of </w:t>
      </w:r>
      <w:r>
        <w:rPr>
          <w:b/>
        </w:rPr>
        <w:t>48 % male / 52 % female</w:t>
      </w:r>
      <w:r>
        <w:t>.</w:t>
      </w:r>
    </w:p>
    <w:p>
      <w:r>
        <w:t>### Livelihood Structure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Livelihood Activity</w:t>
            </w:r>
          </w:p>
        </w:tc>
        <w:tc>
          <w:tcPr>
            <w:tcW w:type="dxa" w:w="2880"/>
          </w:tcPr>
          <w:p>
            <w:r>
              <w:rPr>
                <w:b/>
              </w:rPr>
              <w:t>% of Household Income</w:t>
            </w:r>
          </w:p>
        </w:tc>
        <w:tc>
          <w:tcPr>
            <w:tcW w:type="dxa" w:w="2880"/>
          </w:tcPr>
          <w:p>
            <w:r>
              <w:rPr>
                <w:b/>
              </w:rPr>
              <w:t>Spatial Distribution</w:t>
            </w:r>
          </w:p>
        </w:tc>
      </w:tr>
      <w:tr>
        <w:tc>
          <w:tcPr>
            <w:tcW w:type="dxa" w:w="2880"/>
          </w:tcPr>
          <w:p>
            <w:r>
              <w:t>Maize &amp; cereal farming (rain‑fed)</w:t>
            </w:r>
          </w:p>
        </w:tc>
        <w:tc>
          <w:tcPr>
            <w:tcW w:type="dxa" w:w="2880"/>
          </w:tcPr>
          <w:p>
            <w:r>
              <w:t>38 %</w:t>
            </w:r>
          </w:p>
        </w:tc>
        <w:tc>
          <w:tcPr>
            <w:tcW w:type="dxa" w:w="2880"/>
          </w:tcPr>
          <w:p>
            <w:r>
              <w:t>Predominantly on the 120 ha of cropland slated for conversion</w:t>
            </w:r>
          </w:p>
        </w:tc>
      </w:tr>
      <w:tr>
        <w:tc>
          <w:tcPr>
            <w:tcW w:type="dxa" w:w="2880"/>
          </w:tcPr>
          <w:p>
            <w:r>
              <w:t>Mixed horticulture (vegetables, fruit)</w:t>
            </w:r>
          </w:p>
        </w:tc>
        <w:tc>
          <w:tcPr>
            <w:tcW w:type="dxa" w:w="2880"/>
          </w:tcPr>
          <w:p>
            <w:r>
              <w:t>22 %</w:t>
            </w:r>
          </w:p>
        </w:tc>
        <w:tc>
          <w:tcPr>
            <w:tcW w:type="dxa" w:w="2880"/>
          </w:tcPr>
          <w:p>
            <w:r>
              <w:t>Adjacent to the proposed plant, primarily on marginal soils</w:t>
            </w:r>
          </w:p>
        </w:tc>
      </w:tr>
      <w:tr>
        <w:tc>
          <w:tcPr>
            <w:tcW w:type="dxa" w:w="2880"/>
          </w:tcPr>
          <w:p>
            <w:r>
              <w:t>Livestock (cattle, goats, poultry)</w:t>
            </w:r>
          </w:p>
        </w:tc>
        <w:tc>
          <w:tcPr>
            <w:tcW w:type="dxa" w:w="2880"/>
          </w:tcPr>
          <w:p>
            <w:r>
              <w:t>15 %</w:t>
            </w:r>
          </w:p>
        </w:tc>
        <w:tc>
          <w:tcPr>
            <w:tcW w:type="dxa" w:w="2880"/>
          </w:tcPr>
          <w:p>
            <w:r>
              <w:t>Scattered homesteads, often inter‑cropped with fields</w:t>
            </w:r>
          </w:p>
        </w:tc>
      </w:tr>
      <w:tr>
        <w:tc>
          <w:tcPr>
            <w:tcW w:type="dxa" w:w="2880"/>
          </w:tcPr>
          <w:p>
            <w:r>
              <w:t>Wage‑labour (construction, transport, services)</w:t>
            </w:r>
          </w:p>
        </w:tc>
        <w:tc>
          <w:tcPr>
            <w:tcW w:type="dxa" w:w="2880"/>
          </w:tcPr>
          <w:p>
            <w:r>
              <w:t>13 %</w:t>
            </w:r>
          </w:p>
        </w:tc>
        <w:tc>
          <w:tcPr>
            <w:tcW w:type="dxa" w:w="2880"/>
          </w:tcPr>
          <w:p>
            <w:r>
              <w:t>Concentrated near the main Thika‑Nairobi highway</w:t>
            </w:r>
          </w:p>
        </w:tc>
      </w:tr>
      <w:tr>
        <w:tc>
          <w:tcPr>
            <w:tcW w:type="dxa" w:w="2880"/>
          </w:tcPr>
          <w:p>
            <w:r>
              <w:t>Other (small‑scale trade, remittances)</w:t>
            </w:r>
          </w:p>
        </w:tc>
        <w:tc>
          <w:tcPr>
            <w:tcW w:type="dxa" w:w="2880"/>
          </w:tcPr>
          <w:p>
            <w:r>
              <w:t>12 %</w:t>
            </w:r>
          </w:p>
        </w:tc>
        <w:tc>
          <w:tcPr>
            <w:tcW w:type="dxa" w:w="2880"/>
          </w:tcPr>
          <w:p>
            <w:r>
              <w:t>Throughout the ward</w:t>
            </w:r>
          </w:p>
        </w:tc>
      </w:tr>
    </w:tbl>
    <w:p>
      <w:r>
        <w:t xml:space="preserve">The </w:t>
      </w:r>
      <w:r>
        <w:rPr>
          <w:b/>
        </w:rPr>
        <w:t>land‑use baseline</w:t>
      </w:r>
      <w:r>
        <w:t xml:space="preserve"> indicates that the 120 ha parcel designated for the plant is currently </w:t>
      </w:r>
      <w:r>
        <w:rPr>
          <w:b/>
        </w:rPr>
        <w:t>cropland</w:t>
      </w:r>
      <w:r>
        <w:t xml:space="preserve"> (Table 1). Conversion to an industrial zone will therefore remove a significant portion of the agricultural base that supports the majority of household incomes. However, the proximity of the site to the </w:t>
      </w:r>
      <w:r>
        <w:rPr>
          <w:b/>
        </w:rPr>
        <w:t>Thika‑Nairobi highway</w:t>
      </w:r>
      <w:r>
        <w:t xml:space="preserve"> and the existing </w:t>
      </w:r>
      <w:r>
        <w:rPr>
          <w:b/>
        </w:rPr>
        <w:t>truck route</w:t>
      </w:r>
      <w:r>
        <w:t xml:space="preserve"> provides an opportunity for the creation of </w:t>
      </w:r>
      <w:r>
        <w:rPr>
          <w:b/>
        </w:rPr>
        <w:t>direct and indirect employment</w:t>
      </w:r>
      <w:r>
        <w:t xml:space="preserve"> in processing, logistics, and ancillary services.</w:t>
      </w:r>
    </w:p>
    <w:p>
      <w:r>
        <w:t>### Socio‑Economic Baseline Indicators</w:t>
      </w:r>
    </w:p>
    <w:p>
      <w:pPr>
        <w:pStyle w:val="ListBullet"/>
      </w:pPr>
      <w:r/>
      <w:r>
        <w:rPr>
          <w:b/>
        </w:rPr>
        <w:t>Employment:</w:t>
      </w:r>
      <w:r>
        <w:t xml:space="preserve"> The local unemployment rate stands at </w:t>
      </w:r>
      <w:r>
        <w:rPr>
          <w:b/>
        </w:rPr>
        <w:t>9.8 %</w:t>
      </w:r>
      <w:r>
        <w:t xml:space="preserve">, with youth unemployment (15‑29 yr) at </w:t>
      </w:r>
      <w:r>
        <w:rPr>
          <w:b/>
        </w:rPr>
        <w:t>14.3 %</w:t>
      </w:r>
      <w:r>
        <w:t>.</w:t>
      </w:r>
    </w:p>
    <w:p>
      <w:pPr>
        <w:pStyle w:val="ListBullet"/>
      </w:pPr>
      <w:r/>
      <w:r>
        <w:rPr>
          <w:b/>
        </w:rPr>
        <w:t>Education:</w:t>
      </w:r>
      <w:r>
        <w:t xml:space="preserve"> Literacy rate is </w:t>
      </w:r>
      <w:r>
        <w:rPr>
          <w:b/>
        </w:rPr>
        <w:t>84 %</w:t>
      </w:r>
      <w:r>
        <w:t xml:space="preserve"> (adult), with </w:t>
      </w:r>
      <w:r>
        <w:rPr>
          <w:b/>
        </w:rPr>
        <w:t>78 %</w:t>
      </w:r>
      <w:r>
        <w:t xml:space="preserve"> of school‑age children enrolled in primary education; the nearest secondary school is </w:t>
      </w:r>
      <w:r>
        <w:rPr>
          <w:b/>
        </w:rPr>
        <w:t>2 km</w:t>
      </w:r>
      <w:r>
        <w:t xml:space="preserve"> north of the site.</w:t>
      </w:r>
    </w:p>
    <w:p>
      <w:pPr>
        <w:pStyle w:val="ListBullet"/>
      </w:pPr>
      <w:r/>
      <w:r>
        <w:rPr>
          <w:b/>
        </w:rPr>
        <w:t>Health:</w:t>
      </w:r>
      <w:r>
        <w:t xml:space="preserve"> The </w:t>
      </w:r>
      <w:r>
        <w:rPr>
          <w:b/>
        </w:rPr>
        <w:t>Juja Level 4 Hospital</w:t>
      </w:r>
      <w:r>
        <w:t xml:space="preserve"> (≈ 900 m east) serves as the primary health‑care facility; baseline ambient </w:t>
      </w:r>
      <w:r>
        <w:rPr>
          <w:b/>
        </w:rPr>
        <w:t>noise level</w:t>
      </w:r>
      <w:r>
        <w:t xml:space="preserve"> of </w:t>
      </w:r>
      <w:r>
        <w:rPr>
          <w:b/>
        </w:rPr>
        <w:t>52 Leq dBA</w:t>
      </w:r>
      <w:r>
        <w:t xml:space="preserve"> and </w:t>
      </w:r>
      <w:r>
        <w:rPr>
          <w:b/>
        </w:rPr>
        <w:t>air‑quality</w:t>
      </w:r>
      <w:r>
        <w:t xml:space="preserve"> concentrations of </w:t>
      </w:r>
      <w:r>
        <w:rPr>
          <w:b/>
        </w:rPr>
        <w:t>PM2.5 = 18 µg m⁻³</w:t>
      </w:r>
      <w:r>
        <w:t xml:space="preserve"> and </w:t>
      </w:r>
      <w:r>
        <w:rPr>
          <w:b/>
        </w:rPr>
        <w:t>PM10 = 41 µg m⁻³</w:t>
      </w:r>
      <w:r>
        <w:t xml:space="preserve"> are within Kenya’s National Ambient Air Quality Standards (NAAQS).</w:t>
      </w:r>
    </w:p>
    <w:p>
      <w:pPr>
        <w:pStyle w:val="ListBullet"/>
      </w:pPr>
      <w:r/>
      <w:r>
        <w:rPr>
          <w:b/>
        </w:rPr>
        <w:t>Water Resources:</w:t>
      </w:r>
      <w:r>
        <w:t xml:space="preserve"> Groundwater is accessed at an average depth of </w:t>
      </w:r>
      <w:r>
        <w:rPr>
          <w:b/>
        </w:rPr>
        <w:t>35 m</w:t>
      </w:r>
      <w:r>
        <w:t xml:space="preserve">; the </w:t>
      </w:r>
      <w:r>
        <w:rPr>
          <w:b/>
        </w:rPr>
        <w:t>Karura Stream</w:t>
      </w:r>
      <w:r>
        <w:t xml:space="preserve"> (≈ 180</w:t>
      </w:r>
    </w:p>
    <w:p>
      <w:pPr>
        <w:pStyle w:val="Heading2"/>
      </w:pPr>
      <w:r>
        <w:t>5.4 Infrastructure and Public Utilities</w:t>
      </w:r>
    </w:p>
    <w:p>
      <w:r>
        <w:t>The proposed maize‑milling plant will be sited on LR No. 8891/22 (private freehold) within the former cropland of Murera Ward, Juja (‑1.1450 ° S, 36.9580 ° E).  The conversion from agricultural to industrial land use is the primary land‑use change and will be confined to the 2.8 ha footprint of the processing complex, including ancillary facilities (administration block, storage sheds, service yard and access roads).</w:t>
      </w:r>
    </w:p>
    <w:p>
      <w:r>
        <w:t>### Existing Infrastructure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Infrastructure</w:t>
            </w:r>
          </w:p>
        </w:tc>
        <w:tc>
          <w:tcPr>
            <w:tcW w:type="dxa" w:w="2160"/>
          </w:tcPr>
          <w:p>
            <w:r>
              <w:rPr>
                <w:b/>
              </w:rPr>
              <w:t>Current Condition</w:t>
            </w:r>
          </w:p>
        </w:tc>
        <w:tc>
          <w:tcPr>
            <w:tcW w:type="dxa" w:w="2160"/>
          </w:tcPr>
          <w:p>
            <w:r>
              <w:rPr>
                <w:b/>
              </w:rPr>
              <w:t>Proximity to Site</w:t>
            </w:r>
          </w:p>
        </w:tc>
        <w:tc>
          <w:tcPr>
            <w:tcW w:type="dxa" w:w="2160"/>
          </w:tcPr>
          <w:p>
            <w:r>
              <w:rPr>
                <w:b/>
              </w:rPr>
              <w:t>Remarks</w:t>
            </w:r>
          </w:p>
        </w:tc>
      </w:tr>
      <w:tr>
        <w:tc>
          <w:tcPr>
            <w:tcW w:type="dxa" w:w="2160"/>
          </w:tcPr>
          <w:p>
            <w:r/>
            <w:r>
              <w:rPr>
                <w:b/>
              </w:rPr>
              <w:t>Road network</w:t>
            </w:r>
            <w:r/>
          </w:p>
        </w:tc>
        <w:tc>
          <w:tcPr>
            <w:tcW w:type="dxa" w:w="2160"/>
          </w:tcPr>
          <w:p>
            <w:r>
              <w:t>Gravel‑surface Murera‑Juja road (class C) providing access to the Nairobi‑Thika highway (A2).</w:t>
            </w:r>
          </w:p>
        </w:tc>
        <w:tc>
          <w:tcPr>
            <w:tcW w:type="dxa" w:w="2160"/>
          </w:tcPr>
          <w:p>
            <w:r>
              <w:t>Directly abuts the western boundary; a 500 m stretch will be upgraded to class B bitumen to accommodate heavy‑truck traffic.</w:t>
            </w:r>
          </w:p>
        </w:tc>
        <w:tc>
          <w:tcPr>
            <w:tcW w:type="dxa" w:w="2160"/>
          </w:tcPr>
          <w:p>
            <w:r>
              <w:t>Traffic management plan (see § 5.6) will mitigate congestion and noise.</w:t>
            </w:r>
          </w:p>
        </w:tc>
      </w:tr>
      <w:tr>
        <w:tc>
          <w:tcPr>
            <w:tcW w:type="dxa" w:w="2160"/>
          </w:tcPr>
          <w:p>
            <w:r/>
            <w:r>
              <w:rPr>
                <w:b/>
              </w:rPr>
              <w:t>Electricity</w:t>
            </w:r>
            <w:r/>
          </w:p>
        </w:tc>
        <w:tc>
          <w:tcPr>
            <w:tcW w:type="dxa" w:w="2160"/>
          </w:tcPr>
          <w:p>
            <w:r>
              <w:t>Kenya Power &amp; Lighting Co. (KPLC) 33 kV sub‑station at Murera (≈ 1.2 km north).</w:t>
            </w:r>
          </w:p>
        </w:tc>
        <w:tc>
          <w:tcPr>
            <w:tcW w:type="dxa" w:w="2160"/>
          </w:tcPr>
          <w:p>
            <w:r>
              <w:t>Connection via 15 kV distribution line.</w:t>
            </w:r>
          </w:p>
        </w:tc>
        <w:tc>
          <w:tcPr>
            <w:tcW w:type="dxa" w:w="2160"/>
          </w:tcPr>
          <w:p>
            <w:r>
              <w:t>Plant will draw 2 MW (peak) with a 250 kVA standby diesel generator for critical loads.</w:t>
            </w:r>
          </w:p>
        </w:tc>
      </w:tr>
      <w:tr>
        <w:tc>
          <w:tcPr>
            <w:tcW w:type="dxa" w:w="2160"/>
          </w:tcPr>
          <w:p>
            <w:r/>
            <w:r>
              <w:rPr>
                <w:b/>
              </w:rPr>
              <w:t>Water supply</w:t>
            </w:r>
            <w:r/>
          </w:p>
        </w:tc>
        <w:tc>
          <w:tcPr>
            <w:tcW w:type="dxa" w:w="2160"/>
          </w:tcPr>
          <w:p>
            <w:r>
              <w:t>Groundwater aquifer at 35 m depth; existing borehole (150 m³ day⁻¹) serving the nearby community.</w:t>
            </w:r>
          </w:p>
        </w:tc>
        <w:tc>
          <w:tcPr>
            <w:tcW w:type="dxa" w:w="2160"/>
          </w:tcPr>
          <w:p>
            <w:r>
              <w:t>180 m north of the site (Karura Stream catchment).</w:t>
            </w:r>
          </w:p>
        </w:tc>
        <w:tc>
          <w:tcPr>
            <w:tcW w:type="dxa" w:w="2160"/>
          </w:tcPr>
          <w:p>
            <w:r>
              <w:t>Closed‑loop water‑recycling system will limit fresh‑water abstraction to 80 m³ day⁻¹, well below the sustainable yield (≈ 300 m³ day⁻¹).</w:t>
            </w:r>
          </w:p>
        </w:tc>
      </w:tr>
      <w:tr>
        <w:tc>
          <w:tcPr>
            <w:tcW w:type="dxa" w:w="2160"/>
          </w:tcPr>
          <w:p>
            <w:r/>
            <w:r>
              <w:rPr>
                <w:b/>
              </w:rPr>
              <w:t>Sewerage</w:t>
            </w:r>
            <w:r/>
          </w:p>
        </w:tc>
        <w:tc>
          <w:tcPr>
            <w:tcW w:type="dxa" w:w="2160"/>
          </w:tcPr>
          <w:p>
            <w:r>
              <w:t>No public sewer network within a 2 km radius; households rely on on‑site septic tanks.</w:t>
            </w:r>
          </w:p>
        </w:tc>
        <w:tc>
          <w:tcPr>
            <w:tcW w:type="dxa" w:w="2160"/>
          </w:tcPr>
          <w:p>
            <w:r>
              <w:t>N/A</w:t>
            </w:r>
          </w:p>
        </w:tc>
        <w:tc>
          <w:tcPr>
            <w:tcW w:type="dxa" w:w="2160"/>
          </w:tcPr>
          <w:p>
            <w:r>
              <w:t>An on‑site effluent treatment plant (ETP) will be installed to meet NEMA‑WWD standards before discharge to Karura Stream.</w:t>
            </w:r>
          </w:p>
        </w:tc>
      </w:tr>
      <w:tr>
        <w:tc>
          <w:tcPr>
            <w:tcW w:type="dxa" w:w="2160"/>
          </w:tcPr>
          <w:p>
            <w:r/>
            <w:r>
              <w:rPr>
                <w:b/>
              </w:rPr>
              <w:t>Storm‑water</w:t>
            </w:r>
            <w:r/>
          </w:p>
        </w:tc>
        <w:tc>
          <w:tcPr>
            <w:tcW w:type="dxa" w:w="2160"/>
          </w:tcPr>
          <w:p>
            <w:r>
              <w:t>Natural drainage towards Karura Stream (180 m north).</w:t>
            </w:r>
          </w:p>
        </w:tc>
        <w:tc>
          <w:tcPr>
            <w:tcW w:type="dxa" w:w="2160"/>
          </w:tcPr>
          <w:p>
            <w:r>
              <w:t>Existing swales are shallow and prone to erosion during intense rains.</w:t>
            </w:r>
          </w:p>
        </w:tc>
        <w:tc>
          <w:tcPr>
            <w:tcW w:type="dxa" w:w="2160"/>
          </w:tcPr>
          <w:p>
            <w:r>
              <w:t>A graded concrete storm‑water collection system with sediment traps will be constructed.</w:t>
            </w:r>
          </w:p>
        </w:tc>
      </w:tr>
    </w:tbl>
    <w:p>
      <w:r>
        <w:t xml:space="preserve">| </w:t>
      </w:r>
      <w:r>
        <w:rPr>
          <w:b/>
        </w:rPr>
        <w:t>Telecommunications</w:t>
      </w:r>
      <w:r>
        <w:t xml:space="preserve"> | Mobile network coverage (Safaricom, Airtel) is adequate; fiber‑</w:t>
      </w:r>
    </w:p>
    <w:p>
      <w:pPr>
        <w:pStyle w:val="Heading1"/>
      </w:pPr>
      <w:r>
        <w:t>Chapter 6: Public Participation and Stakeholder Consultation</w:t>
      </w:r>
    </w:p>
    <w:p>
      <w:pPr>
        <w:pStyle w:val="Heading2"/>
      </w:pPr>
      <w:r>
        <w:t>6.1 Objectives of Public Participation</w:t>
      </w:r>
    </w:p>
    <w:p>
      <w:r>
        <w:t>The primary purpose of public participation in the Environmental and Social Impact Assessment (ESIA) for the Ruiru Agro‑Processing Plant is to ensure that the views, knowledge, and concerns of all potentially affected and interested parties are systematically identified, documented, and integrated into the project design, mitigation hierarchy, and decision‑making processes. By engaging the community, local institutions, and relevant authorities early and continuously, the proponent seeks to promote transparency, build mutual trust, and foster a collaborative environment that enhances the sustainability of the maize‑milling facility throughout its 25‑year lifespan.</w:t>
      </w:r>
    </w:p>
    <w:p>
      <w:r>
        <w:t>Key objectives of the public participation process are:</w:t>
      </w:r>
    </w:p>
    <w:p>
      <w:pPr>
        <w:pStyle w:val="ListBullet"/>
      </w:pPr>
      <w:r/>
      <w:r>
        <w:rPr>
          <w:b/>
        </w:rPr>
        <w:t>Information Disclosure and Awareness</w:t>
      </w:r>
      <w:r/>
    </w:p>
    <w:p>
      <w:pPr>
        <w:pStyle w:val="ListBullet"/>
      </w:pPr>
      <w:r>
        <w:t>Provide clear, accessible, and timely information on the project scope, location, technical specifications, and anticipated environmental and social impacts.</w:t>
      </w:r>
    </w:p>
    <w:p>
      <w:pPr>
        <w:pStyle w:val="ListBullet"/>
      </w:pPr>
      <w:r>
        <w:t>Explain the legal and regulatory framework governing the project, including NEMA guidelines, the Environmental Management and Coordination Act (EMCA) 1999, and sector‑specific standards for agro‑processing.</w:t>
      </w:r>
    </w:p>
    <w:p>
      <w:pPr>
        <w:pStyle w:val="ListBullet"/>
      </w:pPr>
      <w:r>
        <w:t>Ensure that baseline data (air quality, noise levels, groundwater depth, land‑use patterns, and proximity to sensitive receptors) are communicated in a format understandable to non‑technical audiences.</w:t>
      </w:r>
    </w:p>
    <w:p>
      <w:pPr>
        <w:pStyle w:val="ListBullet"/>
      </w:pPr>
      <w:r/>
      <w:r>
        <w:rPr>
          <w:b/>
        </w:rPr>
        <w:t>Identification and Documentation of Local Concerns</w:t>
      </w:r>
      <w:r/>
    </w:p>
    <w:p>
      <w:pPr>
        <w:pStyle w:val="ListBullet"/>
      </w:pPr>
      <w:r>
        <w:t>Capture community‑raised issues such as noise from machinery, grain dust emissions, heavy truck traffic, and potential water quality impacts on Karura Stream.</w:t>
      </w:r>
    </w:p>
    <w:p>
      <w:pPr>
        <w:pStyle w:val="ListBullet"/>
      </w:pPr>
      <w:r>
        <w:t>Record site‑specific observations and traditional knowledge that may affect impact predictions (e.g., seasonal variations in groundwater levels, existing land‑use practices, and cultural values attached to the cropland).</w:t>
      </w:r>
    </w:p>
    <w:p>
      <w:pPr>
        <w:pStyle w:val="ListBullet"/>
      </w:pPr>
      <w:r/>
      <w:r>
        <w:rPr>
          <w:b/>
        </w:rPr>
        <w:t>Incorporation of Stakeholder Input into Project Planning</w:t>
      </w:r>
      <w:r/>
    </w:p>
    <w:p>
      <w:pPr>
        <w:pStyle w:val="ListBullet"/>
      </w:pPr>
      <w:r>
        <w:t>Translate identified concerns into concrete mitigation measures (e.g., acoustic enclosures, dust extraction systems, dedicated truck routes, speed‑bump installations, and closed‑loop water recycling).</w:t>
      </w:r>
    </w:p>
    <w:p>
      <w:pPr>
        <w:pStyle w:val="ListBullet"/>
      </w:pPr>
      <w:r>
        <w:t>Evaluate alternative site options and design modifications in light of stakeholder feedback, ensuring that the selected Juja/Murera location reflects the community’s preference for proximity to farmers and reduced water constraints.</w:t>
      </w:r>
    </w:p>
    <w:p>
      <w:pPr>
        <w:pStyle w:val="ListBullet"/>
      </w:pPr>
      <w:r/>
      <w:r>
        <w:rPr>
          <w:b/>
        </w:rPr>
        <w:t>Facilitation of Dialogue and Consensus Building</w:t>
      </w:r>
      <w:r/>
    </w:p>
    <w:p>
      <w:pPr>
        <w:pStyle w:val="ListBullet"/>
      </w:pPr>
      <w:r>
        <w:t>Provide a platform for two‑way communication between the proponent, regulatory agencies (NEMA, WRMA), and community representatives (Baraza members, school officials, health workers, and local NGOs).</w:t>
      </w:r>
    </w:p>
    <w:p>
      <w:pPr>
        <w:pStyle w:val="ListBullet"/>
      </w:pPr>
      <w:r>
        <w:t>Encourage constructive discussion on trade‑offs, benefit‑sharing mechanisms, and potential livelihood enhancement opportunities (e.g., employment, procurement of locally produced maize).</w:t>
      </w:r>
    </w:p>
    <w:p>
      <w:pPr>
        <w:pStyle w:val="ListBullet"/>
      </w:pPr>
      <w:r/>
      <w:r>
        <w:rPr>
          <w:b/>
        </w:rPr>
        <w:t>Enhancement of Environmental Governance and Accountability</w:t>
      </w:r>
      <w:r/>
    </w:p>
    <w:p>
      <w:pPr>
        <w:pStyle w:val="ListBullet"/>
      </w:pPr>
      <w:r>
        <w:t>Establish a transparent record of all consultation activities, attendance registers, and the outcomes of each engagement session (e.g., the August 2026 Baraza attended by 210 participants).</w:t>
      </w:r>
    </w:p>
    <w:p>
      <w:pPr>
        <w:pStyle w:val="ListBullet"/>
      </w:pPr>
      <w:r>
        <w:t>Define mechanisms for ongoing monitoring, grievance redress, and adaptive management, ensuring that the community can raise concerns during construction and operation phases and that the proponent responds promptly.</w:t>
      </w:r>
    </w:p>
    <w:p>
      <w:pPr>
        <w:pStyle w:val="ListBullet"/>
      </w:pPr>
      <w:r/>
      <w:r>
        <w:rPr>
          <w:b/>
        </w:rPr>
        <w:t>Promotion of Sustainable Development Objectives</w:t>
      </w:r>
      <w:r/>
    </w:p>
    <w:p>
      <w:pPr>
        <w:pStyle w:val="ListBullet"/>
      </w:pPr>
      <w:r>
        <w:t>Align the project’s social and environmental outcomes with Kenya’s Vision 2030 and the United Nations Sustainable Development Goals (SDGs), particularly SDG 2 (Zero Hunger), SDG 6 (Clean Water and Sanitation), SDG 8 (Decent Work and Economic Growth), and SDG</w:t>
      </w:r>
    </w:p>
    <w:p>
      <w:pPr>
        <w:pStyle w:val="Heading2"/>
      </w:pPr>
      <w:r>
        <w:t>6.2 Methodology of Stakeholder Engagement</w:t>
      </w:r>
    </w:p>
    <w:p>
      <w:r>
        <w:t xml:space="preserve">The stakeholder engagement process for the Ruiru Agro‑Processing Plant was designed to meet the requirements of the </w:t>
      </w:r>
      <w:r>
        <w:rPr>
          <w:b/>
        </w:rPr>
        <w:t>National Environment Management Authority (NEMA) – Environmental Impact Assessment (EIA) Regulations 2019</w:t>
      </w:r>
      <w:r>
        <w:t xml:space="preserve">, the </w:t>
      </w:r>
      <w:r>
        <w:rPr>
          <w:b/>
        </w:rPr>
        <w:t>World Bank Environmental and Social Framework (ESF)</w:t>
      </w:r>
      <w:r>
        <w:t xml:space="preserve"> and the </w:t>
      </w:r>
      <w:r>
        <w:rPr>
          <w:b/>
        </w:rPr>
        <w:t>Kenyan Constitution’s Bill of Rights</w:t>
      </w:r>
      <w:r>
        <w:t xml:space="preserve"> on public participation. The methodology combined a systematic, evidence‑based approach with culturally appropriate outreach to ensure that all potentially affected and interested parties were identified, consulted, and their inputs integrated into the Environmental and Social Impact Assessment (ESIA).</w:t>
      </w:r>
    </w:p>
    <w:p>
      <w:r>
        <w:t>---</w:t>
      </w:r>
    </w:p>
    <w:p>
      <w:r>
        <w:t>### 1. Scoping and Stakeholder Identification</w:t>
      </w:r>
    </w:p>
    <w:p>
      <w:pPr>
        <w:pStyle w:val="ListNumber"/>
      </w:pPr>
      <w:r/>
      <w:r>
        <w:rPr>
          <w:b/>
        </w:rPr>
        <w:t>Desk‑based screening</w:t>
      </w:r>
      <w:r>
        <w:t xml:space="preserve"> – A review of land‑use maps, census data, health facility registers, school locations, water‑resource inventories and existing utility networks was undertaken to generate an initial list of stakeholders within a 2 km radius of the project site.</w:t>
      </w:r>
    </w:p>
    <w:p>
      <w:pPr>
        <w:pStyle w:val="ListNumber"/>
      </w:pPr>
      <w:r/>
      <w:r>
        <w:rPr>
          <w:b/>
        </w:rPr>
        <w:t>Stakeholder mapping</w:t>
      </w:r>
      <w:r>
        <w:t xml:space="preserve"> – Each identified group was plotted on a matrix using two axes: </w:t>
      </w:r>
      <w:r>
        <w:rPr>
          <w:i/>
        </w:rPr>
        <w:t>influence</w:t>
      </w:r>
      <w:r>
        <w:t xml:space="preserve"> (capacity to affect project outcomes) and </w:t>
      </w:r>
      <w:r>
        <w:rPr>
          <w:i/>
        </w:rPr>
        <w:t>interest</w:t>
      </w:r>
      <w:r>
        <w:t xml:space="preserve"> (degree of concern about project impacts). This produced four quadrants (Key Players, Keep Informed, Keep Satisfied, Minimal Effort) that guided the intensity and format of engagement.</w:t>
      </w:r>
    </w:p>
    <w:p>
      <w:pPr>
        <w:pStyle w:val="ListNumber"/>
      </w:pPr>
      <w:r/>
      <w:r>
        <w:rPr>
          <w:b/>
        </w:rPr>
        <w:t>Verification through local networks</w:t>
      </w:r>
      <w:r>
        <w:t xml:space="preserve"> – The preliminary list was cross‑checked with the Kiambu County Integrated Development Plan (CIDP) and with the local chief’s office to capture informal groups (e.g., women’s cooperatives, youth clubs, religious congregations) that are not always reflected in official records.</w:t>
      </w:r>
    </w:p>
    <w:p>
      <w:r/>
      <w:r>
        <w:rPr>
          <w:b/>
        </w:rPr>
        <w:t>Key stakeholder categories identified</w:t>
      </w:r>
      <w:r/>
    </w:p>
    <w:p>
      <w:pPr>
        <w:pStyle w:val="ListBullet"/>
      </w:pPr>
      <w:r/>
      <w:r>
        <w:rPr>
          <w:b/>
        </w:rPr>
        <w:t>Local residents</w:t>
      </w:r>
      <w:r>
        <w:t xml:space="preserve"> (households within 1 km)</w:t>
      </w:r>
    </w:p>
    <w:p>
      <w:pPr>
        <w:pStyle w:val="ListBullet"/>
      </w:pPr>
      <w:r/>
      <w:r>
        <w:rPr>
          <w:b/>
        </w:rPr>
        <w:t>Public institutions</w:t>
      </w:r>
      <w:r>
        <w:t xml:space="preserve"> – Juja Level 4 Hospital, Murera Primary School, Kiambu County Environment &amp; Health Department</w:t>
      </w:r>
    </w:p>
    <w:p>
      <w:pPr>
        <w:pStyle w:val="ListBullet"/>
      </w:pPr>
      <w:r/>
      <w:r>
        <w:rPr>
          <w:b/>
        </w:rPr>
        <w:t>Economic actors</w:t>
      </w:r>
      <w:r>
        <w:t xml:space="preserve"> – Smallholder maize farmers, transport unions, local traders, water vendors</w:t>
      </w:r>
    </w:p>
    <w:p>
      <w:pPr>
        <w:pStyle w:val="ListBullet"/>
      </w:pPr>
      <w:r/>
      <w:r>
        <w:rPr>
          <w:b/>
        </w:rPr>
        <w:t>Environmental custodians</w:t>
      </w:r>
      <w:r>
        <w:t xml:space="preserve"> – Karura Stream user groups, NGOs (e.g., Kenya Water Forum)</w:t>
      </w:r>
    </w:p>
    <w:p>
      <w:pPr>
        <w:pStyle w:val="ListBullet"/>
      </w:pPr>
      <w:r/>
      <w:r>
        <w:rPr>
          <w:b/>
        </w:rPr>
        <w:t>Regulatory bodies</w:t>
      </w:r>
      <w:r>
        <w:t xml:space="preserve"> – NEMA, Water Resources Management Authority (WRMA), Kenya Plant Health Inspectorate Service (KEPHIS)</w:t>
      </w:r>
    </w:p>
    <w:p>
      <w:r>
        <w:t>---</w:t>
      </w:r>
    </w:p>
    <w:p>
      <w:r>
        <w:t>### 2. Engagement Planning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Element</w:t>
            </w:r>
          </w:p>
        </w:tc>
        <w:tc>
          <w:tcPr>
            <w:tcW w:type="dxa" w:w="2880"/>
          </w:tcPr>
          <w:p>
            <w:r>
              <w:rPr>
                <w:b/>
              </w:rPr>
              <w:t>Description</w:t>
            </w:r>
          </w:p>
        </w:tc>
        <w:tc>
          <w:tcPr>
            <w:tcW w:type="dxa" w:w="2880"/>
          </w:tcPr>
          <w:p>
            <w:r>
              <w:rPr>
                <w:b/>
              </w:rPr>
              <w:t>Rationale</w:t>
            </w:r>
          </w:p>
        </w:tc>
      </w:tr>
      <w:tr>
        <w:tc>
          <w:tcPr>
            <w:tcW w:type="dxa" w:w="2880"/>
          </w:tcPr>
          <w:p>
            <w:r/>
            <w:r>
              <w:rPr>
                <w:b/>
              </w:rPr>
              <w:t>Engagement objectives</w:t>
            </w:r>
            <w:r/>
          </w:p>
        </w:tc>
        <w:tc>
          <w:tcPr>
            <w:tcW w:type="dxa" w:w="2880"/>
          </w:tcPr>
          <w:p>
            <w:r>
              <w:t>• Inform stakeholders of project scope, schedule and potential impacts.&lt;br&gt;• Elicit concerns, expectations and suggestions.&lt;br&gt;• Build trust and secure a social licence to operate.</w:t>
            </w:r>
          </w:p>
        </w:tc>
        <w:tc>
          <w:tcPr>
            <w:tcW w:type="dxa" w:w="2880"/>
          </w:tcPr>
          <w:p>
            <w:r>
              <w:t>Aligns with NEMA’s “meaningful participation” principle and ensures that mitigation measures are locally appropriate.</w:t>
            </w:r>
          </w:p>
        </w:tc>
      </w:tr>
    </w:tbl>
    <w:p>
      <w:r>
        <w:t xml:space="preserve">| </w:t>
      </w:r>
      <w:r>
        <w:rPr>
          <w:b/>
        </w:rPr>
        <w:t>Engagement methods</w:t>
      </w:r>
      <w:r>
        <w:t xml:space="preserve"> | • </w:t>
      </w:r>
      <w:r>
        <w:rPr>
          <w:b/>
        </w:rPr>
        <w:t>Baraza (public hearing)</w:t>
      </w:r>
      <w:r>
        <w:t xml:space="preserve"> – large open‑air forum for collective discussion.&lt;br&gt;• </w:t>
      </w:r>
      <w:r>
        <w:rPr>
          <w:b/>
        </w:rPr>
        <w:t>Focus Group Discussions (FGDs)</w:t>
      </w:r>
      <w:r>
        <w:t xml:space="preserve"> – targeted sessions with women farmers, school teachers, health workers.&lt;br&gt;• </w:t>
      </w:r>
      <w:r>
        <w:rPr>
          <w:b/>
        </w:rPr>
        <w:t>Key Informant Interviews (KIIs)</w:t>
      </w:r>
      <w:r>
        <w:t xml:space="preserve"> – one‑on‑one meetings with county officials, stream user group leaders, transport union heads.&lt;br&gt;• </w:t>
      </w:r>
      <w:r>
        <w:rPr>
          <w:b/>
        </w:rPr>
        <w:t>Surveys (paper &amp; digital)</w:t>
      </w:r>
      <w:r>
        <w:t xml:space="preserve"> – structured questionnaires to capture quantitative perception data.&lt;br&gt;• </w:t>
      </w:r>
      <w:r>
        <w:rPr>
          <w:b/>
        </w:rPr>
        <w:t>Information dissemination</w:t>
      </w:r>
      <w:r>
        <w:t xml:space="preserve"> – flyers, community notice boards, radio jingles in Swahili and Kikuyu. | Mixed‑method approach captures both breadth (baraza) and depth (FGDs, KIIs) of stakeholder views, while respecting local</w:t>
      </w:r>
    </w:p>
    <w:p>
      <w:pPr>
        <w:pStyle w:val="Heading2"/>
      </w:pPr>
      <w:r>
        <w:t>6.3 Summary of Issues Raised and Responses</w:t>
      </w:r>
    </w:p>
    <w:p>
      <w:r>
        <w:t>During the stakeholder engagement held on 12 August 2026, a Baraza was convened under the auspices of the County Executive Committee on Environment, Water and Natural Resources. A total of 210 participants attended, representing the local community (farmers, women’s groups, youth, and elders), the Juja Level 4 Hospital, Murera Primary School, the Karura Stream Users Association, transport operators, and the Kiambu County Planning Department. The consultation was facilitated by an independent social‑environmental practitioner and documented in the Stakeholder Consultation Register (SCR‑2026‑08‑12). The following issues were raised, together with the proponent’s technical and managerial responses, which have been incorporated into the Environmental and Social Impact Assessment (ESIA) mitigation matrix and the Environmental Management Plan (EMP).</w:t>
      </w:r>
    </w:p>
    <w:p>
      <w:r/>
      <w:r>
        <w:rPr>
          <w:b/>
        </w:rPr>
        <w:t>1. Noise from milling machinery and ancillary equipment</w:t>
      </w:r>
      <w:r/>
    </w:p>
    <w:p>
      <w:pPr>
        <w:pStyle w:val="ListBullet"/>
      </w:pPr>
      <w:r/>
      <w:r>
        <w:rPr>
          <w:i/>
        </w:rPr>
        <w:t>Concern</w:t>
      </w:r>
      <w:r>
        <w:t>: Residents and the nearby primary school feared that continuous operation of grinders, sifters, and conveyors would elevate ambient sound levels beyond the Kenya Noise Guidelines (≤55 dB Leq for residential zones).</w:t>
      </w:r>
    </w:p>
    <w:p>
      <w:pPr>
        <w:pStyle w:val="ListBullet"/>
      </w:pPr>
      <w:r/>
      <w:r>
        <w:rPr>
          <w:i/>
        </w:rPr>
        <w:t>Response</w:t>
      </w:r>
      <w:r>
        <w:t>:</w:t>
      </w:r>
    </w:p>
    <w:p>
      <w:pPr>
        <w:pStyle w:val="ListBullet"/>
      </w:pPr>
      <w:r>
        <w:t>Installation of acoustic enclosures around all high‑noise equipment, designed to achieve a minimum of 12 dB attenuation (verified by on‑site sound‑level testing).</w:t>
      </w:r>
    </w:p>
    <w:p>
      <w:pPr>
        <w:pStyle w:val="ListBullet"/>
      </w:pPr>
      <w:r>
        <w:t>Implementation of a “quiet‑hours” policy restricting operation of non‑essential equipment to 06:00 – 20:00 h; night‑time maintenance will be performed with portable, low‑noise tools only.</w:t>
      </w:r>
    </w:p>
    <w:p>
      <w:pPr>
        <w:pStyle w:val="ListBullet"/>
      </w:pPr>
      <w:r>
        <w:t>Placement of noise‑absorbing barriers (30 cm thick, high‑density mineral wool) along the western façade facing Murera Primary School (350 m away).</w:t>
      </w:r>
    </w:p>
    <w:p>
      <w:pPr>
        <w:pStyle w:val="ListBullet"/>
      </w:pPr>
      <w:r>
        <w:t>Continuous monitoring using Class 1 sound level meters at the school boundary and the hospital, with results reported quarterly to the County Environmental Management Unit (CEMU).</w:t>
      </w:r>
    </w:p>
    <w:p>
      <w:r/>
      <w:r>
        <w:rPr>
          <w:b/>
        </w:rPr>
        <w:t>2. Grain dust emissions and air‑quality impacts</w:t>
      </w:r>
      <w:r/>
    </w:p>
    <w:p>
      <w:pPr>
        <w:pStyle w:val="ListBullet"/>
      </w:pPr>
      <w:r/>
      <w:r>
        <w:rPr>
          <w:i/>
        </w:rPr>
        <w:t>Concern</w:t>
      </w:r>
      <w:r>
        <w:t>: Community members highlighted the risk of increased particulate matter (PM₂.₅ and PM₁₀) that could exacerbate respiratory conditions, especially for patients at Juja Level 4 Hospital (900 m east). Baseline measurements indicate PM₂.₅ = 18 µg/m³ and PM₁₀ = 41 µg/m³, already approaching the WHO interim targets.</w:t>
      </w:r>
    </w:p>
    <w:p>
      <w:pPr>
        <w:pStyle w:val="ListBullet"/>
      </w:pPr>
      <w:r/>
      <w:r>
        <w:rPr>
          <w:i/>
        </w:rPr>
        <w:t>Response</w:t>
      </w:r>
      <w:r>
        <w:t>:</w:t>
      </w:r>
    </w:p>
    <w:p>
      <w:pPr>
        <w:pStyle w:val="ListBullet"/>
      </w:pPr>
      <w:r>
        <w:t>Deployment of a closed‑loop dust extraction system on all grinding and sieving stations, equipped with high‑efficiency particulate air (HEPA) filters (≥99.97 % removal for particles ≥0.3 µm).</w:t>
      </w:r>
    </w:p>
    <w:p>
      <w:pPr>
        <w:pStyle w:val="ListBullet"/>
      </w:pPr>
      <w:r>
        <w:t>Installation of a real‑time particulate monitoring station at the plant perimeter, linked to an automated alarm that triggers supplemental baghouse cleaning when concentrations exceed 30 µg/m³ (PM₂.₅).</w:t>
      </w:r>
    </w:p>
    <w:p>
      <w:pPr>
        <w:pStyle w:val="ListBullet"/>
      </w:pPr>
      <w:r>
        <w:t>Routine housekeeping procedures, including weekly wet‑scrubbing of floors and weekly inspection of filter integrity, documented in the EMP.</w:t>
      </w:r>
    </w:p>
    <w:p>
      <w:pPr>
        <w:pStyle w:val="ListBullet"/>
      </w:pPr>
      <w:r>
        <w:t>Commitment to submit annual air‑quality monitoring reports to NEMA and to the County Health Officer.</w:t>
      </w:r>
    </w:p>
    <w:p>
      <w:r/>
      <w:r>
        <w:rPr>
          <w:b/>
        </w:rPr>
        <w:t>3. Heavy‑truck traffic and road safety</w:t>
      </w:r>
      <w:r/>
    </w:p>
    <w:p>
      <w:pPr>
        <w:pStyle w:val="ListBullet"/>
      </w:pPr>
      <w:r/>
      <w:r>
        <w:rPr>
          <w:i/>
        </w:rPr>
        <w:t>Concern</w:t>
      </w:r>
      <w:r>
        <w:t>: The influx of 30‑tonne grain‑receiving trucks was expected to increase traffic volume on the Kiambu‑Juja Road, raising safety concerns for pedestrians and school children, and potentially accelerating road wear.</w:t>
      </w:r>
    </w:p>
    <w:p>
      <w:pPr>
        <w:pStyle w:val="ListBullet"/>
      </w:pPr>
      <w:r/>
      <w:r>
        <w:rPr>
          <w:i/>
        </w:rPr>
        <w:t>Response</w:t>
      </w:r>
      <w:r>
        <w:t>:</w:t>
      </w:r>
    </w:p>
    <w:p>
      <w:pPr>
        <w:pStyle w:val="ListBullet"/>
      </w:pPr>
      <w:r>
        <w:t>Designation</w:t>
      </w:r>
    </w:p>
    <w:p>
      <w:pPr>
        <w:pStyle w:val="Heading1"/>
      </w:pPr>
      <w:r>
        <w:t>Chapter 7: Anticipated Impacts and Mitigation Measures</w:t>
      </w:r>
    </w:p>
    <w:p>
      <w:pPr>
        <w:pStyle w:val="Heading2"/>
      </w:pPr>
      <w:r>
        <w:t>7.1 Positive Impacts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Impact</w:t>
            </w:r>
            <w:r>
              <w:rPr>
                <w:b/>
              </w:rPr>
            </w:r>
          </w:p>
        </w:tc>
        <w:tc>
          <w:tcPr>
            <w:tcW w:type="dxa" w:w="2160"/>
          </w:tcPr>
          <w:p>
            <w:r>
              <w:rPr>
                <w:b/>
              </w:rPr>
            </w:r>
            <w:r>
              <w:rPr>
                <w:b/>
              </w:rPr>
              <w:t>Mitigation / Enhancement Action</w:t>
            </w:r>
            <w:r>
              <w:rPr>
                <w:b/>
              </w:rPr>
            </w:r>
          </w:p>
        </w:tc>
        <w:tc>
          <w:tcPr>
            <w:tcW w:type="dxa" w:w="2160"/>
          </w:tcPr>
          <w:p>
            <w:r>
              <w:rPr>
                <w:b/>
              </w:rPr>
            </w:r>
            <w:r>
              <w:rPr>
                <w:b/>
              </w:rPr>
              <w:t>Responsibility</w:t>
            </w:r>
            <w:r>
              <w:rPr>
                <w:b/>
              </w:rPr>
            </w:r>
          </w:p>
        </w:tc>
        <w:tc>
          <w:tcPr>
            <w:tcW w:type="dxa" w:w="2160"/>
          </w:tcPr>
          <w:p>
            <w:r>
              <w:rPr>
                <w:b/>
              </w:rPr>
            </w:r>
            <w:r>
              <w:rPr>
                <w:b/>
              </w:rPr>
              <w:t>Monitoring Frequency</w:t>
            </w:r>
            <w:r>
              <w:rPr>
                <w:b/>
              </w:rPr>
            </w:r>
          </w:p>
        </w:tc>
      </w:tr>
      <w:tr>
        <w:tc>
          <w:tcPr>
            <w:tcW w:type="dxa" w:w="2160"/>
          </w:tcPr>
          <w:p>
            <w:r/>
            <w:r>
              <w:rPr>
                <w:b/>
              </w:rPr>
              <w:t>Direct employment creation (≈150 permanent jobs)</w:t>
            </w:r>
            <w:r/>
          </w:p>
        </w:tc>
        <w:tc>
          <w:tcPr>
            <w:tcW w:type="dxa" w:w="2160"/>
          </w:tcPr>
          <w:p>
            <w:r>
              <w:t>Recruit ≥ 80 % of permanent staff from the local Juja/Murera labor pool; maintain a quarterly “Local Hiring Report” showing percentages and gender balance.</w:t>
            </w:r>
          </w:p>
        </w:tc>
        <w:tc>
          <w:tcPr>
            <w:tcW w:type="dxa" w:w="2160"/>
          </w:tcPr>
          <w:p>
            <w:r>
              <w:t>HR &amp; Community Liaison Officer</w:t>
            </w:r>
          </w:p>
        </w:tc>
        <w:tc>
          <w:tcPr>
            <w:tcW w:type="dxa" w:w="2160"/>
          </w:tcPr>
          <w:p>
            <w:r>
              <w:t>Quarterly</w:t>
            </w:r>
          </w:p>
        </w:tc>
      </w:tr>
      <w:tr>
        <w:tc>
          <w:tcPr>
            <w:tcW w:type="dxa" w:w="2160"/>
          </w:tcPr>
          <w:p>
            <w:r/>
            <w:r>
              <w:rPr>
                <w:b/>
              </w:rPr>
              <w:t>Indirect employment (truck drivers, vendors, services)</w:t>
            </w:r>
            <w:r/>
          </w:p>
        </w:tc>
        <w:tc>
          <w:tcPr>
            <w:tcW w:type="dxa" w:w="2160"/>
          </w:tcPr>
          <w:p>
            <w:r>
              <w:t>Prioritize contracts with locally‑registered transport firms and service providers; maintain a register of all subcontractors with proof of local registration.</w:t>
            </w:r>
          </w:p>
        </w:tc>
        <w:tc>
          <w:tcPr>
            <w:tcW w:type="dxa" w:w="2160"/>
          </w:tcPr>
          <w:p>
            <w:r>
              <w:t>Procurement Manager</w:t>
            </w:r>
          </w:p>
        </w:tc>
        <w:tc>
          <w:tcPr>
            <w:tcW w:type="dxa" w:w="2160"/>
          </w:tcPr>
          <w:p>
            <w:r>
              <w:t>Bi‑annual</w:t>
            </w:r>
          </w:p>
        </w:tc>
      </w:tr>
      <w:tr>
        <w:tc>
          <w:tcPr>
            <w:tcW w:type="dxa" w:w="2160"/>
          </w:tcPr>
          <w:p>
            <w:r/>
            <w:r>
              <w:rPr>
                <w:b/>
              </w:rPr>
              <w:t>Skills development &amp; capacity building</w:t>
            </w:r>
            <w:r/>
          </w:p>
        </w:tc>
        <w:tc>
          <w:tcPr>
            <w:tcW w:type="dxa" w:w="2160"/>
          </w:tcPr>
          <w:p>
            <w:r>
              <w:t>Conduct 4 training workshops per year on grain handling, equipment maintenance, and occupational health &amp; safety; certify ≥ 90 % participants.</w:t>
            </w:r>
          </w:p>
        </w:tc>
        <w:tc>
          <w:tcPr>
            <w:tcW w:type="dxa" w:w="2160"/>
          </w:tcPr>
          <w:p>
            <w:r>
              <w:t>Training Coordinator (in partnership with Kiambu County Vocational Institute)</w:t>
            </w:r>
          </w:p>
        </w:tc>
        <w:tc>
          <w:tcPr>
            <w:tcW w:type="dxa" w:w="2160"/>
          </w:tcPr>
          <w:p>
            <w:r>
              <w:t>After each workshop (report within 2 weeks)</w:t>
            </w:r>
          </w:p>
        </w:tc>
      </w:tr>
      <w:tr>
        <w:tc>
          <w:tcPr>
            <w:tcW w:type="dxa" w:w="2160"/>
          </w:tcPr>
          <w:p>
            <w:r/>
            <w:r>
              <w:rPr>
                <w:b/>
              </w:rPr>
              <w:t>Reduction of post‑harvest losses for local farmers</w:t>
            </w:r>
            <w:r/>
          </w:p>
        </w:tc>
        <w:tc>
          <w:tcPr>
            <w:tcW w:type="dxa" w:w="2160"/>
          </w:tcPr>
          <w:p>
            <w:r>
              <w:t>Offer a “grain buy‑back” scheme guaranteeing purchase of 100 % of locally produced maize at market‑linked prices; track volume purchased monthly.</w:t>
            </w:r>
          </w:p>
        </w:tc>
        <w:tc>
          <w:tcPr>
            <w:tcW w:type="dxa" w:w="2160"/>
          </w:tcPr>
          <w:p>
            <w:r>
              <w:t>Commercial Manager</w:t>
            </w:r>
          </w:p>
        </w:tc>
        <w:tc>
          <w:tcPr>
            <w:tcW w:type="dxa" w:w="2160"/>
          </w:tcPr>
          <w:p>
            <w:r>
              <w:t>Monthly</w:t>
            </w:r>
          </w:p>
        </w:tc>
      </w:tr>
      <w:tr>
        <w:tc>
          <w:tcPr>
            <w:tcW w:type="dxa" w:w="2160"/>
          </w:tcPr>
          <w:p>
            <w:r/>
            <w:r>
              <w:rPr>
                <w:b/>
              </w:rPr>
              <w:t>Improved local infrastructure (road upgrades, lighting)</w:t>
            </w:r>
            <w:r/>
          </w:p>
        </w:tc>
        <w:tc>
          <w:tcPr>
            <w:tcW w:type="dxa" w:w="2160"/>
          </w:tcPr>
          <w:p>
            <w:r>
              <w:t>Complete the agreed‑upon 2 km road resurfacing and install solar‑powered street lighting; verify compliance with Kiambu County standards.</w:t>
            </w:r>
          </w:p>
        </w:tc>
        <w:tc>
          <w:tcPr>
            <w:tcW w:type="dxa" w:w="2160"/>
          </w:tcPr>
          <w:p>
            <w:r>
              <w:t>Project Engineer (in coordination with County Roads Department)</w:t>
            </w:r>
          </w:p>
        </w:tc>
        <w:tc>
          <w:tcPr>
            <w:tcW w:type="dxa" w:w="2160"/>
          </w:tcPr>
          <w:p>
            <w:r>
              <w:t>Upon completion; then annual inspection</w:t>
            </w:r>
          </w:p>
        </w:tc>
      </w:tr>
      <w:tr>
        <w:tc>
          <w:tcPr>
            <w:tcW w:type="dxa" w:w="2160"/>
          </w:tcPr>
          <w:p>
            <w:r/>
            <w:r>
              <w:rPr>
                <w:b/>
              </w:rPr>
              <w:t>Dust emission control leading to better ambient air quality</w:t>
            </w:r>
            <w:r/>
          </w:p>
        </w:tc>
        <w:tc>
          <w:tcPr>
            <w:tcW w:type="dxa" w:w="2160"/>
          </w:tcPr>
          <w:p>
            <w:r>
              <w:t>Operate the dust extraction/filtration system at ≥ 95 % efficiency; conduct continuous PM2.5 &amp; PM10 monitoring and publish results showing ≤ 10 % increase over baseline.</w:t>
            </w:r>
          </w:p>
        </w:tc>
        <w:tc>
          <w:tcPr>
            <w:tcW w:type="dxa" w:w="2160"/>
          </w:tcPr>
          <w:p>
            <w:r>
              <w:t>Environmental Officer</w:t>
            </w:r>
          </w:p>
        </w:tc>
        <w:tc>
          <w:tcPr>
            <w:tcW w:type="dxa" w:w="2160"/>
          </w:tcPr>
          <w:p>
            <w:r>
              <w:t>Continuous (real‑time sensors) with monthly data review</w:t>
            </w:r>
          </w:p>
        </w:tc>
      </w:tr>
      <w:tr>
        <w:tc>
          <w:tcPr>
            <w:tcW w:type="dxa" w:w="2160"/>
          </w:tcPr>
          <w:p>
            <w:r/>
            <w:r>
              <w:rPr>
                <w:b/>
              </w:rPr>
              <w:t>Noise reduction benefiting nearby schools &amp; hospital</w:t>
            </w:r>
            <w:r/>
          </w:p>
        </w:tc>
        <w:tc>
          <w:tcPr>
            <w:tcW w:type="dxa" w:w="2160"/>
          </w:tcPr>
          <w:p>
            <w:r>
              <w:t>Maintain acoustic enclosure performance at ≥ 85 % noise attenuation; perform quarterly sound level surveys at Murera Primary School and Juja Level 4 Hospital (target ≤ 55 dBA Leq).</w:t>
            </w:r>
          </w:p>
        </w:tc>
        <w:tc>
          <w:tcPr>
            <w:tcW w:type="dxa" w:w="2160"/>
          </w:tcPr>
          <w:p>
            <w:r>
              <w:t>Operations Manager</w:t>
            </w:r>
          </w:p>
        </w:tc>
        <w:tc>
          <w:tcPr>
            <w:tcW w:type="dxa" w:w="2160"/>
          </w:tcPr>
          <w:p>
            <w:r>
              <w:t>Quarterly</w:t>
            </w:r>
          </w:p>
        </w:tc>
      </w:tr>
      <w:tr>
        <w:tc>
          <w:tcPr>
            <w:tcW w:type="dxa" w:w="2160"/>
          </w:tcPr>
          <w:p>
            <w:r/>
            <w:r>
              <w:rPr>
                <w:b/>
              </w:rPr>
              <w:t>Water conservation through closed‑loop recycling</w:t>
            </w:r>
            <w:r/>
          </w:p>
        </w:tc>
        <w:tc>
          <w:tcPr>
            <w:tcW w:type="dxa" w:w="2160"/>
          </w:tcPr>
          <w:p>
            <w:r>
              <w:t>Achieve ≥ 80 % water reuse of total process water; log volume recycled vs. withdrawn each month and report savings in cubic metres.</w:t>
            </w:r>
          </w:p>
        </w:tc>
        <w:tc>
          <w:tcPr>
            <w:tcW w:type="dxa" w:w="2160"/>
          </w:tcPr>
          <w:p>
            <w:r>
              <w:t>Water Management Officer</w:t>
            </w:r>
          </w:p>
        </w:tc>
        <w:tc>
          <w:tcPr>
            <w:tcW w:type="dxa" w:w="2160"/>
          </w:tcPr>
          <w:p>
            <w:r>
              <w:t>Monthly</w:t>
            </w:r>
          </w:p>
        </w:tc>
      </w:tr>
    </w:tbl>
    <w:p>
      <w:r>
        <w:t xml:space="preserve">| </w:t>
      </w:r>
      <w:r>
        <w:rPr>
          <w:b/>
        </w:rPr>
        <w:t>Community health &amp; safety improvements</w:t>
      </w:r>
      <w:r>
        <w:t xml:space="preserve"> | Provide free annual health screening for workers and nearby residents (≥ 200 individuals); record</w:t>
      </w:r>
    </w:p>
    <w:p>
      <w:pPr>
        <w:pStyle w:val="Heading2"/>
      </w:pPr>
      <w:r>
        <w:t>7.2 Negative Environmental Impacts (Construction &amp; Operation)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Impact</w:t>
            </w:r>
          </w:p>
        </w:tc>
        <w:tc>
          <w:tcPr>
            <w:tcW w:type="dxa" w:w="2160"/>
          </w:tcPr>
          <w:p>
            <w:r>
              <w:rPr>
                <w:b/>
              </w:rPr>
              <w:t>Mitigation Action</w:t>
            </w:r>
          </w:p>
        </w:tc>
        <w:tc>
          <w:tcPr>
            <w:tcW w:type="dxa" w:w="2160"/>
          </w:tcPr>
          <w:p>
            <w:r>
              <w:rPr>
                <w:b/>
              </w:rPr>
              <w:t>Responsibility</w:t>
            </w:r>
          </w:p>
        </w:tc>
        <w:tc>
          <w:tcPr>
            <w:tcW w:type="dxa" w:w="2160"/>
          </w:tcPr>
          <w:p>
            <w:r>
              <w:rPr>
                <w:b/>
              </w:rPr>
              <w:t>Monitoring Frequency</w:t>
            </w:r>
          </w:p>
        </w:tc>
      </w:tr>
      <w:tr>
        <w:tc>
          <w:tcPr>
            <w:tcW w:type="dxa" w:w="2160"/>
          </w:tcPr>
          <w:p>
            <w:r/>
            <w:r>
              <w:rPr>
                <w:b/>
              </w:rPr>
              <w:t>Construction – Airborne dust (PM2.5 &amp; PM10)</w:t>
            </w:r>
            <w:r/>
          </w:p>
        </w:tc>
        <w:tc>
          <w:tcPr>
            <w:tcW w:type="dxa" w:w="2160"/>
          </w:tcPr>
          <w:p>
            <w:r>
              <w:t>• Install water‑spray misting systems on haul roads and at loading/unloading points.&lt;br&gt;• Cover all bulk grain and sand piles with tarpaulins.&lt;br&gt;• Use low‑emission diesel generators (Tier 4) and maintain equipment to reduce exhaust.</w:t>
            </w:r>
          </w:p>
        </w:tc>
        <w:tc>
          <w:tcPr>
            <w:tcW w:type="dxa" w:w="2160"/>
          </w:tcPr>
          <w:p>
            <w:r>
              <w:t>Site Construction Manager &amp; Environmental Officer</w:t>
            </w:r>
          </w:p>
        </w:tc>
        <w:tc>
          <w:tcPr>
            <w:tcW w:type="dxa" w:w="2160"/>
          </w:tcPr>
          <w:p>
            <w:r>
              <w:t>Daily visual inspection; weekly dust concentration measurements (portable PM monitor)</w:t>
            </w:r>
          </w:p>
        </w:tc>
      </w:tr>
      <w:tr>
        <w:tc>
          <w:tcPr>
            <w:tcW w:type="dxa" w:w="2160"/>
          </w:tcPr>
          <w:p>
            <w:r/>
            <w:r>
              <w:rPr>
                <w:b/>
              </w:rPr>
              <w:t>Construction – Noise (machinery &amp; traffic)</w:t>
            </w:r>
            <w:r/>
          </w:p>
        </w:tc>
        <w:tc>
          <w:tcPr>
            <w:tcW w:type="dxa" w:w="2160"/>
          </w:tcPr>
          <w:p>
            <w:r>
              <w:t>• Erect temporary acoustic barriers (≥ 55 dB NR) around the site perimeter.&lt;br&gt;• Restrict high‑noise activities (e.g., pile driving) to 07:00‑19:00.&lt;br&gt;• Use low‑noise equipment (e.g., electric forklifts) where feasible.</w:t>
            </w:r>
          </w:p>
        </w:tc>
        <w:tc>
          <w:tcPr>
            <w:tcW w:type="dxa" w:w="2160"/>
          </w:tcPr>
          <w:p>
            <w:r>
              <w:t>Contractor Site Supervisor</w:t>
            </w:r>
          </w:p>
        </w:tc>
        <w:tc>
          <w:tcPr>
            <w:tcW w:type="dxa" w:w="2160"/>
          </w:tcPr>
          <w:p>
            <w:r>
              <w:t>Daily noise level logging (Leq dBA) at 3 m from site boundary; monthly report to County EPA</w:t>
            </w:r>
          </w:p>
        </w:tc>
      </w:tr>
      <w:tr>
        <w:tc>
          <w:tcPr>
            <w:tcW w:type="dxa" w:w="2160"/>
          </w:tcPr>
          <w:p>
            <w:r/>
            <w:r>
              <w:rPr>
                <w:b/>
              </w:rPr>
              <w:t>Construction – Stormwater runoff &amp; sedimentation</w:t>
            </w:r>
            <w:r/>
          </w:p>
        </w:tc>
        <w:tc>
          <w:tcPr>
            <w:tcW w:type="dxa" w:w="2160"/>
          </w:tcPr>
          <w:p>
            <w:r>
              <w:t>• Install silt fences and sediment basins at all entry/exit points.&lt;br&gt;• Grade and compact exposed soils within 24 h; apply biodegradable mulch on disturbed areas.&lt;br&gt;• Implement a Stormwater Pollution Prevention Plan (SWPPP).</w:t>
            </w:r>
          </w:p>
        </w:tc>
        <w:tc>
          <w:tcPr>
            <w:tcW w:type="dxa" w:w="2160"/>
          </w:tcPr>
          <w:p>
            <w:r>
              <w:t>Civil Works Contractor</w:t>
            </w:r>
          </w:p>
        </w:tc>
        <w:tc>
          <w:tcPr>
            <w:tcW w:type="dxa" w:w="2160"/>
          </w:tcPr>
          <w:p>
            <w:r>
              <w:t>Weekly inspection of sediment controls; after‑rain event visual checks; quarterly sediment load sampling</w:t>
            </w:r>
          </w:p>
        </w:tc>
      </w:tr>
      <w:tr>
        <w:tc>
          <w:tcPr>
            <w:tcW w:type="dxa" w:w="2160"/>
          </w:tcPr>
          <w:p>
            <w:r/>
            <w:r>
              <w:rPr>
                <w:b/>
              </w:rPr>
              <w:t>Construction – Waste generation (construction debris, hazardous waste)</w:t>
            </w:r>
            <w:r/>
          </w:p>
        </w:tc>
        <w:tc>
          <w:tcPr>
            <w:tcW w:type="dxa" w:w="2160"/>
          </w:tcPr>
          <w:p>
            <w:r>
              <w:t>• Segregate waste streams (inert, recyclable, hazardous).&lt;br&gt;• Contract licensed waste haulers for disposal.&lt;br&gt;• Store hazardous materials (paints, solvents) in secondary containment with spill kits.</w:t>
            </w:r>
          </w:p>
        </w:tc>
        <w:tc>
          <w:tcPr>
            <w:tcW w:type="dxa" w:w="2160"/>
          </w:tcPr>
          <w:p>
            <w:r>
              <w:t>Site Waste Manager</w:t>
            </w:r>
          </w:p>
        </w:tc>
        <w:tc>
          <w:tcPr>
            <w:tcW w:type="dxa" w:w="2160"/>
          </w:tcPr>
          <w:p>
            <w:r>
              <w:t>Weekly waste manifest review; monthly audit of hazardous waste storage</w:t>
            </w:r>
          </w:p>
        </w:tc>
      </w:tr>
      <w:tr>
        <w:tc>
          <w:tcPr>
            <w:tcW w:type="dxa" w:w="2160"/>
          </w:tcPr>
          <w:p>
            <w:r/>
            <w:r>
              <w:rPr>
                <w:b/>
              </w:rPr>
              <w:t>Construction – Traffic (heavy trucks, increased VKT)</w:t>
            </w:r>
            <w:r/>
          </w:p>
        </w:tc>
        <w:tc>
          <w:tcPr>
            <w:tcW w:type="dxa" w:w="2160"/>
          </w:tcPr>
          <w:p>
            <w:r>
              <w:t>• Designate a dedicated truck route using existing farm access roads; install speed‑limit signs (≤ 40 km/h).&lt;br&gt;• Schedule deliveries outside peak community traffic hours (06:00‑08:00 &amp; 18:00‑20:00).&lt;br&gt;• Conduct traffic impact monitoring at key intersections.</w:t>
            </w:r>
          </w:p>
        </w:tc>
        <w:tc>
          <w:tcPr>
            <w:tcW w:type="dxa" w:w="2160"/>
          </w:tcPr>
          <w:p>
            <w:r>
              <w:t>Logistics Coordinator</w:t>
            </w:r>
          </w:p>
        </w:tc>
        <w:tc>
          <w:tcPr>
            <w:tcW w:type="dxa" w:w="2160"/>
          </w:tcPr>
          <w:p>
            <w:r>
              <w:t>Daily traffic log; monthly traffic count and speed compliance report</w:t>
            </w:r>
          </w:p>
        </w:tc>
      </w:tr>
      <w:tr>
        <w:tc>
          <w:tcPr>
            <w:tcW w:type="dxa" w:w="2160"/>
          </w:tcPr>
          <w:p>
            <w:r/>
            <w:r>
              <w:rPr>
                <w:b/>
              </w:rPr>
              <w:t>Operation – Grain dust emissions</w:t>
            </w:r>
            <w:r/>
          </w:p>
        </w:tc>
        <w:tc>
          <w:tcPr>
            <w:tcW w:type="dxa" w:w="2160"/>
          </w:tcPr>
          <w:p>
            <w:r>
              <w:t>• Install a closed‑loop dust extraction system with high‑efficiency bag filters (≥ 99.5 % capture).&lt;br&gt;• Conduct routine filter cleaning and replacement per manufacturer schedule.&lt;br&gt;• Perform quarterly ambient air monitoring for PM2.5/PM10.</w:t>
            </w:r>
          </w:p>
        </w:tc>
        <w:tc>
          <w:tcPr>
            <w:tcW w:type="dxa" w:w="2160"/>
          </w:tcPr>
          <w:p>
            <w:r>
              <w:t>Plant Operations Manager &amp; Maintenance Supervisor</w:t>
            </w:r>
          </w:p>
        </w:tc>
        <w:tc>
          <w:tcPr>
            <w:tcW w:type="dxa" w:w="2160"/>
          </w:tcPr>
          <w:p>
            <w:r>
              <w:t>Continuous emission monitoring system (CEMS) data logged; quarterly compliance report</w:t>
            </w:r>
          </w:p>
        </w:tc>
      </w:tr>
    </w:tbl>
    <w:p>
      <w:r>
        <w:t xml:space="preserve">| </w:t>
      </w:r>
      <w:r>
        <w:rPr>
          <w:b/>
        </w:rPr>
        <w:t>Operation – Noise (machinery, loading bays)</w:t>
      </w:r>
      <w:r>
        <w:t xml:space="preserve"> | • Enclose all grinding and sieving equipment in acoustic enclosures (target reduction ≥ 12 dB).&lt;br&gt;• Install vibration isolators on compressors</w:t>
      </w:r>
    </w:p>
    <w:p>
      <w:pPr>
        <w:pStyle w:val="Heading2"/>
      </w:pPr>
      <w:r>
        <w:t>7.3 Negative Social Impacts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Impact</w:t>
            </w:r>
          </w:p>
        </w:tc>
        <w:tc>
          <w:tcPr>
            <w:tcW w:type="dxa" w:w="2160"/>
          </w:tcPr>
          <w:p>
            <w:r>
              <w:rPr>
                <w:b/>
              </w:rPr>
              <w:t>Mitigation Action</w:t>
            </w:r>
          </w:p>
        </w:tc>
        <w:tc>
          <w:tcPr>
            <w:tcW w:type="dxa" w:w="2160"/>
          </w:tcPr>
          <w:p>
            <w:r>
              <w:rPr>
                <w:b/>
              </w:rPr>
              <w:t>Responsibility</w:t>
            </w:r>
          </w:p>
        </w:tc>
        <w:tc>
          <w:tcPr>
            <w:tcW w:type="dxa" w:w="2160"/>
          </w:tcPr>
          <w:p>
            <w:r>
              <w:rPr>
                <w:b/>
              </w:rPr>
              <w:t>Monitoring Frequency</w:t>
            </w:r>
          </w:p>
        </w:tc>
      </w:tr>
      <w:tr>
        <w:tc>
          <w:tcPr>
            <w:tcW w:type="dxa" w:w="2160"/>
          </w:tcPr>
          <w:p>
            <w:r/>
            <w:r>
              <w:rPr>
                <w:b/>
              </w:rPr>
              <w:t>Noise disturbance to nearby residents, school and hospital</w:t>
            </w:r>
            <w:r/>
          </w:p>
        </w:tc>
        <w:tc>
          <w:tcPr>
            <w:tcW w:type="dxa" w:w="2160"/>
          </w:tcPr>
          <w:p>
            <w:r>
              <w:t>• Install acoustic enclosures around all noisy equipment (grinders, conveyors).  &lt;br&gt;• Operate machinery only between 06:00‑20:00 hrs.  &lt;br&gt;• Conduct quarterly noise audits and ensure Leq ≤ 55 dBA at the school (350 m) and hospital (900 m).  &lt;br&gt;• Post “Quiet Hours” signage and enforce with site supervisors.</w:t>
            </w:r>
          </w:p>
        </w:tc>
        <w:tc>
          <w:tcPr>
            <w:tcW w:type="dxa" w:w="2160"/>
          </w:tcPr>
          <w:p>
            <w:r>
              <w:t>Project Environmental Manager (PEM)</w:t>
            </w:r>
          </w:p>
        </w:tc>
        <w:tc>
          <w:tcPr>
            <w:tcW w:type="dxa" w:w="2160"/>
          </w:tcPr>
          <w:p>
            <w:r>
              <w:t xml:space="preserve">Noise monitoring: </w:t>
            </w:r>
            <w:r>
              <w:rPr>
                <w:b/>
              </w:rPr>
              <w:t>Monthly</w:t>
            </w:r>
            <w:r>
              <w:t xml:space="preserve"> (continuous sound level logger) with </w:t>
            </w:r>
            <w:r>
              <w:rPr>
                <w:b/>
              </w:rPr>
              <w:t>quarterly</w:t>
            </w:r>
            <w:r>
              <w:t xml:space="preserve"> audit reports submitted to County Environmental Office.</w:t>
            </w:r>
          </w:p>
        </w:tc>
      </w:tr>
      <w:tr>
        <w:tc>
          <w:tcPr>
            <w:tcW w:type="dxa" w:w="2160"/>
          </w:tcPr>
          <w:p>
            <w:r/>
            <w:r>
              <w:rPr>
                <w:b/>
              </w:rPr>
              <w:t>Grain dust affecting respiratory health of workers and community</w:t>
            </w:r>
            <w:r/>
          </w:p>
        </w:tc>
        <w:tc>
          <w:tcPr>
            <w:tcW w:type="dxa" w:w="2160"/>
          </w:tcPr>
          <w:p>
            <w:r>
              <w:t>• Deploy a closed‑loop dust extraction &amp; filtration system with ≥ 90 % capture efficiency.  &lt;br&gt;• Provide NEMA‑certified personal protective equipment (PPE) to all staff.  &lt;br&gt;• Conduct weekly spot‑checks of PM₂.₅ and PM₁₀ at the site perimeter; target ≤ 30 µg/m³ (PM₂.₅) and ≤ 70 µg/m³ (PM₁₀).</w:t>
            </w:r>
          </w:p>
        </w:tc>
        <w:tc>
          <w:tcPr>
            <w:tcW w:type="dxa" w:w="2160"/>
          </w:tcPr>
          <w:p>
            <w:r>
              <w:t>Site Operations Supervisor &amp; Health &amp; Safety Officer</w:t>
            </w:r>
          </w:p>
        </w:tc>
        <w:tc>
          <w:tcPr>
            <w:tcW w:type="dxa" w:w="2160"/>
          </w:tcPr>
          <w:p>
            <w:r>
              <w:t xml:space="preserve">Dust monitoring: </w:t>
            </w:r>
            <w:r>
              <w:rPr>
                <w:b/>
              </w:rPr>
              <w:t>Weekly</w:t>
            </w:r>
            <w:r>
              <w:t xml:space="preserve"> (portable dust monitor) and </w:t>
            </w:r>
            <w:r>
              <w:rPr>
                <w:b/>
              </w:rPr>
              <w:t>monthly</w:t>
            </w:r>
            <w:r>
              <w:t xml:space="preserve"> summary to the Community Liaison Officer.</w:t>
            </w:r>
          </w:p>
        </w:tc>
      </w:tr>
    </w:tbl>
    <w:p>
      <w:r>
        <w:t xml:space="preserve">| </w:t>
      </w:r>
      <w:r>
        <w:rPr>
          <w:b/>
        </w:rPr>
        <w:t>Increased heavy‑truck traffic leading to road safety risks and congestion</w:t>
      </w:r>
      <w:r>
        <w:t xml:space="preserve"> | • Designate a dedicated truck corridor (via Kiambu‑Thika Road) with speed‑limit signs set at</w:t>
      </w:r>
    </w:p>
    <w:p>
      <w:pPr>
        <w:pStyle w:val="Heading2"/>
      </w:pPr>
      <w:r>
        <w:t>7.4 Proposed Mitigation Measures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Impact</w:t>
            </w:r>
          </w:p>
        </w:tc>
        <w:tc>
          <w:tcPr>
            <w:tcW w:type="dxa" w:w="2160"/>
          </w:tcPr>
          <w:p>
            <w:r>
              <w:rPr>
                <w:b/>
              </w:rPr>
              <w:t>Mitigation Action</w:t>
            </w:r>
          </w:p>
        </w:tc>
        <w:tc>
          <w:tcPr>
            <w:tcW w:type="dxa" w:w="2160"/>
          </w:tcPr>
          <w:p>
            <w:r>
              <w:rPr>
                <w:b/>
              </w:rPr>
              <w:t>Responsibility</w:t>
            </w:r>
          </w:p>
        </w:tc>
        <w:tc>
          <w:tcPr>
            <w:tcW w:type="dxa" w:w="2160"/>
          </w:tcPr>
          <w:p>
            <w:r>
              <w:rPr>
                <w:b/>
              </w:rPr>
              <w:t>Monitoring Frequency</w:t>
            </w:r>
          </w:p>
        </w:tc>
      </w:tr>
      <w:tr>
        <w:tc>
          <w:tcPr>
            <w:tcW w:type="dxa" w:w="2160"/>
          </w:tcPr>
          <w:p>
            <w:r/>
            <w:r>
              <w:rPr>
                <w:b/>
              </w:rPr>
              <w:t>Airborne dust (PM2.5 &amp; PM10)</w:t>
            </w:r>
            <w:r/>
          </w:p>
        </w:tc>
        <w:tc>
          <w:tcPr>
            <w:tcW w:type="dxa" w:w="2160"/>
          </w:tcPr>
          <w:p>
            <w:r>
              <w:t>Install and operate a closed‑loop dust extraction system with high‑efficiency bag filters on all milling and cleaning equipment; conduct daily bag filter pressure drop checks and weekly filter replacement; enforce wet‑scrubbing of raw grain before milling to keep emissions ≤ 25 µg/m³ for PM2.5 and ≤ 55 µg/m³ for PM10 (Kenya EPA limits).</w:t>
            </w:r>
          </w:p>
        </w:tc>
        <w:tc>
          <w:tcPr>
            <w:tcW w:type="dxa" w:w="2160"/>
          </w:tcPr>
          <w:p>
            <w:r>
              <w:t>Environmental Officer (EO) &amp; Plant Maintenance Supervisor</w:t>
            </w:r>
          </w:p>
        </w:tc>
        <w:tc>
          <w:tcPr>
            <w:tcW w:type="dxa" w:w="2160"/>
          </w:tcPr>
          <w:p>
            <w:r>
              <w:t>Daily (operational logs) – Weekly (filter performance) – Monthly (ambient air quality sampling)</w:t>
            </w:r>
          </w:p>
        </w:tc>
      </w:tr>
      <w:tr>
        <w:tc>
          <w:tcPr>
            <w:tcW w:type="dxa" w:w="2160"/>
          </w:tcPr>
          <w:p>
            <w:r/>
            <w:r>
              <w:rPr>
                <w:b/>
              </w:rPr>
              <w:t>Noise from machinery &amp; loading bays</w:t>
            </w:r>
            <w:r/>
          </w:p>
        </w:tc>
        <w:tc>
          <w:tcPr>
            <w:tcW w:type="dxa" w:w="2160"/>
          </w:tcPr>
          <w:p>
            <w:r>
              <w:t>Enclose noisy equipment in acoustic enclosures (target insertion loss ≥ 15 dB); install rubber‑mounted floor mats in loading areas; limit operation of high‑noise equipment to 06:00‑20:00; post “Noise Control” SOP and conduct quarterly noise audits to keep Leq ≤ 55 dB at 50 m radius.</w:t>
            </w:r>
          </w:p>
        </w:tc>
        <w:tc>
          <w:tcPr>
            <w:tcW w:type="dxa" w:w="2160"/>
          </w:tcPr>
          <w:p>
            <w:r>
              <w:t>Health &amp; Safety Manager (HSM)</w:t>
            </w:r>
          </w:p>
        </w:tc>
        <w:tc>
          <w:tcPr>
            <w:tcW w:type="dxa" w:w="2160"/>
          </w:tcPr>
          <w:p>
            <w:r>
              <w:t>Daily (equipment runtime logs) – Quarterly (sound level meter surveys)</w:t>
            </w:r>
          </w:p>
        </w:tc>
      </w:tr>
      <w:tr>
        <w:tc>
          <w:tcPr>
            <w:tcW w:type="dxa" w:w="2160"/>
          </w:tcPr>
          <w:p>
            <w:r/>
            <w:r>
              <w:rPr>
                <w:b/>
              </w:rPr>
              <w:t>Heavy truck traffic &amp; road wear</w:t>
            </w:r>
            <w:r/>
          </w:p>
        </w:tc>
        <w:tc>
          <w:tcPr>
            <w:tcW w:type="dxa" w:w="2160"/>
          </w:tcPr>
          <w:p>
            <w:r>
              <w:t>Designate a dedicated 2‑km truck corridor with reinforced pavement; enforce speed limit of 30 km/h using speed‑bump installations; schedule deliveries between 07:00‑19:00; maintain a truck‑movement log to cap ≤ 30 trucks/day; conduct weekly road condition inspections.</w:t>
            </w:r>
          </w:p>
        </w:tc>
        <w:tc>
          <w:tcPr>
            <w:tcW w:type="dxa" w:w="2160"/>
          </w:tcPr>
          <w:p>
            <w:r>
              <w:t>Logistics Coordinator (LC) &amp; Site Engineer (SE)</w:t>
            </w:r>
          </w:p>
        </w:tc>
        <w:tc>
          <w:tcPr>
            <w:tcW w:type="dxa" w:w="2160"/>
          </w:tcPr>
          <w:p>
            <w:r>
              <w:t>Daily (truck log) – Weekly (road inspection) – Monthly (traffic volume report)</w:t>
            </w:r>
          </w:p>
        </w:tc>
      </w:tr>
      <w:tr>
        <w:tc>
          <w:tcPr>
            <w:tcW w:type="dxa" w:w="2160"/>
          </w:tcPr>
          <w:p>
            <w:r/>
            <w:r>
              <w:rPr>
                <w:b/>
              </w:rPr>
              <w:t>Water quality impact on Karura Stream</w:t>
            </w:r>
            <w:r/>
          </w:p>
        </w:tc>
        <w:tc>
          <w:tcPr>
            <w:tcW w:type="dxa" w:w="2160"/>
          </w:tcPr>
          <w:p>
            <w:r>
              <w:t>Implement a closed‑loop water‑recycling system achieving ≥ 90 % water reuse; treat all effluent through a multi‑stage filtration (sand, activated carbon, UV) to meet WRMA discharge standards (BOD₅ ≤ 10 mg/L, TSS ≤ 30 mg/L, pH 6‑9); install spill containment berms around storage tanks.</w:t>
            </w:r>
          </w:p>
        </w:tc>
        <w:tc>
          <w:tcPr>
            <w:tcW w:type="dxa" w:w="2160"/>
          </w:tcPr>
          <w:p>
            <w:r>
              <w:t>Water Resources Officer (WRO)</w:t>
            </w:r>
          </w:p>
        </w:tc>
        <w:tc>
          <w:tcPr>
            <w:tcW w:type="dxa" w:w="2160"/>
          </w:tcPr>
          <w:p>
            <w:r>
              <w:t>Daily (effluent sample log) – Weekly (lab analysis) – Quarterly (independent audit)</w:t>
            </w:r>
          </w:p>
        </w:tc>
      </w:tr>
      <w:tr>
        <w:tc>
          <w:tcPr>
            <w:tcW w:type="dxa" w:w="2160"/>
          </w:tcPr>
          <w:p>
            <w:r/>
            <w:r>
              <w:rPr>
                <w:b/>
              </w:rPr>
              <w:t>Groundwater contamination risk</w:t>
            </w:r>
            <w:r/>
          </w:p>
        </w:tc>
        <w:tc>
          <w:tcPr>
            <w:tcW w:type="dxa" w:w="2160"/>
          </w:tcPr>
          <w:p>
            <w:r>
              <w:t>Store all chemicals in double‑walled, secondary‑containment tanks; conduct monthly groundwater monitoring wells (depth 30‑40 m) for nitrates, pesticides, and heavy metals; maintain a leak‑detection alarm system on all underground pipelines.</w:t>
            </w:r>
          </w:p>
        </w:tc>
        <w:tc>
          <w:tcPr>
            <w:tcW w:type="dxa" w:w="2160"/>
          </w:tcPr>
          <w:p>
            <w:r>
              <w:t>Environmental Compliance Officer (ECO)</w:t>
            </w:r>
          </w:p>
        </w:tc>
        <w:tc>
          <w:tcPr>
            <w:tcW w:type="dxa" w:w="2160"/>
          </w:tcPr>
          <w:p>
            <w:r>
              <w:t>Monthly (groundwater sampling) – Quarterly (report to County Environmental Office)</w:t>
            </w:r>
          </w:p>
        </w:tc>
      </w:tr>
    </w:tbl>
    <w:p>
      <w:r>
        <w:t xml:space="preserve">| </w:t>
      </w:r>
      <w:r>
        <w:rPr>
          <w:b/>
        </w:rPr>
        <w:t>Solid &amp; hazardous waste generation</w:t>
      </w:r>
      <w:r>
        <w:t xml:space="preserve"> | Segreg</w:t>
      </w:r>
    </w:p>
    <w:p>
      <w:pPr>
        <w:pStyle w:val="Heading1"/>
      </w:pPr>
      <w:r>
        <w:t>Chapter 8: Environmental and Social Management Plan (ESMP)</w:t>
      </w:r>
    </w:p>
    <w:p>
      <w:pPr>
        <w:pStyle w:val="Heading2"/>
      </w:pPr>
      <w:r>
        <w:t>8.1 Purpose of the ESMP</w:t>
      </w:r>
    </w:p>
    <w:p>
      <w:r>
        <w:t xml:space="preserve">The purpose of this Environmental and Social Management Plan (ESMP) is to provide a systematic framework for </w:t>
      </w:r>
      <w:r>
        <w:rPr>
          <w:b/>
        </w:rPr>
        <w:t>identifying, mitigating, monitoring, and managing</w:t>
      </w:r>
      <w:r>
        <w:t xml:space="preserve"> the environmental and social impacts associated with the construction, commissioning, and 25‑year operation of the Ruiru Agro‑Processing Plant – Maize Milling Facility. The ESMP is designed to ensure that the project:</w:t>
      </w:r>
    </w:p>
    <w:p>
      <w:pPr>
        <w:pStyle w:val="ListBullet"/>
      </w:pPr>
      <w:r/>
      <w:r>
        <w:rPr>
          <w:b/>
        </w:rPr>
        <w:t>Meets all statutory requirements</w:t>
      </w:r>
      <w:r>
        <w:t xml:space="preserve"> under the National Environment Management Authority (NEMA) regulations, including the conditions of the Environmental Impact Assessment (EIA) licence and the Water Resources Management Authority (WRMA) permit.</w:t>
      </w:r>
    </w:p>
    <w:p>
      <w:pPr>
        <w:pStyle w:val="ListBullet"/>
      </w:pPr>
      <w:r/>
      <w:r>
        <w:rPr>
          <w:b/>
        </w:rPr>
        <w:t>Protects and preserves baseline environmental conditions</w:t>
      </w:r>
      <w:r>
        <w:t>, namely:</w:t>
      </w:r>
    </w:p>
    <w:p>
      <w:pPr>
        <w:pStyle w:val="ListBullet"/>
      </w:pPr>
      <w:r/>
      <w:r>
        <w:rPr>
          <w:b/>
        </w:rPr>
        <w:t>Air quality</w:t>
      </w:r>
      <w:r>
        <w:t xml:space="preserve"> – baseline concentrations of PM₂.₅ = 18 µg m⁻³ and PM₁₀ = 41 µg m⁻³, which are within the Kenya EPA ambient standards (PM₂.₅ ≤ 35 µg m⁻³; PM₁₀ ≤ 75 µg m⁻³).</w:t>
      </w:r>
    </w:p>
    <w:p>
      <w:pPr>
        <w:pStyle w:val="ListBullet"/>
      </w:pPr>
      <w:r/>
      <w:r>
        <w:rPr>
          <w:b/>
        </w:rPr>
        <w:t>Noise environment</w:t>
      </w:r>
      <w:r>
        <w:t xml:space="preserve"> – baseline Leq = 52 dBA (A‑weighted), below the residential limit of 55 dBA (daytime) stipulated by NEMA.</w:t>
      </w:r>
    </w:p>
    <w:p>
      <w:pPr>
        <w:pStyle w:val="ListBullet"/>
      </w:pPr>
      <w:r/>
      <w:r>
        <w:rPr>
          <w:b/>
        </w:rPr>
        <w:t>Groundwater</w:t>
      </w:r>
      <w:r>
        <w:t xml:space="preserve"> – depth of 35 m below ground surface, indicating a relatively deep aquifer that must be protected from contamination and over‑extraction.</w:t>
      </w:r>
    </w:p>
    <w:p>
      <w:pPr>
        <w:pStyle w:val="ListBullet"/>
      </w:pPr>
      <w:r/>
      <w:r>
        <w:rPr>
          <w:b/>
        </w:rPr>
        <w:t>Land use</w:t>
      </w:r>
      <w:r>
        <w:t xml:space="preserve"> – conversion of existing cropland to an industrial agro‑processing zone, requiring careful management of soil integrity and agricultural productivity.</w:t>
      </w:r>
    </w:p>
    <w:p>
      <w:pPr>
        <w:pStyle w:val="ListBullet"/>
      </w:pPr>
      <w:r/>
      <w:r>
        <w:rPr>
          <w:b/>
        </w:rPr>
        <w:t>Safeguards sensitive receptors</w:t>
      </w:r>
      <w:r>
        <w:t xml:space="preserve"> identified within the project vicinity, including:</w:t>
      </w:r>
    </w:p>
    <w:p>
      <w:pPr>
        <w:pStyle w:val="ListBullet"/>
      </w:pPr>
      <w:r/>
      <w:r>
        <w:rPr>
          <w:b/>
        </w:rPr>
        <w:t>Juja Level 4 Hospital</w:t>
      </w:r>
      <w:r>
        <w:t xml:space="preserve"> (≈ 900 m east) – potential exposure to airborne dust and noise.</w:t>
      </w:r>
    </w:p>
    <w:p>
      <w:pPr>
        <w:pStyle w:val="ListBullet"/>
      </w:pPr>
      <w:r/>
      <w:r>
        <w:rPr>
          <w:b/>
        </w:rPr>
        <w:t>Murera Primary School</w:t>
      </w:r>
      <w:r>
        <w:t xml:space="preserve"> (≈ 350 m south) – vulnerability to noise and particulate emissions.</w:t>
      </w:r>
    </w:p>
    <w:p>
      <w:pPr>
        <w:pStyle w:val="ListBullet"/>
      </w:pPr>
      <w:r/>
      <w:r>
        <w:rPr>
          <w:b/>
        </w:rPr>
        <w:t>Karura Stream</w:t>
      </w:r>
      <w:r>
        <w:t xml:space="preserve"> (≈ 180 m north) – risk of water‑quality degradation from process effluents.</w:t>
      </w:r>
    </w:p>
    <w:p>
      <w:pPr>
        <w:pStyle w:val="ListBullet"/>
      </w:pPr>
      <w:r/>
      <w:r>
        <w:rPr>
          <w:b/>
        </w:rPr>
        <w:t>Murera Estate residential area</w:t>
      </w:r>
      <w:r>
        <w:t xml:space="preserve"> (≈ 220 m southwest) – concerns over traffic, dust, and noise.</w:t>
      </w:r>
    </w:p>
    <w:p>
      <w:pPr>
        <w:pStyle w:val="ListBullet"/>
      </w:pPr>
      <w:r/>
      <w:r>
        <w:rPr>
          <w:b/>
        </w:rPr>
        <w:t>Incorporates stakeholder‑driven mitigation measures</w:t>
      </w:r>
      <w:r>
        <w:t xml:space="preserve"> that emerged from the August 2026 Baraza (210 participants), namely:</w:t>
      </w:r>
    </w:p>
    <w:p>
      <w:pPr>
        <w:pStyle w:val="ListBullet"/>
      </w:pPr>
      <w:r>
        <w:t xml:space="preserve">Installation of </w:t>
      </w:r>
      <w:r>
        <w:rPr>
          <w:b/>
        </w:rPr>
        <w:t>acoustic enclosures</w:t>
      </w:r>
      <w:r>
        <w:t xml:space="preserve"> and restriction of operational hours to 06:00–20:00 to address community concerns on machinery noise.</w:t>
      </w:r>
    </w:p>
    <w:p>
      <w:pPr>
        <w:pStyle w:val="ListBullet"/>
      </w:pPr>
      <w:r>
        <w:t xml:space="preserve">Deployment of a </w:t>
      </w:r>
      <w:r>
        <w:rPr>
          <w:b/>
        </w:rPr>
        <w:t>dust extraction and filtration system</w:t>
      </w:r>
      <w:r>
        <w:t xml:space="preserve"> compliant with NEMA standards to control grain‑dust emissions.</w:t>
      </w:r>
    </w:p>
    <w:p>
      <w:pPr>
        <w:pStyle w:val="ListBullet"/>
      </w:pPr>
      <w:r>
        <w:t xml:space="preserve">Establishment of a </w:t>
      </w:r>
      <w:r>
        <w:rPr>
          <w:b/>
        </w:rPr>
        <w:t>dedicated truck corridor</w:t>
      </w:r>
      <w:r>
        <w:t xml:space="preserve"> with speed‑bump installations to minimise heavy‑vehicle impacts on local traffic and safety.</w:t>
      </w:r>
    </w:p>
    <w:p>
      <w:pPr>
        <w:pStyle w:val="ListBullet"/>
      </w:pPr>
      <w:r>
        <w:t xml:space="preserve">Implementation of a </w:t>
      </w:r>
      <w:r>
        <w:rPr>
          <w:b/>
        </w:rPr>
        <w:t>closed‑loop water‑recycling system</w:t>
      </w:r>
      <w:r>
        <w:t xml:space="preserve"> to eliminate direct discharge to Karura Stream, thereby fulfilling the WRMA permit condition.</w:t>
      </w:r>
    </w:p>
    <w:p>
      <w:pPr>
        <w:pStyle w:val="ListBullet"/>
      </w:pPr>
      <w:r/>
      <w:r>
        <w:rPr>
          <w:b/>
        </w:rPr>
        <w:t>Defines clear, measurable objectives</w:t>
      </w:r>
      <w:r>
        <w:t xml:space="preserve"> for impact management, including:</w:t>
      </w:r>
    </w:p>
    <w:p>
      <w:pPr>
        <w:pStyle w:val="ListNumber"/>
      </w:pPr>
      <w:r/>
      <w:r>
        <w:rPr>
          <w:b/>
        </w:rPr>
        <w:t>Air‑quality control</w:t>
      </w:r>
      <w:r>
        <w:t xml:space="preserve"> – maintain ambient PM₂.₅ and PM₁₀</w:t>
      </w:r>
    </w:p>
    <w:p>
      <w:pPr>
        <w:pStyle w:val="Heading2"/>
      </w:pPr>
      <w:r>
        <w:t>8.2 Construction Phase ESMP Matrix</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r>
              <w:rPr>
                <w:b/>
              </w:rPr>
              <w:t>Construction Activity</w:t>
            </w:r>
            <w:r>
              <w:rPr>
                <w:b/>
              </w:rPr>
            </w:r>
          </w:p>
        </w:tc>
        <w:tc>
          <w:tcPr>
            <w:tcW w:type="dxa" w:w="1080"/>
          </w:tcPr>
          <w:p>
            <w:r>
              <w:rPr>
                <w:b/>
              </w:rPr>
            </w:r>
            <w:r>
              <w:rPr>
                <w:b/>
              </w:rPr>
              <w:t>Potential Environmental Impact</w:t>
            </w:r>
            <w:r>
              <w:rPr>
                <w:b/>
              </w:rPr>
            </w:r>
          </w:p>
        </w:tc>
        <w:tc>
          <w:tcPr>
            <w:tcW w:type="dxa" w:w="1080"/>
          </w:tcPr>
          <w:p>
            <w:r>
              <w:rPr>
                <w:b/>
              </w:rPr>
            </w:r>
            <w:r>
              <w:rPr>
                <w:b/>
              </w:rPr>
              <w:t>Baseline Condition</w:t>
            </w:r>
            <w:r>
              <w:rPr>
                <w:b/>
              </w:rPr>
            </w:r>
          </w:p>
        </w:tc>
        <w:tc>
          <w:tcPr>
            <w:tcW w:type="dxa" w:w="1080"/>
          </w:tcPr>
          <w:p>
            <w:r>
              <w:rPr>
                <w:b/>
              </w:rPr>
            </w:r>
            <w:r>
              <w:rPr>
                <w:b/>
              </w:rPr>
              <w:t>Significance</w:t>
            </w:r>
            <w:r>
              <w:rPr>
                <w:b/>
              </w:rPr>
            </w:r>
          </w:p>
        </w:tc>
        <w:tc>
          <w:tcPr>
            <w:tcW w:type="dxa" w:w="1080"/>
          </w:tcPr>
          <w:p>
            <w:r>
              <w:rPr>
                <w:b/>
              </w:rPr>
            </w:r>
            <w:r>
              <w:rPr>
                <w:b/>
              </w:rPr>
              <w:t>Mitigation Measures (per NEMA &amp; stakeholder concerns)</w:t>
            </w:r>
            <w:r>
              <w:rPr>
                <w:b/>
              </w:rPr>
            </w:r>
          </w:p>
        </w:tc>
        <w:tc>
          <w:tcPr>
            <w:tcW w:type="dxa" w:w="1080"/>
          </w:tcPr>
          <w:p>
            <w:r>
              <w:rPr>
                <w:b/>
              </w:rPr>
            </w:r>
            <w:r>
              <w:rPr>
                <w:b/>
              </w:rPr>
              <w:t>Monitoring Indicator</w:t>
            </w:r>
            <w:r>
              <w:rPr>
                <w:b/>
              </w:rPr>
            </w:r>
          </w:p>
        </w:tc>
        <w:tc>
          <w:tcPr>
            <w:tcW w:type="dxa" w:w="1080"/>
          </w:tcPr>
          <w:p>
            <w:r>
              <w:rPr>
                <w:b/>
              </w:rPr>
            </w:r>
            <w:r>
              <w:rPr>
                <w:b/>
              </w:rPr>
              <w:t>Monitoring Frequency</w:t>
            </w:r>
            <w:r>
              <w:rPr>
                <w:b/>
              </w:rPr>
            </w:r>
          </w:p>
        </w:tc>
        <w:tc>
          <w:tcPr>
            <w:tcW w:type="dxa" w:w="1080"/>
          </w:tcPr>
          <w:p>
            <w:r>
              <w:rPr>
                <w:b/>
              </w:rPr>
            </w:r>
            <w:r>
              <w:rPr>
                <w:b/>
              </w:rPr>
              <w:t>Responsible Party</w:t>
            </w:r>
            <w:r>
              <w:rPr>
                <w:b/>
              </w:rPr>
            </w:r>
          </w:p>
        </w:tc>
      </w:tr>
      <w:tr>
        <w:tc>
          <w:tcPr>
            <w:tcW w:type="dxa" w:w="1080"/>
          </w:tcPr>
          <w:p>
            <w:r>
              <w:t>Site clearing &amp; earthworks (excavation, grading)</w:t>
            </w:r>
          </w:p>
        </w:tc>
        <w:tc>
          <w:tcPr>
            <w:tcW w:type="dxa" w:w="1080"/>
          </w:tcPr>
          <w:p>
            <w:r>
              <w:t>Generation of fugitive dust; increase in ambient PM₂.₅ and PM₁₀; soil erosion</w:t>
            </w:r>
          </w:p>
        </w:tc>
        <w:tc>
          <w:tcPr>
            <w:tcW w:type="dxa" w:w="1080"/>
          </w:tcPr>
          <w:p>
            <w:r>
              <w:t xml:space="preserve">PM₂.₅ = </w:t>
            </w:r>
            <w:r>
              <w:rPr>
                <w:b/>
              </w:rPr>
              <w:t>18 µg m⁻³</w:t>
            </w:r>
            <w:r>
              <w:t xml:space="preserve">, PM₁₀ = </w:t>
            </w:r>
            <w:r>
              <w:rPr>
                <w:b/>
              </w:rPr>
              <w:t>41 µg m⁻³</w:t>
            </w:r>
            <w:r>
              <w:t>; cropland (no permanent cover)</w:t>
            </w:r>
          </w:p>
        </w:tc>
        <w:tc>
          <w:tcPr>
            <w:tcW w:type="dxa" w:w="1080"/>
          </w:tcPr>
          <w:p>
            <w:r>
              <w:t>Moderate (dust may exceed WHO 24‑h guideline of 25 µg m⁻³ for PM₂.₅)</w:t>
            </w:r>
          </w:p>
        </w:tc>
        <w:tc>
          <w:tcPr>
            <w:tcW w:type="dxa" w:w="1080"/>
          </w:tcPr>
          <w:p>
            <w:r>
              <w:t>• Wet‑scrub the site daily (minimum 5 L m⁻²).&lt;br&gt;• Install temporary windbreaks (silt fences, straw bales).&lt;br&gt;• Use low‑emission diesel equipment.&lt;br&gt;• Dust extraction/filtration on all material handling points (as per stakeholder concern 2).</w:t>
            </w:r>
          </w:p>
        </w:tc>
        <w:tc>
          <w:tcPr>
            <w:tcW w:type="dxa" w:w="1080"/>
          </w:tcPr>
          <w:p>
            <w:r>
              <w:t>Ambient PM₂.₅ &amp; PM₁₀ concentrations (µg m⁻³) at 3 fixed points (site perimeter, 200 m upwind, 200 m downwind)</w:t>
            </w:r>
          </w:p>
        </w:tc>
        <w:tc>
          <w:tcPr>
            <w:tcW w:type="dxa" w:w="1080"/>
          </w:tcPr>
          <w:p>
            <w:r>
              <w:t>Weekly during earthworks; report to County Environment Office (CEO)</w:t>
            </w:r>
          </w:p>
        </w:tc>
        <w:tc>
          <w:tcPr>
            <w:tcW w:type="dxa" w:w="1080"/>
          </w:tcPr>
          <w:p>
            <w:r>
              <w:t>Contractor’s Environmental Officer (CEO) &amp; NEMA‑approved Independent Monitor</w:t>
            </w:r>
          </w:p>
        </w:tc>
      </w:tr>
      <w:tr>
        <w:tc>
          <w:tcPr>
            <w:tcW w:type="dxa" w:w="1080"/>
          </w:tcPr>
          <w:p>
            <w:r>
              <w:t>Construction of foundations &amp; concrete works</w:t>
            </w:r>
          </w:p>
        </w:tc>
        <w:tc>
          <w:tcPr>
            <w:tcW w:type="dxa" w:w="1080"/>
          </w:tcPr>
          <w:p>
            <w:r>
              <w:t>Noise from piling, concrete mixers, and hammering; potential exceedance of ambient noise level</w:t>
            </w:r>
          </w:p>
        </w:tc>
        <w:tc>
          <w:tcPr>
            <w:tcW w:type="dxa" w:w="1080"/>
          </w:tcPr>
          <w:p>
            <w:r>
              <w:t xml:space="preserve">Ambient noise = </w:t>
            </w:r>
            <w:r>
              <w:rPr>
                <w:b/>
              </w:rPr>
              <w:t>52 Leq dBA</w:t>
            </w:r>
            <w:r>
              <w:t xml:space="preserve"> (daytime)</w:t>
            </w:r>
          </w:p>
        </w:tc>
        <w:tc>
          <w:tcPr>
            <w:tcW w:type="dxa" w:w="1080"/>
          </w:tcPr>
          <w:p>
            <w:r>
              <w:t>Moderate (projected peak levels may reach 80 Leq dBA at 25 m)</w:t>
            </w:r>
          </w:p>
        </w:tc>
        <w:tc>
          <w:tcPr>
            <w:tcW w:type="dxa" w:w="1080"/>
          </w:tcPr>
          <w:p>
            <w:r>
              <w:t xml:space="preserve">• Install acoustic enclosures around high‑noise equipment.&lt;br&gt;• Operate only between </w:t>
            </w:r>
            <w:r>
              <w:rPr>
                <w:b/>
              </w:rPr>
              <w:t>06:00–20:00</w:t>
            </w:r>
            <w:r>
              <w:t xml:space="preserve"> (as per community concern 1).&lt;br&gt;• Use low‑noise equipment where feasible.&lt;br&gt;• Provide hearing protection to workers.</w:t>
            </w:r>
          </w:p>
        </w:tc>
        <w:tc>
          <w:tcPr>
            <w:tcW w:type="dxa" w:w="1080"/>
          </w:tcPr>
          <w:p>
            <w:r>
              <w:t>Leq (dBA) measured at 50 m from source, especially towards Juja Level 4 Hospital (900 m E) and Murera Primary School (350 m S)</w:t>
            </w:r>
          </w:p>
        </w:tc>
        <w:tc>
          <w:tcPr>
            <w:tcW w:type="dxa" w:w="1080"/>
          </w:tcPr>
          <w:p>
            <w:r>
              <w:t>Daily during noisy operations; cumulative weekly report</w:t>
            </w:r>
          </w:p>
        </w:tc>
        <w:tc>
          <w:tcPr>
            <w:tcW w:type="dxa" w:w="1080"/>
          </w:tcPr>
          <w:p>
            <w:r>
              <w:t>Contractor’s Site Supervisor &amp; Health &amp; Safety Officer</w:t>
            </w:r>
          </w:p>
        </w:tc>
      </w:tr>
    </w:tbl>
    <w:p>
      <w:r>
        <w:t>| Erection of steel structures &amp; roofing | Generation of metallic noise; risk of falling objects; visual intrusion | No prior industrial structures; visual baseline = open cropland | Low (short‑duration activity, limited spatial impact) | • Use safety netting and</w:t>
      </w:r>
    </w:p>
    <w:p>
      <w:pPr>
        <w:pStyle w:val="Heading2"/>
      </w:pPr>
      <w:r>
        <w:t>8.3 Operational Phase ESMP Matrix</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r>
              <w:rPr>
                <w:b/>
              </w:rPr>
              <w:t>Environmental / Social Aspect</w:t>
            </w:r>
            <w:r>
              <w:rPr>
                <w:b/>
              </w:rPr>
            </w:r>
          </w:p>
        </w:tc>
        <w:tc>
          <w:tcPr>
            <w:tcW w:type="dxa" w:w="1080"/>
          </w:tcPr>
          <w:p>
            <w:r>
              <w:rPr>
                <w:b/>
              </w:rPr>
            </w:r>
            <w:r>
              <w:rPr>
                <w:b/>
              </w:rPr>
              <w:t>Baseline Condition</w:t>
            </w:r>
            <w:r>
              <w:rPr>
                <w:b/>
              </w:rPr>
            </w:r>
          </w:p>
        </w:tc>
        <w:tc>
          <w:tcPr>
            <w:tcW w:type="dxa" w:w="1080"/>
          </w:tcPr>
          <w:p>
            <w:r>
              <w:rPr>
                <w:b/>
              </w:rPr>
            </w:r>
            <w:r>
              <w:rPr>
                <w:b/>
              </w:rPr>
              <w:t>Regulatory Standard / Acceptable Limit</w:t>
            </w:r>
            <w:r>
              <w:rPr>
                <w:b/>
              </w:rPr>
            </w:r>
          </w:p>
        </w:tc>
        <w:tc>
          <w:tcPr>
            <w:tcW w:type="dxa" w:w="1080"/>
          </w:tcPr>
          <w:p>
            <w:r>
              <w:rPr>
                <w:b/>
              </w:rPr>
            </w:r>
            <w:r>
              <w:rPr>
                <w:b/>
              </w:rPr>
              <w:t>Mitigation / Management Measures (Operational Phase)</w:t>
            </w:r>
            <w:r>
              <w:rPr>
                <w:b/>
              </w:rPr>
            </w:r>
          </w:p>
        </w:tc>
        <w:tc>
          <w:tcPr>
            <w:tcW w:type="dxa" w:w="1080"/>
          </w:tcPr>
          <w:p>
            <w:r>
              <w:rPr>
                <w:b/>
              </w:rPr>
            </w:r>
            <w:r>
              <w:rPr>
                <w:b/>
              </w:rPr>
              <w:t>Monitoring Parameter</w:t>
            </w:r>
            <w:r>
              <w:rPr>
                <w:b/>
              </w:rPr>
            </w:r>
          </w:p>
        </w:tc>
        <w:tc>
          <w:tcPr>
            <w:tcW w:type="dxa" w:w="1080"/>
          </w:tcPr>
          <w:p>
            <w:r>
              <w:rPr>
                <w:b/>
              </w:rPr>
            </w:r>
            <w:r>
              <w:rPr>
                <w:b/>
              </w:rPr>
              <w:t>Monitoring Frequency</w:t>
            </w:r>
            <w:r>
              <w:rPr>
                <w:b/>
              </w:rPr>
            </w:r>
          </w:p>
        </w:tc>
        <w:tc>
          <w:tcPr>
            <w:tcW w:type="dxa" w:w="1080"/>
          </w:tcPr>
          <w:p>
            <w:r>
              <w:rPr>
                <w:b/>
              </w:rPr>
            </w:r>
            <w:r>
              <w:rPr>
                <w:b/>
              </w:rPr>
              <w:t>Responsible Party</w:t>
            </w:r>
            <w:r>
              <w:rPr>
                <w:b/>
              </w:rPr>
            </w:r>
          </w:p>
        </w:tc>
        <w:tc>
          <w:tcPr>
            <w:tcW w:type="dxa" w:w="1080"/>
          </w:tcPr>
          <w:p>
            <w:r>
              <w:rPr>
                <w:b/>
              </w:rPr>
            </w:r>
            <w:r>
              <w:rPr>
                <w:b/>
              </w:rPr>
              <w:t>Reporting / Documentation</w:t>
            </w:r>
            <w:r>
              <w:rPr>
                <w:b/>
              </w:rPr>
            </w:r>
          </w:p>
        </w:tc>
      </w:tr>
      <w:tr>
        <w:tc>
          <w:tcPr>
            <w:tcW w:type="dxa" w:w="1080"/>
          </w:tcPr>
          <w:p>
            <w:r/>
            <w:r>
              <w:rPr>
                <w:b/>
              </w:rPr>
              <w:t>Air Quality – Particulate Matter (PM₂.₅ &amp; PM₁₀)</w:t>
            </w:r>
            <w:r/>
          </w:p>
        </w:tc>
        <w:tc>
          <w:tcPr>
            <w:tcW w:type="dxa" w:w="1080"/>
          </w:tcPr>
          <w:p>
            <w:r>
              <w:t>PM₂.₅ = 18 µg m⁻³  &lt;br&gt; PM₁₀ = 41 µg m⁻³ (annual average, 2025)</w:t>
            </w:r>
          </w:p>
        </w:tc>
        <w:tc>
          <w:tcPr>
            <w:tcW w:type="dxa" w:w="1080"/>
          </w:tcPr>
          <w:p>
            <w:r>
              <w:t>NEMA Guideline: PM₂.₅ ≤ 35 µg m⁻³ ; PM₁₀ ≤ 70 µg m⁻³ (24‑h average)</w:t>
            </w:r>
          </w:p>
        </w:tc>
        <w:tc>
          <w:tcPr>
            <w:tcW w:type="dxa" w:w="1080"/>
          </w:tcPr>
          <w:p>
            <w:r>
              <w:t>• Enclosed grain handling system with sealed conveyors.&lt;br&gt;• High‑efficiency bag‑filter dust collectors (≥ 99 % removal).&lt;br&gt;• Continuous operation of dust extraction fans at ≥ 1.2 m s⁻¹ air velocity.&lt;br&gt;• Routine maintenance of filters (monthly inspection, quarterly replacement).</w:t>
            </w:r>
          </w:p>
        </w:tc>
        <w:tc>
          <w:tcPr>
            <w:tcW w:type="dxa" w:w="1080"/>
          </w:tcPr>
          <w:p>
            <w:r>
              <w:t>Ambient PM₂.₅ and PM₁₀ concentrations at the plant perimeter (10 m) and at the nearest sensitive receptor (Juja Level 4 Hospital, 900 m)</w:t>
            </w:r>
          </w:p>
        </w:tc>
        <w:tc>
          <w:tcPr>
            <w:tcW w:type="dxa" w:w="1080"/>
          </w:tcPr>
          <w:p>
            <w:r>
              <w:t>• Continuous real‑time monitoring (automated TEOM) – data logged hourly.&lt;br&gt;• Manual gravimetric verification – quarterly.</w:t>
            </w:r>
          </w:p>
        </w:tc>
        <w:tc>
          <w:tcPr>
            <w:tcW w:type="dxa" w:w="1080"/>
          </w:tcPr>
          <w:p>
            <w:r>
              <w:t>Environmental Officer (Highland Grain Millers Ltd.) &lt;br&gt;Independent verifier (certified air‑quality consultant)</w:t>
            </w:r>
          </w:p>
        </w:tc>
        <w:tc>
          <w:tcPr>
            <w:tcW w:type="dxa" w:w="1080"/>
          </w:tcPr>
          <w:p>
            <w:r>
              <w:t>Monthly internal report submitted to NEMA; annual compliance certificate filed with County Environmental Office.</w:t>
            </w:r>
          </w:p>
        </w:tc>
      </w:tr>
    </w:tbl>
    <w:p>
      <w:r>
        <w:t xml:space="preserve">| </w:t>
      </w:r>
      <w:r>
        <w:rPr>
          <w:b/>
        </w:rPr>
        <w:t>Noise</w:t>
      </w:r>
      <w:r>
        <w:t xml:space="preserve"> | 52 Leq dBA (daytime, 2025) measured 15 m from main plant building | NEMA Noise Standard: ≤ 55 Leq dBA (day) at residential receptors; ≤ 70 Leq dBA at industrial zones | • Acoustic enclosures around milling silos and crushers (STC ≥ 55 dB).&lt;br&gt;• Installation of vibration isolators on rotating equipment.&lt;br&gt;• Operational window limited to 06:00–20:00 hrs.&lt;br&gt;• Speed‑bumps and signage on access road to enforce ≤ 40 km h⁻¹ truck speed. | Leq dBA (1‑hour averaging) at:&lt;br&gt;• Plant boundary (15 m)&lt;br&gt;• Murera Primary School (350 m S) | • Continuous sound level meter with data logger – daily average recorded.&lt;br&gt;• Spot checks with handheld dosimeter – monthly. | Health &amp; Safety Manager &lt;br&gt;Third‑party acoustic</w:t>
      </w:r>
    </w:p>
    <w:p>
      <w:pPr>
        <w:pStyle w:val="Heading2"/>
      </w:pPr>
      <w:r>
        <w:t>8.4 Grievance Redress Mechanism (GRM)</w:t>
      </w:r>
    </w:p>
    <w:p>
      <w:r/>
      <w:r>
        <w:rPr>
          <w:b/>
        </w:rPr>
        <w:t>Grievance Redress Mechanism (GRM)</w:t>
      </w:r>
      <w:r/>
    </w:p>
    <w:p>
      <w:r>
        <w:t>The Grievance Redress Mechanism for the Ruiru Agro‑Processing Plant is designed to provide a transparent, accessible, and timely avenue for all stakeholders to raise concerns related to the project’s environmental and social impacts. The GRM is anchored in the baseline conditions documented for the project site and aligns with NEMA’s regulatory requirements and the World Bank’s Environmental and Social Framework.</w:t>
      </w:r>
    </w:p>
    <w:p>
      <w:r>
        <w:t>---</w:t>
      </w:r>
    </w:p>
    <w:p>
      <w:r>
        <w:t>### 1. Objectives</w:t>
      </w:r>
    </w:p>
    <w:tbl>
      <w:tblPr>
        <w:tblStyle w:val="TableGrid"/>
        <w:tblW w:type="auto" w:w="0"/>
        <w:tblLook w:firstColumn="1" w:firstRow="1" w:lastColumn="0" w:lastRow="0" w:noHBand="0" w:noVBand="1" w:val="04A0"/>
      </w:tblPr>
      <w:tblGrid>
        <w:gridCol w:w="4320"/>
        <w:gridCol w:w="4320"/>
      </w:tblGrid>
      <w:tr>
        <w:tc>
          <w:tcPr>
            <w:tcW w:type="dxa" w:w="4320"/>
          </w:tcPr>
          <w:p>
            <w:r>
              <w:rPr>
                <w:b/>
              </w:rPr>
              <w:t>Objective</w:t>
            </w:r>
          </w:p>
        </w:tc>
        <w:tc>
          <w:tcPr>
            <w:tcW w:type="dxa" w:w="4320"/>
          </w:tcPr>
          <w:p>
            <w:r>
              <w:rPr>
                <w:b/>
              </w:rPr>
              <w:t>Description</w:t>
            </w:r>
          </w:p>
        </w:tc>
      </w:tr>
      <w:tr>
        <w:tc>
          <w:tcPr>
            <w:tcW w:type="dxa" w:w="4320"/>
          </w:tcPr>
          <w:p>
            <w:r/>
            <w:r>
              <w:rPr>
                <w:b/>
              </w:rPr>
              <w:t>Transparency</w:t>
            </w:r>
            <w:r/>
          </w:p>
        </w:tc>
        <w:tc>
          <w:tcPr>
            <w:tcW w:type="dxa" w:w="4320"/>
          </w:tcPr>
          <w:p>
            <w:r>
              <w:t>Ensure that all grievances are recorded, tracked, and publicly reported.</w:t>
            </w:r>
          </w:p>
        </w:tc>
      </w:tr>
      <w:tr>
        <w:tc>
          <w:tcPr>
            <w:tcW w:type="dxa" w:w="4320"/>
          </w:tcPr>
          <w:p>
            <w:r/>
            <w:r>
              <w:rPr>
                <w:b/>
              </w:rPr>
              <w:t>Responsiveness</w:t>
            </w:r>
            <w:r/>
          </w:p>
        </w:tc>
        <w:tc>
          <w:tcPr>
            <w:tcW w:type="dxa" w:w="4320"/>
          </w:tcPr>
          <w:p>
            <w:r>
              <w:t>Resolve complaints within defined time‑frames (see Section 2).</w:t>
            </w:r>
          </w:p>
        </w:tc>
      </w:tr>
      <w:tr>
        <w:tc>
          <w:tcPr>
            <w:tcW w:type="dxa" w:w="4320"/>
          </w:tcPr>
          <w:p>
            <w:r/>
            <w:r>
              <w:rPr>
                <w:b/>
              </w:rPr>
              <w:t>Inclusivity</w:t>
            </w:r>
            <w:r/>
          </w:p>
        </w:tc>
        <w:tc>
          <w:tcPr>
            <w:tcW w:type="dxa" w:w="4320"/>
          </w:tcPr>
          <w:p>
            <w:r>
              <w:t>Accommodate the linguistic, cultural, and physical needs of the local community, including the 210 participants of the August 2026 Baraza.</w:t>
            </w:r>
          </w:p>
        </w:tc>
      </w:tr>
      <w:tr>
        <w:tc>
          <w:tcPr>
            <w:tcW w:type="dxa" w:w="4320"/>
          </w:tcPr>
          <w:p>
            <w:r/>
            <w:r>
              <w:rPr>
                <w:b/>
              </w:rPr>
              <w:t>Accountability</w:t>
            </w:r>
            <w:r/>
          </w:p>
        </w:tc>
        <w:tc>
          <w:tcPr>
            <w:tcW w:type="dxa" w:w="4320"/>
          </w:tcPr>
          <w:p>
            <w:r>
              <w:t>Assign clear responsibilities to the Project Management Unit (PMU), the Grievance Officer, and external oversight bodies.</w:t>
            </w:r>
          </w:p>
        </w:tc>
      </w:tr>
      <w:tr>
        <w:tc>
          <w:tcPr>
            <w:tcW w:type="dxa" w:w="4320"/>
          </w:tcPr>
          <w:p>
            <w:r/>
            <w:r>
              <w:rPr>
                <w:b/>
              </w:rPr>
              <w:t>Learning</w:t>
            </w:r>
            <w:r/>
          </w:p>
        </w:tc>
        <w:tc>
          <w:tcPr>
            <w:tcW w:type="dxa" w:w="4320"/>
          </w:tcPr>
          <w:p>
            <w:r>
              <w:t>Capture lessons learned to refine mitigation measures (e.g., acoustic enclosures, dust extraction, water recycling).</w:t>
            </w:r>
          </w:p>
        </w:tc>
      </w:tr>
    </w:tbl>
    <w:p>
      <w:r>
        <w:t>---</w:t>
      </w:r>
    </w:p>
    <w:p>
      <w:r>
        <w:t>### 2. Process Flow and Time‑Lines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Step</w:t>
            </w:r>
          </w:p>
        </w:tc>
        <w:tc>
          <w:tcPr>
            <w:tcW w:type="dxa" w:w="2160"/>
          </w:tcPr>
          <w:p>
            <w:r>
              <w:rPr>
                <w:b/>
              </w:rPr>
              <w:t>Action</w:t>
            </w:r>
          </w:p>
        </w:tc>
        <w:tc>
          <w:tcPr>
            <w:tcW w:type="dxa" w:w="2160"/>
          </w:tcPr>
          <w:p>
            <w:r>
              <w:rPr>
                <w:b/>
              </w:rPr>
              <w:t>Responsible Party</w:t>
            </w:r>
          </w:p>
        </w:tc>
        <w:tc>
          <w:tcPr>
            <w:tcW w:type="dxa" w:w="2160"/>
          </w:tcPr>
          <w:p>
            <w:r>
              <w:rPr>
                <w:b/>
              </w:rPr>
              <w:t>Maximum Completion Time*</w:t>
            </w:r>
          </w:p>
        </w:tc>
      </w:tr>
      <w:tr>
        <w:tc>
          <w:tcPr>
            <w:tcW w:type="dxa" w:w="2160"/>
          </w:tcPr>
          <w:p>
            <w:r/>
            <w:r>
              <w:rPr>
                <w:b/>
              </w:rPr>
              <w:t>2.1 Registration</w:t>
            </w:r>
            <w:r/>
          </w:p>
        </w:tc>
        <w:tc>
          <w:tcPr>
            <w:tcW w:type="dxa" w:w="2160"/>
          </w:tcPr>
          <w:p>
            <w:r>
              <w:t>Grievance received via hotline, email, suggestion box, or in‑person at the Community Liaison Office (CLO).</w:t>
            </w:r>
          </w:p>
        </w:tc>
        <w:tc>
          <w:tcPr>
            <w:tcW w:type="dxa" w:w="2160"/>
          </w:tcPr>
          <w:p>
            <w:r>
              <w:t>Grievance Officer (GO)</w:t>
            </w:r>
          </w:p>
        </w:tc>
        <w:tc>
          <w:tcPr>
            <w:tcW w:type="dxa" w:w="2160"/>
          </w:tcPr>
          <w:p>
            <w:r>
              <w:t>Immediate (within 24 h)</w:t>
            </w:r>
          </w:p>
        </w:tc>
      </w:tr>
      <w:tr>
        <w:tc>
          <w:tcPr>
            <w:tcW w:type="dxa" w:w="2160"/>
          </w:tcPr>
          <w:p>
            <w:r/>
            <w:r>
              <w:rPr>
                <w:b/>
              </w:rPr>
              <w:t>2.2 Acknowledgement</w:t>
            </w:r>
            <w:r/>
          </w:p>
        </w:tc>
        <w:tc>
          <w:tcPr>
            <w:tcW w:type="dxa" w:w="2160"/>
          </w:tcPr>
          <w:p>
            <w:r>
              <w:t>Issue a written acknowledgment with a unique reference number.</w:t>
            </w:r>
          </w:p>
        </w:tc>
        <w:tc>
          <w:tcPr>
            <w:tcW w:type="dxa" w:w="2160"/>
          </w:tcPr>
          <w:p>
            <w:r>
              <w:t>GO</w:t>
            </w:r>
          </w:p>
        </w:tc>
        <w:tc>
          <w:tcPr>
            <w:tcW w:type="dxa" w:w="2160"/>
          </w:tcPr>
          <w:p>
            <w:r>
              <w:t>≤ 2 working days</w:t>
            </w:r>
          </w:p>
        </w:tc>
      </w:tr>
      <w:tr>
        <w:tc>
          <w:tcPr>
            <w:tcW w:type="dxa" w:w="2160"/>
          </w:tcPr>
          <w:p>
            <w:r/>
            <w:r>
              <w:rPr>
                <w:b/>
              </w:rPr>
              <w:t>2.3 Classification</w:t>
            </w:r>
            <w:r/>
          </w:p>
        </w:tc>
        <w:tc>
          <w:tcPr>
            <w:tcW w:type="dxa" w:w="2160"/>
          </w:tcPr>
          <w:p>
            <w:r>
              <w:t xml:space="preserve">Categorise as </w:t>
            </w:r>
            <w:r>
              <w:rPr>
                <w:b/>
              </w:rPr>
              <w:t>(a) Information request</w:t>
            </w:r>
            <w:r>
              <w:t xml:space="preserve">, </w:t>
            </w:r>
            <w:r>
              <w:rPr>
                <w:b/>
              </w:rPr>
              <w:t>(b) Minor issue</w:t>
            </w:r>
            <w:r>
              <w:t xml:space="preserve"> (e.g., noise level deviation), </w:t>
            </w:r>
            <w:r>
              <w:rPr>
                <w:b/>
              </w:rPr>
              <w:t>(c) Major issue</w:t>
            </w:r>
            <w:r>
              <w:t xml:space="preserve"> (e.g., water contamination, health risk).</w:t>
            </w:r>
          </w:p>
        </w:tc>
        <w:tc>
          <w:tcPr>
            <w:tcW w:type="dxa" w:w="2160"/>
          </w:tcPr>
          <w:p>
            <w:r>
              <w:t>GO + Technical Specialists (Air Quality, Noise, Water)</w:t>
            </w:r>
          </w:p>
        </w:tc>
        <w:tc>
          <w:tcPr>
            <w:tcW w:type="dxa" w:w="2160"/>
          </w:tcPr>
          <w:p>
            <w:r>
              <w:t>≤ 3 working days</w:t>
            </w:r>
          </w:p>
        </w:tc>
      </w:tr>
    </w:tbl>
    <w:p>
      <w:r>
        <w:t xml:space="preserve">| </w:t>
      </w:r>
      <w:r>
        <w:rPr>
          <w:b/>
        </w:rPr>
        <w:t>2.4 Investigation</w:t>
      </w:r>
      <w:r>
        <w:t xml:space="preserve"> | Conduct field verification, sampling, or desk review. Baseline data used as reference: &lt;br&gt;• </w:t>
      </w:r>
      <w:r>
        <w:rPr>
          <w:b/>
        </w:rPr>
        <w:t>Air Quality</w:t>
      </w:r>
      <w:r>
        <w:t xml:space="preserve"> – PM₂.₅ = 18 µg m⁻³, PM₁₀ = 41 µg m⁻³ &lt;br&gt;• </w:t>
      </w:r>
      <w:r>
        <w:rPr>
          <w:b/>
        </w:rPr>
        <w:t>Noise</w:t>
      </w:r>
      <w:r>
        <w:t xml:space="preserve"> – Ambient 52 Leq dBA &lt;br&gt;• </w:t>
      </w:r>
      <w:r>
        <w:rPr>
          <w:b/>
        </w:rPr>
        <w:t>Groundwater</w:t>
      </w:r>
      <w:r>
        <w:t xml:space="preserve"> – Depth 35 m &lt;br&gt;• </w:t>
      </w:r>
      <w:r>
        <w:rPr>
          <w:b/>
        </w:rPr>
        <w:t>Sensitive Receptors</w:t>
      </w:r>
      <w:r>
        <w:t xml:space="preserve"> – Hospital (900 m E), Primary School (350 m S), Karura Stream (180 m N), Murura Estate (220 m SW) | Technical Team (Air, Noise, Water, Health) | ≤ 15 working days for minor issues; ≤</w:t>
      </w:r>
    </w:p>
    <w:p>
      <w:pPr>
        <w:pStyle w:val="Heading1"/>
      </w:pPr>
      <w:r>
        <w:t>Chapter 9: Conclusion and Recommendations</w:t>
      </w:r>
    </w:p>
    <w:p>
      <w:pPr>
        <w:pStyle w:val="Heading2"/>
      </w:pPr>
      <w:r>
        <w:t>9.1 Conclusion</w:t>
      </w:r>
    </w:p>
    <w:p>
      <w:r>
        <w:t>The environmental and social assessment of the Ruiru Agro‑Processing Plant demonstrates that the proposed maize‑milling facility can be implemented in Murera Ward, Juja, without causing unacceptable adverse effects to the surrounding environment or the well‑being of local communities, provided that the mitigation measures and monitoring programmes outlined in this ESIA are fully implemented and adhered to throughout the 25‑year operational life of the plant.</w:t>
      </w:r>
    </w:p>
    <w:p>
      <w:r>
        <w:t>The baseline conditions indicate that air quality (PM₂.₅ = 18 µg m⁻³, PM₁₀ = 41 µg m⁻³) and ambient noise (52 Leq dBA) are within Kenya’s national standards and well below the thresholds that would trigger significant health concerns. The site is presently classified as cropland, and the conversion to an industrial use is justified by the proximity to maize‑producing farms, the availability of groundwater at 35 m depth, and the existing road network that can accommodate the planned truck movements. Sensitive receptors—including Juja Level 4 Hospital, Murera Primary School, Karura Stream, and the nearby residential estate—are located at distances that allow effective application of the proposed mitigation hierarchy.</w:t>
      </w:r>
    </w:p>
    <w:p>
      <w:r>
        <w:t>Key conclusions are:</w:t>
      </w:r>
    </w:p>
    <w:p>
      <w:pPr>
        <w:pStyle w:val="ListBullet"/>
      </w:pPr>
      <w:r/>
      <w:r>
        <w:rPr>
          <w:b/>
        </w:rPr>
        <w:t>Compliance with regulatory frameworks</w:t>
      </w:r>
      <w:r>
        <w:t xml:space="preserve"> – All design and operational features satisfy the requirements of the Environmental Management Act (1999), the NEMA Guidelines for Agro‑Processing Industries, and the Water Resources Management Authority (WRMA) permit conditions. The project aligns with Kenya’s Vision 2030 objectives for agribusiness value‑addition and rural‑industrial development.</w:t>
      </w:r>
    </w:p>
    <w:p>
      <w:pPr>
        <w:pStyle w:val="ListBullet"/>
      </w:pPr>
      <w:r/>
      <w:r>
        <w:rPr>
          <w:b/>
        </w:rPr>
        <w:t>Effectiveness of mitigation measures</w:t>
      </w:r>
      <w:r>
        <w:t xml:space="preserve"> –</w:t>
      </w:r>
    </w:p>
    <w:p>
      <w:pPr>
        <w:pStyle w:val="ListBullet"/>
      </w:pPr>
      <w:r/>
      <w:r>
        <w:rPr>
          <w:i/>
        </w:rPr>
        <w:t>Air‑borne dust</w:t>
      </w:r>
      <w:r>
        <w:t>: The closed‑loop dust extraction and high‑efficiency filtration system will reduce particulate emissions to well below the 30 µg m⁻³ (PM₁₀) and 15 µg m⁻³ (PM₂.₅) limits.</w:t>
      </w:r>
    </w:p>
    <w:p>
      <w:pPr>
        <w:pStyle w:val="ListBullet"/>
      </w:pPr>
      <w:r/>
      <w:r>
        <w:rPr>
          <w:i/>
        </w:rPr>
        <w:t>Noise</w:t>
      </w:r>
      <w:r>
        <w:t>: Acoustic enclosures around the milling line, combined with the 6 am–8 pm operating window, limit peak noise levels to ≤65 dBA at the plant boundary, ensuring that the 55 dBA residential noise standard is not exceeded at the school and estate.</w:t>
      </w:r>
    </w:p>
    <w:p>
      <w:pPr>
        <w:pStyle w:val="ListBullet"/>
      </w:pPr>
      <w:r/>
      <w:r>
        <w:rPr>
          <w:i/>
        </w:rPr>
        <w:t>Traffic</w:t>
      </w:r>
      <w:r>
        <w:t>: The dedicated truck corridor, reinforced with speed‑bump installations, will maintain vehicle speeds ≤40 km h⁻¹ and minimise road‑safety risks for pedestrians and cyclists.</w:t>
      </w:r>
    </w:p>
    <w:p>
      <w:pPr>
        <w:pStyle w:val="ListBullet"/>
      </w:pPr>
      <w:r/>
      <w:r>
        <w:rPr>
          <w:i/>
        </w:rPr>
        <w:t>Water</w:t>
      </w:r>
      <w:r>
        <w:t>: The closed‑loop water‑recycling system, together with a storm‑water detention basin, prevents any net abstraction from the aquifer and eliminates discharge to Karura Stream, thereby protecting downstream water users and aquatic habitats.</w:t>
      </w:r>
    </w:p>
    <w:p>
      <w:pPr>
        <w:pStyle w:val="ListBullet"/>
      </w:pPr>
      <w:r/>
      <w:r>
        <w:rPr>
          <w:b/>
        </w:rPr>
        <w:t>Residual impacts</w:t>
      </w:r>
      <w:r>
        <w:t xml:space="preserve"> – After mitigation, the remaining impacts are classified as </w:t>
      </w:r>
      <w:r>
        <w:rPr>
          <w:b/>
        </w:rPr>
        <w:t>moderate, short‑term</w:t>
      </w:r>
      <w:r>
        <w:t xml:space="preserve"> for construction activities (dust, noise, traffic disruptions) and </w:t>
      </w:r>
      <w:r>
        <w:rPr>
          <w:b/>
        </w:rPr>
        <w:t>low, long‑term</w:t>
      </w:r>
      <w:r>
        <w:t xml:space="preserve"> for operation (occasional maintenance‑related noise, minor visual change). These residual impacts are within acceptable limits and can be managed through the prescribed monitoring and adaptive management actions.</w:t>
      </w:r>
    </w:p>
    <w:p>
      <w:pPr>
        <w:pStyle w:val="ListBullet"/>
      </w:pPr>
      <w:r/>
      <w:r>
        <w:rPr>
          <w:b/>
        </w:rPr>
        <w:t>Monitoring and adaptive management</w:t>
      </w:r>
      <w:r>
        <w:t xml:space="preserve"> – The ESIA establishes a robust environmental monitoring plan that includes:</w:t>
      </w:r>
    </w:p>
    <w:p>
      <w:pPr>
        <w:pStyle w:val="ListBullet"/>
      </w:pPr>
      <w:r>
        <w:t>Quarterly ambient air‑quality sampling (PM₂.₅, PM₁₀) at the hospital, school, and plant perimeter.</w:t>
      </w:r>
    </w:p>
    <w:p>
      <w:pPr>
        <w:pStyle w:val="ListBullet"/>
      </w:pPr>
      <w:r>
        <w:t>Continuous noise monitoring using data‑loggers positioned at the three most sensitive receptors.</w:t>
      </w:r>
    </w:p>
    <w:p>
      <w:pPr>
        <w:pStyle w:val="ListBullet"/>
      </w:pPr>
      <w:r>
        <w:t>Monthly groundwater quality testing for turbidity,</w:t>
      </w:r>
    </w:p>
    <w:p>
      <w:pPr>
        <w:pStyle w:val="Heading2"/>
      </w:pPr>
      <w:r>
        <w:t>9.2 Recommendations</w:t>
      </w:r>
    </w:p>
    <w:p>
      <w:r>
        <w:t>The ESIA findings indicate that the Ruiru Agro‑Processing Plant will generate measurable impacts on air quality, noise, traffic, water resources and the surrounding community. To ensure that these impacts remain within acceptable limits and that the project delivers sustainable socio‑economic benefits, the following recommendations are proposed. Each recommendation is linked to the specific impact, the relevant Kenyan legislation (NEMA Act 2016, Environmental Management and Coordination Act, Water Resources Management Act 2002, Occupational Safety and Health Act) and the mitigation measures already identified in the study.</w:t>
      </w:r>
    </w:p>
    <w:p>
      <w:r/>
      <w:r>
        <w:rPr>
          <w:b/>
        </w:rPr>
        <w:t>1. Environmental Management and Monitoring Plan (EMMP) – Implementation and Review</w:t>
      </w:r>
      <w:r/>
    </w:p>
    <w:p>
      <w:pPr>
        <w:pStyle w:val="ListBullet"/>
      </w:pPr>
      <w:r>
        <w:t>Develop a comprehensive EMMP that integrates all mitigation measures, assigns clear responsibilities, and defines performance indicators.</w:t>
      </w:r>
    </w:p>
    <w:p>
      <w:pPr>
        <w:pStyle w:val="ListBullet"/>
      </w:pPr>
      <w:r>
        <w:t>Submit the EMMP to NEMA for approval before construction commences and update it annually or whenever a significant change in operations occurs.</w:t>
      </w:r>
    </w:p>
    <w:p>
      <w:pPr>
        <w:pStyle w:val="ListBullet"/>
      </w:pPr>
      <w:r>
        <w:t xml:space="preserve">Conduct a formal </w:t>
      </w:r>
      <w:r>
        <w:rPr>
          <w:b/>
        </w:rPr>
        <w:t>mid‑term review</w:t>
      </w:r>
      <w:r>
        <w:t xml:space="preserve"> (Year 5) and a </w:t>
      </w:r>
      <w:r>
        <w:rPr>
          <w:b/>
        </w:rPr>
        <w:t>final review</w:t>
      </w:r>
      <w:r>
        <w:t xml:space="preserve"> (Year 25) to assess cumulative impacts and the effectiveness of mitigation actions.</w:t>
      </w:r>
    </w:p>
    <w:p>
      <w:r/>
      <w:r>
        <w:rPr>
          <w:b/>
        </w:rPr>
        <w:t>2. Air Quality Control</w:t>
      </w:r>
      <w:r/>
    </w:p>
    <w:p>
      <w:pPr>
        <w:pStyle w:val="ListBullet"/>
      </w:pPr>
      <w:r/>
      <w:r>
        <w:rPr>
          <w:b/>
        </w:rPr>
        <w:t>Dust suppression:</w:t>
      </w:r>
      <w:r>
        <w:t xml:space="preserve"> Operate the dust extraction and filtration system continuously during milling, cleaning and bagging operations. Perform weekly filter maintenance and replace filter media according to manufacturer specifications.</w:t>
      </w:r>
    </w:p>
    <w:p>
      <w:pPr>
        <w:pStyle w:val="ListBullet"/>
      </w:pPr>
      <w:r/>
      <w:r>
        <w:rPr>
          <w:b/>
        </w:rPr>
        <w:t>Stack emissions:</w:t>
      </w:r>
      <w:r>
        <w:t xml:space="preserve"> Install low‑NOx burners on any auxiliary boilers and conduct quarterly stack testing to verify compliance with the Kenya Standard KS KS EN 1496‑2 (PM10 ≤ 50 µg m⁻³).</w:t>
      </w:r>
    </w:p>
    <w:p>
      <w:pPr>
        <w:pStyle w:val="ListBullet"/>
      </w:pPr>
      <w:r/>
      <w:r>
        <w:rPr>
          <w:b/>
        </w:rPr>
        <w:t>Ambient monitoring:</w:t>
      </w:r>
      <w:r>
        <w:t xml:space="preserve"> Establish a permanent air‑quality monitoring station at the plant perimeter and a second station at the Juja Level 4 Hospital (900 m east). Record PM2.5 and PM10 concentrations hourly and submit data to NEMA within 15 days of each month.</w:t>
      </w:r>
    </w:p>
    <w:p>
      <w:pPr>
        <w:pStyle w:val="ListBullet"/>
      </w:pPr>
      <w:r/>
      <w:r>
        <w:rPr>
          <w:b/>
        </w:rPr>
        <w:t>Action thresholds:</w:t>
      </w:r>
      <w:r>
        <w:t xml:space="preserve"> If 24‑hour average PM2.5 exceeds 35 µg m⁻³ or PM10 exceeds 75 µg m⁻³, trigger immediate remedial actions (e.g., increase water‑spray frequency, adjust bag filter efficiency) and notify the County Environmental Officer.</w:t>
      </w:r>
    </w:p>
    <w:p>
      <w:r/>
      <w:r>
        <w:rPr>
          <w:b/>
        </w:rPr>
        <w:t>3. Noise Management</w:t>
      </w:r>
      <w:r/>
    </w:p>
    <w:p>
      <w:pPr>
        <w:pStyle w:val="ListBullet"/>
      </w:pPr>
      <w:r/>
      <w:r>
        <w:rPr>
          <w:b/>
        </w:rPr>
        <w:t>Acoustic enclosures:</w:t>
      </w:r>
      <w:r>
        <w:t xml:space="preserve"> Verify that all high‑noise equipment (grinders, conveyors, diesel generators) is housed within the approved acoustic enclosures. Conduct sound level surveys quarterly at the plant boundary and at Murera Primary School (350 m south).</w:t>
      </w:r>
    </w:p>
    <w:p>
      <w:pPr>
        <w:pStyle w:val="ListBullet"/>
      </w:pPr>
      <w:r/>
      <w:r>
        <w:rPr>
          <w:b/>
        </w:rPr>
        <w:t>Operational hours:</w:t>
      </w:r>
      <w:r>
        <w:t xml:space="preserve"> Enforce the 06:00 – 20:00 h operating window strictly. Implement an automated log‑book system that records start‑up and shutdown times for each noisy unit.</w:t>
      </w:r>
    </w:p>
    <w:p>
      <w:pPr>
        <w:pStyle w:val="ListBullet"/>
      </w:pPr>
      <w:r/>
      <w:r>
        <w:rPr>
          <w:b/>
        </w:rPr>
        <w:t>Noise‑abatement measures:</w:t>
      </w:r>
      <w:r>
        <w:t xml:space="preserve"> Install vibration isolators on rotating machinery and maintain a minimum 3 m buffer zone of vegetated berms around the plant perimeter.</w:t>
      </w:r>
    </w:p>
    <w:p>
      <w:pPr>
        <w:pStyle w:val="ListBullet"/>
      </w:pPr>
      <w:r/>
      <w:r>
        <w:rPr>
          <w:b/>
        </w:rPr>
        <w:t>Complaint handling:</w:t>
      </w:r>
      <w:r>
        <w:t xml:space="preserve"> Establish a community liaison office with a dedicated hotline. Log all noise complaints, investigate within 48 hours, and report outcomes to the County Executive Committee on Environment.</w:t>
      </w:r>
    </w:p>
    <w:p>
      <w:r/>
      <w:r>
        <w:rPr>
          <w:b/>
        </w:rPr>
        <w:t>4. Traffic and Road Safety</w:t>
      </w:r>
      <w:r/>
    </w:p>
    <w:p>
      <w:pPr>
        <w:pStyle w:val="ListBullet"/>
      </w:pPr>
      <w:r/>
      <w:r>
        <w:rPr>
          <w:b/>
        </w:rPr>
        <w:t>Dedicated truck route:</w:t>
      </w:r>
      <w:r>
        <w:t xml:space="preserve"> Formalise the truck route through the County’s road‑safety plan, including signage, speed limits (≤ 40 km h) and three strategically placed speed‑bump zones.</w:t>
      </w:r>
    </w:p>
    <w:p>
      <w:pPr>
        <w:pStyle w:val="ListBullet"/>
      </w:pPr>
      <w:r/>
      <w:r>
        <w:rPr>
          <w:b/>
        </w:rPr>
        <w:t>Vehicle inspections:</w:t>
      </w:r>
      <w:r>
        <w:t xml:space="preserve"> Conduct monthly inspections of all inbound and outbound trucks for tyre condition, load security and emission compliance (Euro III or equivalent).</w:t>
      </w:r>
    </w:p>
    <w:p>
      <w:pPr>
        <w:pStyle w:val="ListBullet"/>
      </w:pPr>
      <w:r/>
      <w:r>
        <w:rPr>
          <w:b/>
        </w:rPr>
        <w:t>Road‑maintenance fund:</w:t>
      </w:r>
      <w:r>
        <w:t xml:space="preserve"> Contribute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