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and Social Impact Assessment (ESIA) Project Report</w:t>
      </w:r>
    </w:p>
    <w:p>
      <w:pPr>
        <w:pStyle w:val="Heading1"/>
      </w:pPr>
      <w:r>
        <w:t>Thika Road - Ruiru Bypass Upgrade Project</w:t>
      </w:r>
    </w:p>
    <w:p>
      <w:pPr>
        <w:pStyle w:val="Heading2"/>
      </w:pPr>
      <w:r>
        <w:t>1. Introduction and Project Description</w:t>
      </w:r>
    </w:p>
    <w:p>
      <w:r>
        <w:t>The Thika Road – Ruiru Bypass Upgrade Project involves the development of road infrastructure by the Kenya National Highways Authority (KeNHA). Valued at approximately KES 850,000,000, the project spans 12.5 hectares in Kiuu Ward, Ruiru, Kiambu County (Coordinates: -1.2921, 36.8219), occupying Government Land (Way Leave). The design lifespan is 30 years.</w:t>
        <w:br/>
        <w:br/>
        <w:t>Several alternatives were considered during scoping. Alternative 1 (No-action) was rejected due to compounding traffic congestion. Alternative 2 (Kamakis route) was dismissed due to excessive land acquisition costs and wetland encroachment. The selected alignment minimizes both wetland impact and the overall resettlement footprint.</w:t>
      </w:r>
    </w:p>
    <w:p>
      <w:pPr>
        <w:pStyle w:val="Heading2"/>
      </w:pPr>
      <w:r>
        <w:t>2. Environmental Baseline Conditions</w:t>
      </w:r>
    </w:p>
    <w:p>
      <w:r>
        <w:t>Baseline environmental surveys were conducted on July 10, 2026, during the dry season. Ambient air quality testing recorded PM2.5 levels at 12 µg/m³ and PM10 at 28 µg/m³, both well within statutory limits. Baseline noise levels were recorded at 45 Leq dBA. Hydrogeological assessments indicated groundwater depth at approximately 50 meters. The existing land use is predominantly mixed, comprising grassland and commercial frontage.</w:t>
        <w:br/>
        <w:br/>
        <w:t>Several sensitive receptors exist within a 1km radius of the project site. These include the Ruiru Sub-County Hospital (450m Southeast), Ruiru Primary School (300m North), St. Peter's Catholic Church (600m West), Ruiru River (250m Southeast), and the Kiuu Community Borehole (800m Northwest).</w:t>
      </w:r>
    </w:p>
    <w:p>
      <w:pPr>
        <w:pStyle w:val="Heading2"/>
      </w:pPr>
      <w:r>
        <w:t>3. Stakeholder Engagement</w:t>
      </w:r>
    </w:p>
    <w:p>
      <w:r>
        <w:t>In strict adherence to NEMA Regulation 17, comprehensive public participation was undertaken. Initial notification was published in the Daily Nation on August 1, 2026, providing a statutory 14-day notice period. A public baraza was subsequently convened on August 15, 2026, at the Chief's Camp in Ruiru, facilitated by Lead Expert John Doe (NEMA/EIA/123).</w:t>
        <w:br/>
        <w:br/>
        <w:t>The engagement recorded 150 attendees, encompassing Local Administration, County Government Officials, Project Affected Persons (PAPs), neighboring communities, CBOs, and Women Representatives. Inclusive measures included accessible provisions for PWDs and a dedicated session for women's groups. A formal Grievance Redress Mechanism (GRM) Committee has been proposed to handle ongoing community feedback.</w:t>
      </w:r>
    </w:p>
    <w:p>
      <w:pPr>
        <w:pStyle w:val="Heading2"/>
      </w:pPr>
      <w:r>
        <w:t>4. ESMMP &amp; Community Mitigations</w:t>
      </w:r>
    </w:p>
    <w:p>
      <w:r>
        <w:t>The Environmental and Social Management and Monitoring Plan (ESMMP) addresses primary community concerns raised during scoping. To mitigate dust emissions affecting local businesses, the Contractor will deploy water bowsers to sprinkle the road three times daily (Weekly monitoring, Estimated cost: KES 500,000). Regarding the loss of business frontage, a comprehensive compensation assessment based on Valuer-General rates will be executed prior to construction. Furthermore, to stimulate local economic participation, 30% of all unskilled labor positions will be strictly reserved for residents of Ruiru Sub-county.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