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Project Report</w:t>
      </w:r>
    </w:p>
    <w:p>
      <w:pPr>
        <w:pStyle w:val="Heading1"/>
      </w:pPr>
      <w:r>
        <w:t>Thika Road - Ruiru Bypass Upgrade Project</w:t>
      </w:r>
    </w:p>
    <w:p>
      <w:r>
        <w:t>Proponent: Kenya National Highways Authority (KeNHA)</w:t>
      </w:r>
    </w:p>
    <w:p>
      <w:r>
        <w:t>Total Estimated Investment Cost: KES 850,000,000</w:t>
      </w:r>
    </w:p>
    <w:p>
      <w:r>
        <w:t>Project Location: Kiuu Ward, Ruiru, Kiambu County</w:t>
      </w:r>
    </w:p>
    <w:p>
      <w:r>
        <w:t>Coordinates: -1.2921, 36.8219</w:t>
      </w:r>
    </w:p>
    <w:p>
      <w:r>
        <w:t>Date: September 2026</w:t>
      </w:r>
    </w:p>
    <w:p>
      <w:r>
        <w:br w:type="page"/>
      </w:r>
    </w:p>
    <w:p>
      <w:pPr>
        <w:pStyle w:val="Heading1"/>
      </w:pPr>
      <w:r>
        <w:t>1. Executive Summary and Project Description</w:t>
      </w:r>
    </w:p>
    <w:p>
      <w:r>
        <w:t>1.1 Introduction</w:t>
        <w:br/>
        <w:t>The Kenya National Highways Authority (KeNHA) is proposing the upgrade of the Thika Road - Ruiru Bypass to alleviate the compounding traffic congestion experienced in the Ruiru municipality and its environs. The project entails the construction of a dual-carriageway bypass traversing Kiuu Ward, Kiambu County, spanning an area of approximately 12.5 hectares. The primary objective is to enhance regional connectivity, reduce vehicle operating costs, and improve transit times for both commercial and passenger traffic along the Northern Corridor route. This Environmental and Social Impact Assessment (ESIA) Project Report has been prepared in stringent adherence to the Environmental Management and Coordination Act (EMCA) Cap 387 and the Environmental (Impact Assessment and Audit) Regulations, 2003 (amended 2019).</w:t>
      </w:r>
    </w:p>
    <w:p>
      <w:r>
        <w:t>1.2 Project Scope and Activities</w:t>
        <w:br/>
        <w:t>The proposed infrastructure development will involve extensive civil engineering works including site clearance, earthworks, sub-base and base construction using improved gravel and crushed stone, followed by an asphalt concrete binder and wearing course. The scope also features the installation of robust drainage systems, pedestrian walkways, street lighting, and the construction of two grade-separated interchanges. The project is situated on Government Land designated as a Way Leave (LR No. 12345/67), ensuring that land acquisition and subsequent resettlement action plans are minimized. The design lifespan of the road is projected at 30 years, during which periodic maintenance will be undertaken by KeNHA.</w:t>
      </w:r>
    </w:p>
    <w:p>
      <w:r>
        <w:t>1.3 Project Justification and Alternatives Considered</w:t>
        <w:br/>
        <w:t xml:space="preserve">A comprehensive analysis of alternatives was conducted during the project scoping phase to ensure optimal environmental and socio-economic outcomes. </w:t>
        <w:br/>
        <w:br/>
        <w:t>Alternative 1 (No-Action): The 'No-Action' alternative was immediately rejected. Retaining the status quo would result in escalating traffic bottlenecks in Ruiru town, increased greenhouse gas emissions from idling vehicles, and continued degradation of the existing local road network due to heavy commercial loads.</w:t>
        <w:br/>
        <w:br/>
        <w:t>Alternative 2 (Kamakis Route Alignment): An alternative route passing through the Kamakis area was evaluated. While it offered a shorter bypass distance, it was dismissed due to its severe encroachment on sensitive wetland ecosystems and the prohibitive costs associated with extensive private land acquisition and subsequent compensation requirements.</w:t>
        <w:br/>
        <w:br/>
        <w:t>Selected Alternative (Current Alignment): The chosen alignment is optimal as it utilizes the existing government-owned Way Leave, significantly reducing the resettlement footprint and avoiding critical ecologically sensitive zones. This alignment balances infrastructure development needs with environmental conservation and socio-economic pragmatism.</w:t>
      </w:r>
    </w:p>
    <w:p>
      <w:r>
        <w:br w:type="page"/>
      </w:r>
    </w:p>
    <w:p>
      <w:pPr>
        <w:pStyle w:val="Heading1"/>
      </w:pPr>
      <w:r>
        <w:t>2. Environmental and Social Baseline Conditions</w:t>
      </w:r>
    </w:p>
    <w:p>
      <w:r>
        <w:t>2.1 Biophysical Environment</w:t>
        <w:br/>
        <w:t>Baseline environmental surveys were comprehensively executed on July 10, 2026, representing dry season conditions. The topography of the project area is characterized by gentle undulations typical of the Ruiru region. The geology consists predominantly of volcanic rocks covered by deep, well-drained, red volcanic soils (nitisols), which possess moderate permeability but are susceptible to erosion if vegetative cover is removed during earthworks. Hydrogeological assessments indicate that the regional groundwater table is relatively deep, situated at approximately 50 meters below ground level, reducing the immediate risk of groundwater contamination from surface runoff during the construction phase.</w:t>
      </w:r>
    </w:p>
    <w:p>
      <w:r>
        <w:t>2.2 Ambient Air Quality and Noise Levels</w:t>
        <w:br/>
        <w:t>In-situ baseline measurements were captured to establish the pre-project atmospheric conditions. Ambient air quality monitoring recorded Particulate Matter (PM2.5) concentrations at 12 µg/m³ and PM10 at 28 µg/m³. Both parameters are well within the World Health Organization (WHO) guidelines and the NEMA Air Quality Regulations threshold of 75 µg/m³ for PM10. The relatively low particulate matter concentrations are attributed to the current lack of heavy industrial activity in the immediate vicinity. Baseline noise levels were recorded at an average of 45 Leq dBA, which is characteristic of a peri-urban, mixed-use environment and complies with the statutory maximum limits for residential zones.</w:t>
      </w:r>
    </w:p>
    <w:p>
      <w:r>
        <w:t>2.3 Sensitive Receptors</w:t>
        <w:br/>
        <w:t>A critical component of the baseline survey involved the identification and spatial mapping of sensitive human and ecological receptors within a 1-kilometer radius of the proposed alignment. The following key receptors were identified:</w:t>
        <w:br/>
        <w:t>- Ruiru Sub-County Hospital (450m Southeast): Highly sensitive to acoustic disturbances and airborne dust during the construction phase.</w:t>
        <w:br/>
        <w:t>- Ruiru Primary School (300m North): Vulnerable to noise pollution and traffic safety risks, particularly during morning and evening transit hours.</w:t>
        <w:br/>
        <w:t>- St. Peter's Catholic Church (600m West): Sensitive to noise disruptions during weekend services.</w:t>
        <w:br/>
        <w:t>- Ruiru River (250m Southeast): An vital ecological corridor and hydrological resource. Susceptible to siltation and potential chemical spills from construction machinery.</w:t>
        <w:br/>
        <w:t>- Kiuu Community Borehole (800m Northwest): Requires protection from potential subterranean contamination pathways.</w:t>
      </w:r>
    </w:p>
    <w:p>
      <w:r>
        <w:br w:type="page"/>
      </w:r>
    </w:p>
    <w:p>
      <w:pPr>
        <w:pStyle w:val="Heading1"/>
      </w:pPr>
      <w:r>
        <w:t>3. Stakeholder Engagement and Public Participation</w:t>
      </w:r>
    </w:p>
    <w:p>
      <w:r>
        <w:t>3.1 Regulatory Framework and Notification</w:t>
        <w:br/>
        <w:t>In strict compliance with Regulation 17 of the Environmental (Impact Assessment and Audit) Regulations, robust stakeholder engagement was executed. The primary objective was to disseminate project information, solicit local knowledge, and integrate community concerns into the project design and Environmental and Social Management and Monitoring Plan (ESMMP). Formal public notification was achieved through advertisements placed in the Daily Nation newspaper on August 1, 2026. This provided the statutory 14-day notice period required before convening physical meetings, ensuring adequate time for stakeholders to review project intentions and prepare submissions.</w:t>
      </w:r>
    </w:p>
    <w:p>
      <w:r>
        <w:t>3.2 Public Baraza Proceedings</w:t>
        <w:br/>
        <w:t>A comprehensive public baraza was convened on August 15, 2026, at the Chief's Camp in Ruiru. The session was professionally facilitated by the registered NEMA Lead Expert, Mr. John Doe (Reg No. NEMA/EIA/123), alongside representatives from KeNHA and the local administration. The meeting recorded an impressive attendance of 150 individuals, demonstrating significant local interest in the project.</w:t>
        <w:br/>
        <w:br/>
        <w:t>The stakeholder demographic was highly diverse, encompassing Local Administration officials, County Government Representatives, Project Affected Persons (PAPs), neighboring business owners, Community-Based Organizations (CBOs), and dedicated Women Representatives. To ensure equitable participation, the engagement strategy deliberately incorporated provisions for Persons with Disabilities (PWDs) to access the venue easily. Furthermore, a specialized, culturally sensitive breakout session was conducted exclusively for women's groups to ensure their unique socio-economic concerns were adequately voiced without intimidation.</w:t>
      </w:r>
    </w:p>
    <w:p>
      <w:r>
        <w:t>3.3 Grievance Redress Mechanism (GRM)</w:t>
        <w:br/>
        <w:t>Recognizing the dynamic nature of infrastructure development and its ongoing impact on local communities, the proponent has proposed the establishment of a formal Grievance Redress Mechanism (GRM). A representative GRM Committee, comprising local elders, youth leaders, KeNHA community liaison officers, and the local Chief, was formulated during the baraza. This committee will serve as the primary conduit for receiving, investigating, and resolving any community complaints throughout the project lifecycle, thereby fostering continuous harmonious relations between the contractor and the residents.</w:t>
      </w:r>
    </w:p>
    <w:p>
      <w:r>
        <w:br w:type="page"/>
      </w:r>
    </w:p>
    <w:p>
      <w:pPr>
        <w:pStyle w:val="Heading1"/>
      </w:pPr>
      <w:r>
        <w:t>4. Environmental and Social Management and Monitoring Plan (ESMMP)</w:t>
      </w:r>
    </w:p>
    <w:p>
      <w:r>
        <w:t>4.1 Overview</w:t>
        <w:br/>
        <w:t>The ESMMP forms the core operational framework of this ESIA. It systematically translates identified impacts and community concerns into actionable, measurable, and adequately funded mitigation strategies. The plan defines the responsibilities, monitoring frequencies, and financial commitments required to ensure environmental sustainability.</w:t>
      </w:r>
    </w:p>
    <w:p>
      <w:r>
        <w:t>4.2 Key Community Concerns and Mitigations</w:t>
        <w:br/>
        <w:br/>
        <w:t>1. Air Quality Degradation (Dust Emissions)</w:t>
        <w:br/>
        <w:t>- Impact: Elevated dust generation during earthworks threatening respiratory health at nearby commercial shops and the Ruiru Sub-County Hospital.</w:t>
        <w:br/>
        <w:t>- Mitigation Strategy: The Principal Contractor is mandated to deploy water bowsers to systematically sprinkle all active construction zones and unpaved access routes a minimum of three times daily. Speed limits for construction vehicles will be strictly enforced at 30 km/h within populated zones.</w:t>
        <w:br/>
        <w:t>- Responsible Party: Principal Contractor (HSE Department)</w:t>
        <w:br/>
        <w:t>- Monitoring Frequency: Daily visual inspections; Weekly formal reporting.</w:t>
        <w:br/>
        <w:t>- Estimated Cost Allocation: KES 500,000</w:t>
        <w:br/>
        <w:br/>
        <w:t>2. Socio-Economic Disruption (Loss of Business Frontage)</w:t>
        <w:br/>
        <w:t>- Impact: Potential temporary or permanent displacement of informal vendors and commercial structures situated along the Way Leave boundary.</w:t>
        <w:br/>
        <w:t>- Mitigation Strategy: A comprehensive Resettlement Action Plan (RAP) will be developed. All compensation assessments will be executed based on current Valuer-General rates prior to the commencement of any civil works. Notice to vacate will be issued with adequate transition time.</w:t>
        <w:br/>
        <w:t>- Responsible Party: KeNHA (Land Acquisition Department) &amp; National Land Commission</w:t>
        <w:br/>
        <w:t>- Monitoring Frequency: Continuous throughout the pre-construction phase.</w:t>
        <w:br/>
        <w:t>- Estimated Cost Allocation: Budgeted under the main project RAP fund.</w:t>
        <w:br/>
        <w:br/>
        <w:t>3. Local Employment Opportunities</w:t>
        <w:br/>
        <w:t>- Impact: Community anxiety regarding the influx of migrant labor and the exclusion of local youth from project benefits.</w:t>
        <w:br/>
        <w:t>- Mitigation Strategy: KeNHA and the Contractor commit to an affirmative action hiring policy. A minimum of 30% of all unskilled and semi-skilled labor positions will be strictly reserved for verified residents of the Ruiru Sub-county. Recruitment will be conducted transparently through the local Chief's office.</w:t>
        <w:br/>
        <w:t>- Responsible Party: Principal Contractor (Human Resources) &amp; Local Administration</w:t>
        <w:br/>
        <w:t>- Monitoring Frequency: Monthly employment audits.</w:t>
        <w:br/>
        <w:t>- Estimated Cost Allocation: Integrated into Contractor's overheads.</w:t>
      </w:r>
    </w:p>
    <w:p>
      <w:r>
        <w:br w:type="page"/>
      </w:r>
    </w:p>
    <w:p>
      <w:pPr>
        <w:pStyle w:val="Heading1"/>
      </w:pPr>
      <w:r>
        <w:t>5. Conclusion and Recommendations</w:t>
      </w:r>
    </w:p>
    <w:p>
      <w:r>
        <w:t>Based on the detailed environmental and social assessment, the Thika Road - Ruiru Bypass Upgrade Project is fundamentally viable. While the project will induce temporary negative impacts during the construction phase—such as localized dust emissions, elevated noise levels, and minor socio-economic disruptions—these impacts are largely reversible and can be effectively managed. The implementation of the robust ESMMP outlined in this report will ensure that all identified risks are mitigated to acceptable levels.</w:t>
        <w:br/>
        <w:br/>
        <w:t>Conversely, the project will deliver profound long-term positive impacts, including enhanced regional transport efficiency, significant reduction in traffic congestion in Ruiru town, and the stimulation of local economic growth through employment creation and improved market access. Therefore, it is strongly recommended that the National Environment Management Authority (NEMA) issues an EIA License for the project, subject to the proponent's strict adherence to the proposed environmental and social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