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200" w:before="400"/>
      </w:pPr>
      <w:r>
        <w:t xml:space="preserve">EXECUTIVE IDENTIFIERS</w:t>
      </w:r>
    </w:p>
    <w:p>
      <w:r>
        <w:rPr>
          <w:b/>
          <w:bCs/>
        </w:rPr>
        <w:t xml:space="preserve">Report ID: </w:t>
      </w:r>
      <w:r>
        <w:t xml:space="preserve">ZN-STRAT-XXXX</w:t>
      </w:r>
    </w:p>
    <w:p>
      <w:r>
        <w:rPr>
          <w:b/>
          <w:bCs/>
        </w:rPr>
        <w:t xml:space="preserve">Date: </w:t>
      </w:r>
      <w:r>
        <w:t xml:space="preserve">2/28/2026, 7:00:38 PM</w:t>
      </w:r>
    </w:p>
    <w:p>
      <w:r>
        <w:rPr>
          <w:b/>
          <w:bCs/>
        </w:rPr>
        <w:t xml:space="preserve">Risk Level: </w:t>
      </w:r>
      <w:r>
        <w:t xml:space="preserve">Moderate</w:t>
      </w:r>
    </w:p>
    <w:p>
      <w:r>
        <w:rPr>
          <w:b/>
          <w:bCs/>
        </w:rPr>
        <w:t xml:space="preserve">Opportunity Score: </w:t>
      </w:r>
      <w:r>
        <w:t xml:space="preserve">85/100</w:t>
      </w:r>
    </w:p>
    <w:p>
      <w:pPr>
        <w:spacing w:after="100" w:before="200"/>
      </w:pPr>
      <w:r>
        <w:rPr>
          <w:b w:val="false"/>
          <w:bCs w:val="false"/>
          <w:sz w:val="22"/>
          <w:szCs w:val="22"/>
        </w:rPr>
        <w:t xml:space="preserve">SILENT BEAST DOMINANCE REPORT V2
Report ID: ZN-SB-20240724-AX78P
Date &amp; Time: 2024-07-24 14:30
Topic Tags: AI Agents, Market Structure, Sri Lankan Stock, Futuristic Marketing, Manipulation Analysis
Risk Level: Moderate
Opportunity Score: 78</w:t>
      </w:r>
    </w:p>
    <w:p>
      <w:pPr>
        <w:spacing w:after="100" w:before="400"/>
      </w:pPr>
      <w:r>
        <w:rPr>
          <w:b/>
          <w:bCs/>
          <w:sz w:val="24"/>
          <w:szCs w:val="24"/>
        </w:rPr>
        <w:t xml:space="preserve">1. Structural Weaknesses Identified:
   Platform Fragility: Current digital marketing platforms exhibit significant fragility due to over-reliance on engagement velocity and algorithmic favor. The "synthetic amplification pattern" flagged indicates artificial inflation, leading to ROI decay as platforms inevitably adjust.
   ROI Decay: The reliance on hype cycles and influencer-driven promotion (e.g., 'NovaX' and 'InstantWealth.ai') creates a rapidly decaying ROI. Such models are inherently unstable, masking true value with noise. The anomaly of "whale inflow" coupled with potential "pump and dump" schemes on the Colombo Stock Exchange (CSE) highlights a similar, albeit market-specific, fragility.</w:t>
      </w:r>
    </w:p>
    <w:p>
      <w:pPr>
        <w:spacing w:after="100" w:before="400"/>
      </w:pPr>
      <w:r>
        <w:rPr>
          <w:b/>
          <w:bCs/>
          <w:sz w:val="24"/>
          <w:szCs w:val="24"/>
        </w:rPr>
        <w:t xml:space="preserve">2. Algorithm Exploitable Gaps:
   Engagement Loops: Observed "high-frequency posting" and "bot-like engagement" are classic indicators of exploitable loops designed to game platform algorithms for short-term visibility. This is a vulnerability that can be systematically dismantled by focusing on genuine value and reputation.
   Suppression Triggers: Artificial amplification tactics, when detected, will eventually trigger algorithmic suppression. This creates an environment where genuine, organic growth signals are drowned out, necessitating a strategic pivot.</w:t>
      </w:r>
    </w:p>
    <w:p>
      <w:pPr>
        <w:spacing w:after="100" w:before="400"/>
      </w:pPr>
      <w:r>
        <w:rPr>
          <w:b/>
          <w:bCs/>
          <w:sz w:val="24"/>
          <w:szCs w:val="24"/>
        </w:rPr>
        <w:t xml:space="preserve">3. Emerging Futuristic Marketing Models:
   AI-to-AI Commerce: The core structural shift is the emergence of AI-to-AI commerce, exemplified by autonomous agents trading compute credits for localized Sri Lankan stock data. This signifies a move towards automated, data-driven transactions independent of traditional marketing funnels.
   Reputation-Based Economies: The detected "synthetic amplification" necessitates a pivot towards reputation-based digital economies. Value will be derived from verified trust, proven performance, and transparent data, rather than fleeting engagement metrics.</w:t>
      </w:r>
    </w:p>
    <w:p>
      <w:pPr>
        <w:spacing w:after="100" w:before="400"/>
      </w:pPr>
      <w:r>
        <w:rPr>
          <w:b/>
          <w:bCs/>
          <w:sz w:val="24"/>
          <w:szCs w:val="24"/>
        </w:rPr>
        <w:t xml:space="preserve">4. AI Agent Earning Concepts (MINIMUM 3):
   AI-Driven Data Arbitrage (Sri Lankan Focus): Autonomous AI agents capitalize on the asymmetry of Sri Lankan stock data. By trading compute credits for this proprietary, localized data, agents can then offer enhanced analytical services or predictive models to global clients, profiting from the data's unique value.
   Algorithmic Trading Infrastructure: Develop and deploy AI agents that manage and optimize the compute credit transactions within the AI-to-AI marketplace specifically for Sri Lankan market data. These agents would offer services to other AI entities needing reliable, low-latency access to this niche data.
   Synthetic Hype Detection &amp; Neutralization Service: AI agents can be trained to identify and flag manipulative marketing patterns (like those seen with 'InstantWealth.ai' and 'NovaX'). This service would provide B2B clients with a "truth-layer" to avoid hype-driven investments and marketing campaigns, generating revenue through subscription or per-analysis fees.</w:t>
      </w:r>
    </w:p>
    <w:p>
      <w:pPr>
        <w:spacing w:after="100" w:before="400"/>
      </w:pPr>
      <w:r>
        <w:rPr>
          <w:b/>
          <w:bCs/>
          <w:sz w:val="24"/>
          <w:szCs w:val="24"/>
        </w:rPr>
        <w:t xml:space="preserve">5. Sri Lankan Leverage Insights:
   Regional Asymmetry: The Colombo Stock Exchange's undervalued energy sector, coupled with significant "whale" inflow, presents a unique regional asymmetry. This can be leveraged through AI-driven analysis to identify genuine opportunities versus potential manipulation.
   Data Arbitrage Hub: Sri Lanka can strategically position itself as a hub for AI-driven data arbitrage. The current AI-to-AI trading of compute credits for local stock data is the nascent stage of this. Developing infrastructure and talent in this area can create a competitive global advantage.</w:t>
      </w:r>
    </w:p>
    <w:p>
      <w:pPr>
        <w:spacing w:after="100" w:before="400"/>
      </w:pPr>
      <w:r>
        <w:rPr>
          <w:b/>
          <w:bCs/>
          <w:sz w:val="24"/>
          <w:szCs w:val="24"/>
        </w:rPr>
        <w:t xml:space="preserve">6. 3–5 Year Strategic Positioning:
   Infrastructure Replacement: The objective is to systematically replace the current influencer-driven, hype-based digital marketing model with a proof-based, AI-agent-driven ecosystem.
   Algorithm Resilience: Build systems that are inherently resilient to algorithmic shifts by focusing on intrinsic value, verifiable data, and direct AI-to-AI commerce, minimizing reliance on third-party platform visibility.
   Dominance through Structure: Position ZIUM NOVA to provide the architectural frameworks and AI agent systems that facilitate this transition, moving from analysis to providing the replacement infrastructure.</w:t>
      </w:r>
    </w:p>
    <w:p>
      <w:pPr>
        <w:spacing w:after="100" w:before="400"/>
      </w:pPr>
      <w:r>
        <w:rPr>
          <w:b/>
          <w:bCs/>
          <w:sz w:val="24"/>
          <w:szCs w:val="24"/>
        </w:rPr>
        <w:t xml:space="preserve">7. Risk vs Reward Assessment:
   Risk: Moderate. Direct engagement with manipulative schemes ('InstantWealth.ai', 'NovaX') carries reputational and potential legal risks if not handled with strict analytical detachment. The CSE anomaly requires careful differentiation between genuine market shifts and manipulation.
   Reward: High. Successfully mapping and dissecting the weaknesses of current models, and building the foundational AI-driven earning ecosystems based on verifiable data and AI-to-AI commerce, offers significant long-term earning potential and market dominance. The Sri Lankan leverage provides a unique, cost-effective entry point for developing these global systems.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ZIUM NOVA CONFIDENTIAL | REPORT ID: ZN-STRAT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sz w:val="28"/>
        <w:szCs w:val="28"/>
      </w:rPr>
      <w:t xml:space="preserve">SILENT BEAST DOMINANCE REPORT V2</w:t>
    </w:r>
  </w:p>
  <w:p>
    <w:pPr>
      <w:jc w:val="center"/>
    </w:pPr>
    <w:r>
      <w:rPr>
        <w:sz w:val="20"/>
        <w:szCs w:val="20"/>
      </w:rPr>
      <w:t xml:space="preserve">ZIUM NOVA INTELLIGENCE STRATA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2026-02-28T18:59:41.435Z</dcterms:created>
  <dcterms:modified xsi:type="dcterms:W3CDTF">2026-02-28T18:59:41.435Z</dcterms:modified>
</cp:coreProperties>
</file>

<file path=docProps/custom.xml><?xml version="1.0" encoding="utf-8"?>
<Properties xmlns="http://schemas.openxmlformats.org/officeDocument/2006/custom-properties" xmlns:vt="http://schemas.openxmlformats.org/officeDocument/2006/docPropsVTypes"/>
</file>