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30E0" w14:textId="77777777" w:rsidR="00021CE5" w:rsidRDefault="00000000">
      <w:pPr>
        <w:spacing w:after="160"/>
      </w:pPr>
      <w:r>
        <w:rPr>
          <w:b/>
          <w:bCs/>
          <w:color w:val="1A2A3A"/>
          <w:sz w:val="40"/>
          <w:szCs w:val="40"/>
        </w:rPr>
        <w:t>Liquidity Transformation and Fragility in the US Banking Sector</w:t>
      </w:r>
    </w:p>
    <w:p w14:paraId="4E0D30E1" w14:textId="77777777" w:rsidR="00021CE5" w:rsidRDefault="00000000">
      <w:pPr>
        <w:spacing w:after="80"/>
      </w:pPr>
      <w:r>
        <w:rPr>
          <w:color w:val="555555"/>
          <w:sz w:val="24"/>
          <w:szCs w:val="24"/>
        </w:rPr>
        <w:t xml:space="preserve">Chen, Goldstein, Huang &amp; </w:t>
      </w:r>
      <w:proofErr w:type="spellStart"/>
      <w:proofErr w:type="gramStart"/>
      <w:r>
        <w:rPr>
          <w:color w:val="555555"/>
          <w:sz w:val="24"/>
          <w:szCs w:val="24"/>
        </w:rPr>
        <w:t>Vashishtha</w:t>
      </w:r>
      <w:proofErr w:type="spellEnd"/>
      <w:r>
        <w:rPr>
          <w:color w:val="555555"/>
          <w:sz w:val="24"/>
          <w:szCs w:val="24"/>
        </w:rPr>
        <w:t xml:space="preserve">  ·</w:t>
      </w:r>
      <w:proofErr w:type="gramEnd"/>
      <w:r>
        <w:rPr>
          <w:color w:val="555555"/>
          <w:sz w:val="24"/>
          <w:szCs w:val="24"/>
        </w:rPr>
        <w:t xml:space="preserve">  Journal of Finance, December 2024</w:t>
      </w:r>
    </w:p>
    <w:p w14:paraId="4E0D30E2" w14:textId="77777777" w:rsidR="00021CE5" w:rsidRDefault="00000000">
      <w:r>
        <w:rPr>
          <w:i/>
          <w:iCs/>
          <w:color w:val="777777"/>
        </w:rPr>
        <w:t xml:space="preserve">PhD Seminar in Banking &amp; </w:t>
      </w:r>
      <w:proofErr w:type="gramStart"/>
      <w:r>
        <w:rPr>
          <w:i/>
          <w:iCs/>
          <w:color w:val="777777"/>
        </w:rPr>
        <w:t>Finance  ·</w:t>
      </w:r>
      <w:proofErr w:type="gramEnd"/>
      <w:r>
        <w:rPr>
          <w:i/>
          <w:iCs/>
          <w:color w:val="777777"/>
        </w:rPr>
        <w:t xml:space="preserve">  Speaker &amp; Audience Reference</w:t>
      </w:r>
    </w:p>
    <w:p w14:paraId="4E0D30E3" w14:textId="77777777" w:rsidR="00021CE5" w:rsidRDefault="00021CE5">
      <w:pPr>
        <w:pBdr>
          <w:bottom w:val="single" w:sz="12" w:space="0" w:color="C0392B"/>
        </w:pBdr>
        <w:spacing w:before="200" w:after="320"/>
      </w:pPr>
    </w:p>
    <w:p w14:paraId="4E0D30E4" w14:textId="77777777" w:rsidR="00021CE5" w:rsidRDefault="00000000">
      <w:pPr>
        <w:spacing w:after="280"/>
      </w:pPr>
      <w:r>
        <w:rPr>
          <w:b/>
          <w:bCs/>
          <w:sz w:val="21"/>
          <w:szCs w:val="21"/>
        </w:rPr>
        <w:t xml:space="preserve">How to use this document: </w:t>
      </w:r>
      <w:r>
        <w:rPr>
          <w:i/>
          <w:iCs/>
          <w:color w:val="444444"/>
          <w:sz w:val="21"/>
          <w:szCs w:val="21"/>
        </w:rPr>
        <w:t>This reference accompanies the Quarto/</w:t>
      </w:r>
      <w:proofErr w:type="spellStart"/>
      <w:r>
        <w:rPr>
          <w:i/>
          <w:iCs/>
          <w:color w:val="444444"/>
          <w:sz w:val="21"/>
          <w:szCs w:val="21"/>
        </w:rPr>
        <w:t>RevealJS</w:t>
      </w:r>
      <w:proofErr w:type="spellEnd"/>
      <w:r>
        <w:rPr>
          <w:i/>
          <w:iCs/>
          <w:color w:val="444444"/>
          <w:sz w:val="21"/>
          <w:szCs w:val="21"/>
        </w:rPr>
        <w:t xml:space="preserve"> slide deck. Each section maps to a slide or group of slides. Speaker notes in the shaded boxes give guidance on pacing, emphasis, and anticipated audience questions. Audience notes provide the conceptual scaffolding that the slides intentionally compress.</w:t>
      </w:r>
    </w:p>
    <w:p w14:paraId="4E0D30E5" w14:textId="77777777" w:rsidR="00021CE5" w:rsidRDefault="00000000">
      <w:pPr>
        <w:pStyle w:val="Heading1"/>
        <w:pBdr>
          <w:bottom w:val="single" w:sz="8" w:space="4" w:color="C0392B"/>
        </w:pBdr>
        <w:spacing w:before="360" w:after="120"/>
      </w:pPr>
      <w:r>
        <w:t>Part 1: Motivation — Why Do Banks Run?</w:t>
      </w:r>
    </w:p>
    <w:p w14:paraId="4E0D30E6" w14:textId="77777777" w:rsidR="00021CE5" w:rsidRDefault="00000000">
      <w:pPr>
        <w:pStyle w:val="Heading2"/>
      </w:pPr>
      <w:r>
        <w:t>Slide: What Does a Bank Actually Do?</w:t>
      </w:r>
    </w:p>
    <w:p w14:paraId="4E0D30E7" w14:textId="77777777" w:rsidR="00021CE5" w:rsidRDefault="00000000">
      <w:pPr>
        <w:spacing w:before="200" w:after="60"/>
      </w:pPr>
      <w:r>
        <w:rPr>
          <w:b/>
          <w:bCs/>
          <w:color w:val="C0392B"/>
        </w:rPr>
        <w:t>Core Concept</w:t>
      </w:r>
    </w:p>
    <w:p w14:paraId="4E0D30E8" w14:textId="77777777" w:rsidR="00021CE5" w:rsidRDefault="00000000">
      <w:pPr>
        <w:spacing w:before="60" w:after="80"/>
      </w:pPr>
      <w:r>
        <w:t xml:space="preserve">Banks engage in liquidity transformation: they borrow short (demand deposits, liquid claims) and lend long (mortgages, commercial loans, illiquid assets). This mismatch is the fundamental source of economic value banks create — </w:t>
      </w:r>
      <w:proofErr w:type="gramStart"/>
      <w:r>
        <w:t>and also</w:t>
      </w:r>
      <w:proofErr w:type="gramEnd"/>
      <w:r>
        <w:t xml:space="preserve"> the source of their inherent fragility.</w:t>
      </w:r>
    </w:p>
    <w:p w14:paraId="4E0D30E9"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0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0EA" w14:textId="77777777" w:rsidR="00021CE5" w:rsidRDefault="00000000">
            <w:pPr>
              <w:spacing w:before="30" w:after="30"/>
            </w:pPr>
            <w:r>
              <w:rPr>
                <w:i/>
                <w:iCs/>
                <w:color w:val="444444"/>
                <w:sz w:val="20"/>
                <w:szCs w:val="20"/>
              </w:rPr>
              <w:t>⏱  Timing: 3–4 minutes. This is setup — do not rush, but don't dwell.</w:t>
            </w:r>
          </w:p>
        </w:tc>
      </w:tr>
      <w:tr w:rsidR="00021CE5" w14:paraId="4E0D30E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0EC" w14:textId="77777777" w:rsidR="00021CE5" w:rsidRDefault="00000000">
            <w:pPr>
              <w:spacing w:before="30" w:after="30"/>
            </w:pPr>
            <w:r>
              <w:rPr>
                <w:i/>
                <w:iCs/>
                <w:color w:val="444444"/>
                <w:sz w:val="20"/>
                <w:szCs w:val="20"/>
              </w:rPr>
              <w:t>Open by asking: 'What would happen if every depositor tried to withdraw at the same time?' Let the room answer briefly.</w:t>
            </w:r>
          </w:p>
        </w:tc>
      </w:tr>
      <w:tr w:rsidR="00021CE5" w14:paraId="4E0D30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0EE" w14:textId="77777777" w:rsidR="00021CE5" w:rsidRDefault="00000000">
            <w:pPr>
              <w:spacing w:before="30" w:after="30"/>
            </w:pPr>
            <w:r>
              <w:rPr>
                <w:i/>
                <w:iCs/>
                <w:color w:val="444444"/>
                <w:sz w:val="20"/>
                <w:szCs w:val="20"/>
              </w:rPr>
              <w:t>Emphasize the balance sheet diagram: assets are locked, liabilities are not. The mismatch is intentional and valuable — but creates a vulnerability.</w:t>
            </w:r>
          </w:p>
        </w:tc>
      </w:tr>
      <w:tr w:rsidR="00021CE5" w14:paraId="4E0D30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0F0" w14:textId="77777777" w:rsidR="00021CE5" w:rsidRDefault="00000000">
            <w:pPr>
              <w:spacing w:before="30" w:after="30"/>
            </w:pPr>
            <w:r>
              <w:rPr>
                <w:i/>
                <w:iCs/>
                <w:color w:val="444444"/>
                <w:sz w:val="20"/>
                <w:szCs w:val="20"/>
              </w:rPr>
              <w:t>Key phrase to use: 'The very thing that makes banks useful to society is the same thing that makes them fragile.'</w:t>
            </w:r>
          </w:p>
        </w:tc>
      </w:tr>
    </w:tbl>
    <w:p w14:paraId="4E0D30F2" w14:textId="77777777" w:rsidR="00021CE5" w:rsidRDefault="00021CE5">
      <w:pPr>
        <w:spacing w:before="80"/>
      </w:pPr>
    </w:p>
    <w:p w14:paraId="4E0D30F3" w14:textId="77777777" w:rsidR="00021CE5" w:rsidRDefault="00000000">
      <w:pPr>
        <w:pStyle w:val="Heading2"/>
      </w:pPr>
      <w:r>
        <w:t>Slide: Two Types of Bank Runs</w:t>
      </w:r>
    </w:p>
    <w:p w14:paraId="4E0D30F4" w14:textId="77777777" w:rsidR="00021CE5" w:rsidRDefault="00000000">
      <w:pPr>
        <w:spacing w:before="200" w:after="60"/>
      </w:pPr>
      <w:r>
        <w:rPr>
          <w:b/>
          <w:bCs/>
          <w:color w:val="C0392B"/>
        </w:rPr>
        <w:t>Core Concept</w:t>
      </w:r>
    </w:p>
    <w:p w14:paraId="4E0D30F5" w14:textId="77777777" w:rsidR="00021CE5" w:rsidRDefault="00000000">
      <w:pPr>
        <w:spacing w:before="60" w:after="80"/>
      </w:pPr>
      <w:r>
        <w:t>The distinction between fundamentals-based and panic-based runs is the intellectual foundation of the entire paper. A fundamentals-based run is a rational response to bad information — if the bank is genuinely insolvent, withdrawals are correct. A panic-based run is a coordination failure — even a perfectly solvent bank can fail if enough depositors simultaneously fear that others will withdraw first.</w:t>
      </w:r>
    </w:p>
    <w:p w14:paraId="4E0D30F6"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0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0F7" w14:textId="77777777" w:rsidR="00021CE5" w:rsidRDefault="00000000">
            <w:r>
              <w:rPr>
                <w:b/>
                <w:bCs/>
                <w:color w:val="FFFFFF"/>
                <w:sz w:val="20"/>
                <w:szCs w:val="20"/>
              </w:rPr>
              <w:t xml:space="preserve">Why </w:t>
            </w:r>
            <w:proofErr w:type="gramStart"/>
            <w:r>
              <w:rPr>
                <w:b/>
                <w:bCs/>
                <w:color w:val="FFFFFF"/>
                <w:sz w:val="20"/>
                <w:szCs w:val="20"/>
              </w:rPr>
              <w:t>the Distinction</w:t>
            </w:r>
            <w:proofErr w:type="gramEnd"/>
            <w:r>
              <w:rPr>
                <w:b/>
                <w:bCs/>
                <w:color w:val="FFFFFF"/>
                <w:sz w:val="20"/>
                <w:szCs w:val="20"/>
              </w:rPr>
              <w:t xml:space="preserve"> Matters for Policy</w:t>
            </w:r>
          </w:p>
        </w:tc>
      </w:tr>
      <w:tr w:rsidR="00021CE5" w14:paraId="4E0D30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0F9" w14:textId="77777777" w:rsidR="00021CE5" w:rsidRDefault="00000000">
            <w:pPr>
              <w:spacing w:before="20" w:after="20"/>
            </w:pPr>
            <w:r>
              <w:rPr>
                <w:color w:val="222222"/>
                <w:sz w:val="21"/>
                <w:szCs w:val="21"/>
              </w:rPr>
              <w:t>Fundamentals run → correct market discipline, let it fail, no policy intervention needed.</w:t>
            </w:r>
          </w:p>
        </w:tc>
      </w:tr>
      <w:tr w:rsidR="00021CE5" w14:paraId="4E0D30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0FB" w14:textId="77777777" w:rsidR="00021CE5" w:rsidRDefault="00000000">
            <w:pPr>
              <w:spacing w:before="20" w:after="20"/>
            </w:pPr>
            <w:r>
              <w:rPr>
                <w:color w:val="222222"/>
                <w:sz w:val="21"/>
                <w:szCs w:val="21"/>
              </w:rPr>
              <w:lastRenderedPageBreak/>
              <w:t>Panic run → market failure, welfare loss, potentially insolvent of perfectly good banks.</w:t>
            </w:r>
          </w:p>
        </w:tc>
      </w:tr>
      <w:tr w:rsidR="00021CE5" w14:paraId="4E0D30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0FD" w14:textId="77777777" w:rsidR="00021CE5" w:rsidRDefault="00000000">
            <w:pPr>
              <w:spacing w:before="20" w:after="20"/>
            </w:pPr>
            <w:r>
              <w:rPr>
                <w:color w:val="222222"/>
                <w:sz w:val="21"/>
                <w:szCs w:val="21"/>
              </w:rPr>
              <w:t>Policy tools are completely different: deposit insurance and lender of last resort (</w:t>
            </w:r>
            <w:proofErr w:type="spellStart"/>
            <w:r>
              <w:rPr>
                <w:color w:val="222222"/>
                <w:sz w:val="21"/>
                <w:szCs w:val="21"/>
              </w:rPr>
              <w:t>LOLR</w:t>
            </w:r>
            <w:proofErr w:type="spellEnd"/>
            <w:r>
              <w:rPr>
                <w:color w:val="222222"/>
                <w:sz w:val="21"/>
                <w:szCs w:val="21"/>
              </w:rPr>
              <w:t>) only make sense against panic runs. They would merely subsidize bad management if applied to fundamentals runs.</w:t>
            </w:r>
          </w:p>
        </w:tc>
      </w:tr>
      <w:tr w:rsidR="00021CE5" w14:paraId="4E0D31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0FF" w14:textId="77777777" w:rsidR="00021CE5" w:rsidRDefault="00000000">
            <w:pPr>
              <w:spacing w:before="20" w:after="20"/>
            </w:pPr>
            <w:r>
              <w:rPr>
                <w:color w:val="222222"/>
                <w:sz w:val="21"/>
                <w:szCs w:val="21"/>
              </w:rPr>
              <w:t>Diamond &amp; Dybvig (1983) showed both types coexist as equilibria in the same model. This creates the core empirical puzzle: how do you know which type you're observing?</w:t>
            </w:r>
          </w:p>
        </w:tc>
      </w:tr>
    </w:tbl>
    <w:p w14:paraId="4E0D3101" w14:textId="77777777" w:rsidR="00021CE5" w:rsidRDefault="00021CE5">
      <w:pPr>
        <w:spacing w:before="8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02" w14:textId="77777777" w:rsidR="00021CE5" w:rsidRDefault="00000000">
            <w:pPr>
              <w:spacing w:before="30" w:after="30"/>
            </w:pPr>
            <w:r>
              <w:rPr>
                <w:i/>
                <w:iCs/>
                <w:color w:val="444444"/>
                <w:sz w:val="20"/>
                <w:szCs w:val="20"/>
              </w:rPr>
              <w:t>⏱  Timing: 4–5 minutes. The comparison table on the slide is worth spending time on.</w:t>
            </w:r>
          </w:p>
        </w:tc>
      </w:tr>
      <w:tr w:rsidR="00021CE5" w14:paraId="4E0D31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04" w14:textId="77777777" w:rsidR="00021CE5" w:rsidRDefault="00000000">
            <w:pPr>
              <w:spacing w:before="30" w:after="30"/>
            </w:pPr>
            <w:r>
              <w:rPr>
                <w:i/>
                <w:iCs/>
                <w:color w:val="444444"/>
                <w:sz w:val="20"/>
                <w:szCs w:val="20"/>
              </w:rPr>
              <w:t>Audience question to anticipate: 'But aren't fundamentals runs also rational?' Yes — the key is that panic runs can destroy solvent banks. That is the market failure.</w:t>
            </w:r>
          </w:p>
        </w:tc>
      </w:tr>
      <w:tr w:rsidR="00021CE5" w14:paraId="4E0D31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06" w14:textId="77777777" w:rsidR="00021CE5" w:rsidRDefault="00000000">
            <w:pPr>
              <w:spacing w:before="30" w:after="30"/>
            </w:pPr>
            <w:r>
              <w:rPr>
                <w:i/>
                <w:iCs/>
                <w:color w:val="444444"/>
                <w:sz w:val="20"/>
                <w:szCs w:val="20"/>
              </w:rPr>
              <w:t xml:space="preserve">Draw the connection to </w:t>
            </w:r>
            <w:proofErr w:type="spellStart"/>
            <w:r>
              <w:rPr>
                <w:i/>
                <w:iCs/>
                <w:color w:val="444444"/>
                <w:sz w:val="20"/>
                <w:szCs w:val="20"/>
              </w:rPr>
              <w:t>SVB</w:t>
            </w:r>
            <w:proofErr w:type="spellEnd"/>
            <w:r>
              <w:rPr>
                <w:i/>
                <w:iCs/>
                <w:color w:val="444444"/>
                <w:sz w:val="20"/>
                <w:szCs w:val="20"/>
              </w:rPr>
              <w:t xml:space="preserve"> 2023: </w:t>
            </w:r>
            <w:proofErr w:type="spellStart"/>
            <w:r>
              <w:rPr>
                <w:i/>
                <w:iCs/>
                <w:color w:val="444444"/>
                <w:sz w:val="20"/>
                <w:szCs w:val="20"/>
              </w:rPr>
              <w:t>SVB</w:t>
            </w:r>
            <w:proofErr w:type="spellEnd"/>
            <w:r>
              <w:rPr>
                <w:i/>
                <w:iCs/>
                <w:color w:val="444444"/>
                <w:sz w:val="20"/>
                <w:szCs w:val="20"/>
              </w:rPr>
              <w:t xml:space="preserve"> had genuine losses (unrealized bond losses), but the run was still arguably self-fulfilling — it collapsed before anyone could verify actual insolvency.</w:t>
            </w:r>
          </w:p>
        </w:tc>
      </w:tr>
      <w:tr w:rsidR="00021CE5" w14:paraId="4E0D31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08" w14:textId="77777777" w:rsidR="00021CE5" w:rsidRDefault="00000000">
            <w:pPr>
              <w:spacing w:before="30" w:after="30"/>
            </w:pPr>
            <w:r>
              <w:rPr>
                <w:i/>
                <w:iCs/>
                <w:color w:val="444444"/>
                <w:sz w:val="20"/>
                <w:szCs w:val="20"/>
              </w:rPr>
              <w:t xml:space="preserve">The DD (1983) callout at the bottom deserves emphasis: this one paper underpins deposit insurance, </w:t>
            </w:r>
            <w:proofErr w:type="spellStart"/>
            <w:r>
              <w:rPr>
                <w:i/>
                <w:iCs/>
                <w:color w:val="444444"/>
                <w:sz w:val="20"/>
                <w:szCs w:val="20"/>
              </w:rPr>
              <w:t>LOLR</w:t>
            </w:r>
            <w:proofErr w:type="spellEnd"/>
            <w:r>
              <w:rPr>
                <w:i/>
                <w:iCs/>
                <w:color w:val="444444"/>
                <w:sz w:val="20"/>
                <w:szCs w:val="20"/>
              </w:rPr>
              <w:t>, bank regulation. It is not abstract theory.</w:t>
            </w:r>
          </w:p>
        </w:tc>
      </w:tr>
    </w:tbl>
    <w:p w14:paraId="4E0D310A" w14:textId="77777777" w:rsidR="00021CE5" w:rsidRDefault="00021CE5">
      <w:pPr>
        <w:spacing w:before="80"/>
      </w:pPr>
    </w:p>
    <w:p w14:paraId="4E0D310B" w14:textId="77777777" w:rsidR="00021CE5" w:rsidRDefault="00000000">
      <w:pPr>
        <w:pStyle w:val="Heading2"/>
      </w:pPr>
      <w:r>
        <w:t>Slide: Why This Paper? The Empirical Gap</w:t>
      </w:r>
    </w:p>
    <w:p w14:paraId="4E0D310C" w14:textId="77777777" w:rsidR="00021CE5" w:rsidRDefault="00000000">
      <w:pPr>
        <w:spacing w:before="200" w:after="60"/>
      </w:pPr>
      <w:r>
        <w:rPr>
          <w:b/>
          <w:bCs/>
          <w:color w:val="C0392B"/>
        </w:rPr>
        <w:t>Core Concept</w:t>
      </w:r>
    </w:p>
    <w:p w14:paraId="4E0D310D" w14:textId="77777777" w:rsidR="00021CE5" w:rsidRDefault="00000000">
      <w:pPr>
        <w:spacing w:before="60" w:after="80"/>
      </w:pPr>
      <w:r>
        <w:t xml:space="preserve">The 40-year gap between Diamond-Dybvig (1983) and this paper is the central motivation. Theory had advanced considerably — Goldstein &amp; </w:t>
      </w:r>
      <w:proofErr w:type="spellStart"/>
      <w:r>
        <w:t>Pauzner</w:t>
      </w:r>
      <w:proofErr w:type="spellEnd"/>
      <w:r>
        <w:t xml:space="preserve"> (2005) produced sharp testable predictions — but empirical work on banks had not validated the panic mechanism at scale.</w:t>
      </w:r>
    </w:p>
    <w:p w14:paraId="4E0D310E" w14:textId="77777777" w:rsidR="00021CE5" w:rsidRDefault="00021CE5">
      <w:pPr>
        <w:spacing w:before="60"/>
      </w:pPr>
    </w:p>
    <w:p w14:paraId="4E0D310F" w14:textId="77777777" w:rsidR="00021CE5" w:rsidRDefault="00000000">
      <w:pPr>
        <w:spacing w:before="60" w:after="80"/>
      </w:pPr>
      <w:r>
        <w:t>Gorton (1988)'s influential finding that bank crises correlate with bad fundamentals was widely interpreted as evidence against panic. Goldstein (2013) corrected this interpretation: observing fundamental sensitivity is perfectly consistent with panic, because panic amplifies responses to fundamentals rather than replacing them.</w:t>
      </w:r>
    </w:p>
    <w:p w14:paraId="4E0D3110"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111" w14:textId="77777777" w:rsidR="00021CE5" w:rsidRDefault="00000000">
            <w:r>
              <w:rPr>
                <w:b/>
                <w:bCs/>
                <w:color w:val="FFFFFF"/>
                <w:sz w:val="20"/>
                <w:szCs w:val="20"/>
              </w:rPr>
              <w:t>The Identification Problem (for the audience)</w:t>
            </w:r>
          </w:p>
        </w:tc>
      </w:tr>
      <w:tr w:rsidR="00021CE5" w14:paraId="4E0D31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13" w14:textId="77777777" w:rsidR="00021CE5" w:rsidRDefault="00000000">
            <w:pPr>
              <w:spacing w:before="20" w:after="20"/>
            </w:pPr>
            <w:r>
              <w:rPr>
                <w:color w:val="222222"/>
                <w:sz w:val="21"/>
                <w:szCs w:val="21"/>
              </w:rPr>
              <w:t xml:space="preserve">The core challenge: panic and fundamentals are not separate events. Panic is triggered by bad news. </w:t>
            </w:r>
            <w:proofErr w:type="gramStart"/>
            <w:r>
              <w:rPr>
                <w:color w:val="222222"/>
                <w:sz w:val="21"/>
                <w:szCs w:val="21"/>
              </w:rPr>
              <w:t>So</w:t>
            </w:r>
            <w:proofErr w:type="gramEnd"/>
            <w:r>
              <w:rPr>
                <w:color w:val="222222"/>
                <w:sz w:val="21"/>
                <w:szCs w:val="21"/>
              </w:rPr>
              <w:t xml:space="preserve"> both a fundamentals-driven withdrawal and a panic-amplified withdrawal look the same in the data — the depositor left.</w:t>
            </w:r>
          </w:p>
        </w:tc>
      </w:tr>
      <w:tr w:rsidR="00021CE5" w14:paraId="4E0D31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15" w14:textId="77777777" w:rsidR="00021CE5" w:rsidRDefault="00000000">
            <w:pPr>
              <w:spacing w:before="20" w:after="20"/>
            </w:pPr>
            <w:r>
              <w:rPr>
                <w:color w:val="222222"/>
                <w:sz w:val="21"/>
                <w:szCs w:val="21"/>
              </w:rPr>
              <w:t>Solution: exploit cross-sectional variation. If panic is real and is driven by structural features of the bank (mismatch), then two banks experiencing the same bad ROA should have different outflow responses if they differ in mismatch.</w:t>
            </w:r>
          </w:p>
        </w:tc>
      </w:tr>
      <w:tr w:rsidR="00021CE5" w14:paraId="4E0D31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17" w14:textId="77777777" w:rsidR="00021CE5" w:rsidRDefault="00000000">
            <w:pPr>
              <w:spacing w:before="20" w:after="20"/>
            </w:pPr>
            <w:r>
              <w:rPr>
                <w:color w:val="222222"/>
                <w:sz w:val="21"/>
                <w:szCs w:val="21"/>
              </w:rPr>
              <w:t>This is the paper's key insight: use mismatch as a lever to reveal the panic channel, holding fundamentals fixed.</w:t>
            </w:r>
          </w:p>
        </w:tc>
      </w:tr>
    </w:tbl>
    <w:p w14:paraId="4E0D3119" w14:textId="77777777" w:rsidR="00021CE5" w:rsidRDefault="00021CE5">
      <w:pPr>
        <w:spacing w:before="8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1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1A" w14:textId="77777777" w:rsidR="00021CE5" w:rsidRDefault="00000000">
            <w:pPr>
              <w:spacing w:before="30" w:after="30"/>
            </w:pPr>
            <w:r>
              <w:rPr>
                <w:i/>
                <w:iCs/>
                <w:color w:val="444444"/>
                <w:sz w:val="20"/>
                <w:szCs w:val="20"/>
              </w:rPr>
              <w:t>⏱  Timing: 3–4 minutes.</w:t>
            </w:r>
          </w:p>
        </w:tc>
      </w:tr>
      <w:tr w:rsidR="00021CE5" w14:paraId="4E0D31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1C" w14:textId="77777777" w:rsidR="00021CE5" w:rsidRDefault="00000000">
            <w:pPr>
              <w:spacing w:before="30" w:after="30"/>
            </w:pPr>
            <w:r>
              <w:rPr>
                <w:i/>
                <w:iCs/>
                <w:color w:val="444444"/>
                <w:sz w:val="20"/>
                <w:szCs w:val="20"/>
              </w:rPr>
              <w:t>The callout boxes (identification problem and solution) should be read slowly — this is the intellectual pivot of the lecture.</w:t>
            </w:r>
          </w:p>
        </w:tc>
      </w:tr>
      <w:tr w:rsidR="00021CE5" w14:paraId="4E0D31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1E" w14:textId="77777777" w:rsidR="00021CE5" w:rsidRDefault="00000000">
            <w:pPr>
              <w:spacing w:before="30" w:after="30"/>
            </w:pPr>
            <w:r>
              <w:rPr>
                <w:i/>
                <w:iCs/>
                <w:color w:val="444444"/>
                <w:sz w:val="20"/>
                <w:szCs w:val="20"/>
              </w:rPr>
              <w:lastRenderedPageBreak/>
              <w:t xml:space="preserve">Anticipated pushback: 'Maybe high-mismatch banks just have riskier assets?' This is exactly what the </w:t>
            </w:r>
            <w:proofErr w:type="gramStart"/>
            <w:r>
              <w:rPr>
                <w:i/>
                <w:iCs/>
                <w:color w:val="444444"/>
                <w:sz w:val="20"/>
                <w:szCs w:val="20"/>
              </w:rPr>
              <w:t>matched-sample</w:t>
            </w:r>
            <w:proofErr w:type="gramEnd"/>
            <w:r>
              <w:rPr>
                <w:i/>
                <w:iCs/>
                <w:color w:val="444444"/>
                <w:sz w:val="20"/>
                <w:szCs w:val="20"/>
              </w:rPr>
              <w:t xml:space="preserve"> and peer-capital tests address later. Acknowledge it now, defer to Part 6.</w:t>
            </w:r>
          </w:p>
        </w:tc>
      </w:tr>
      <w:tr w:rsidR="00021CE5" w14:paraId="4E0D312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20" w14:textId="77777777" w:rsidR="00021CE5" w:rsidRDefault="00000000">
            <w:pPr>
              <w:spacing w:before="30" w:after="30"/>
            </w:pPr>
            <w:r>
              <w:rPr>
                <w:i/>
                <w:iCs/>
                <w:color w:val="444444"/>
                <w:sz w:val="20"/>
                <w:szCs w:val="20"/>
              </w:rPr>
              <w:t>Mention Chen, Goldstein &amp; Jiang (2010) on mutual funds: the mechanism had already been validated in a cleaner setting. This paper brings it to banks where it matters most for policy.</w:t>
            </w:r>
          </w:p>
        </w:tc>
      </w:tr>
    </w:tbl>
    <w:p w14:paraId="4E0D3122" w14:textId="77777777" w:rsidR="00021CE5" w:rsidRDefault="00021CE5">
      <w:pPr>
        <w:pBdr>
          <w:bottom w:val="single" w:sz="4" w:space="0" w:color="B0C4D8"/>
        </w:pBdr>
        <w:spacing w:before="160" w:after="160"/>
      </w:pPr>
    </w:p>
    <w:p w14:paraId="4E0D3123" w14:textId="77777777" w:rsidR="00021CE5" w:rsidRDefault="00000000">
      <w:pPr>
        <w:pStyle w:val="Heading1"/>
        <w:pBdr>
          <w:bottom w:val="single" w:sz="8" w:space="4" w:color="C0392B"/>
        </w:pBdr>
        <w:spacing w:before="360" w:after="120"/>
      </w:pPr>
      <w:r>
        <w:t>Part 2: Theory I — Diamond-Dybvig</w:t>
      </w:r>
    </w:p>
    <w:p w14:paraId="4E0D3124" w14:textId="77777777" w:rsidR="00021CE5" w:rsidRDefault="00000000">
      <w:pPr>
        <w:pStyle w:val="Heading2"/>
      </w:pPr>
      <w:r>
        <w:t>Slide: The Diamond-Dybvig Setup</w:t>
      </w:r>
    </w:p>
    <w:p w14:paraId="4E0D3125" w14:textId="77777777" w:rsidR="00021CE5" w:rsidRDefault="00000000">
      <w:pPr>
        <w:spacing w:before="200" w:after="60"/>
      </w:pPr>
      <w:r>
        <w:rPr>
          <w:b/>
          <w:bCs/>
          <w:color w:val="C0392B"/>
        </w:rPr>
        <w:t>Core Concept</w:t>
      </w:r>
    </w:p>
    <w:p w14:paraId="4E0D3126" w14:textId="77777777" w:rsidR="00021CE5" w:rsidRDefault="00000000">
      <w:pPr>
        <w:spacing w:before="60" w:after="80"/>
      </w:pPr>
      <w:r>
        <w:t xml:space="preserve">Diamond &amp; Dybvig (1983) constructed a three-period model (t=0, 1, 2) to show that demand deposit contracts — the fundamental banking contract — generate multiple equilibria, one of which is </w:t>
      </w:r>
      <w:proofErr w:type="gramStart"/>
      <w:r>
        <w:t>a bank</w:t>
      </w:r>
      <w:proofErr w:type="gramEnd"/>
      <w:r>
        <w:t xml:space="preserve"> run.</w:t>
      </w:r>
    </w:p>
    <w:p w14:paraId="4E0D3127" w14:textId="77777777" w:rsidR="00021CE5" w:rsidRDefault="00021C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21CE5" w14:paraId="4E0D312B"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128" w14:textId="77777777" w:rsidR="00021CE5" w:rsidRDefault="00000000">
            <w:pPr>
              <w:jc w:val="center"/>
            </w:pPr>
            <w:r>
              <w:rPr>
                <w:b/>
                <w:bCs/>
                <w:color w:val="FFFFFF"/>
                <w:sz w:val="20"/>
                <w:szCs w:val="20"/>
              </w:rPr>
              <w:t>Parameter</w:t>
            </w:r>
          </w:p>
        </w:tc>
        <w:tc>
          <w:tcPr>
            <w:tcW w:w="180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129" w14:textId="77777777" w:rsidR="00021CE5" w:rsidRDefault="00000000">
            <w:pPr>
              <w:jc w:val="center"/>
            </w:pPr>
            <w:r>
              <w:rPr>
                <w:b/>
                <w:bCs/>
                <w:color w:val="FFFFFF"/>
                <w:sz w:val="20"/>
                <w:szCs w:val="20"/>
              </w:rPr>
              <w:t>Value</w:t>
            </w:r>
          </w:p>
        </w:tc>
        <w:tc>
          <w:tcPr>
            <w:tcW w:w="536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12A" w14:textId="77777777" w:rsidR="00021CE5" w:rsidRDefault="00000000">
            <w:pPr>
              <w:jc w:val="center"/>
            </w:pPr>
            <w:r>
              <w:rPr>
                <w:b/>
                <w:bCs/>
                <w:color w:val="FFFFFF"/>
                <w:sz w:val="20"/>
                <w:szCs w:val="20"/>
              </w:rPr>
              <w:t>Interpretation</w:t>
            </w:r>
          </w:p>
        </w:tc>
      </w:tr>
      <w:tr w:rsidR="00021CE5" w14:paraId="4E0D312F"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2C" w14:textId="77777777" w:rsidR="00021CE5" w:rsidRDefault="00000000">
            <w:r>
              <w:rPr>
                <w:sz w:val="20"/>
                <w:szCs w:val="20"/>
              </w:rPr>
              <w:t>R</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2D" w14:textId="77777777" w:rsidR="00021CE5" w:rsidRDefault="00000000">
            <w:r>
              <w:rPr>
                <w:sz w:val="20"/>
                <w:szCs w:val="20"/>
              </w:rPr>
              <w:t>&gt; 1</w:t>
            </w:r>
          </w:p>
        </w:tc>
        <w:tc>
          <w:tcPr>
            <w:tcW w:w="536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2E" w14:textId="77777777" w:rsidR="00021CE5" w:rsidRDefault="00000000">
            <w:r>
              <w:rPr>
                <w:sz w:val="20"/>
                <w:szCs w:val="20"/>
              </w:rPr>
              <w:t>Return on productive investment held to maturity</w:t>
            </w:r>
          </w:p>
        </w:tc>
      </w:tr>
      <w:tr w:rsidR="00021CE5" w14:paraId="4E0D3133"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130" w14:textId="77777777" w:rsidR="00021CE5" w:rsidRDefault="00000000">
            <w:r>
              <w:rPr>
                <w:sz w:val="20"/>
                <w:szCs w:val="20"/>
              </w:rPr>
              <w:t>r₁</w:t>
            </w:r>
          </w:p>
        </w:tc>
        <w:tc>
          <w:tcPr>
            <w:tcW w:w="18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131" w14:textId="77777777" w:rsidR="00021CE5" w:rsidRDefault="00000000">
            <w:r>
              <w:rPr>
                <w:sz w:val="20"/>
                <w:szCs w:val="20"/>
              </w:rPr>
              <w:t>&lt; 1</w:t>
            </w:r>
          </w:p>
        </w:tc>
        <w:tc>
          <w:tcPr>
            <w:tcW w:w="536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132" w14:textId="77777777" w:rsidR="00021CE5" w:rsidRDefault="00000000">
            <w:r>
              <w:rPr>
                <w:sz w:val="20"/>
                <w:szCs w:val="20"/>
              </w:rPr>
              <w:t>Fire-sale value if liquidated early at t=1</w:t>
            </w:r>
          </w:p>
        </w:tc>
      </w:tr>
      <w:tr w:rsidR="00021CE5" w14:paraId="4E0D3137"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34" w14:textId="77777777" w:rsidR="00021CE5" w:rsidRDefault="00000000">
            <w:r>
              <w:rPr>
                <w:sz w:val="20"/>
                <w:szCs w:val="20"/>
              </w:rPr>
              <w:t>λ</w:t>
            </w:r>
          </w:p>
        </w:tc>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35" w14:textId="77777777" w:rsidR="00021CE5" w:rsidRDefault="00000000">
            <w:r>
              <w:rPr>
                <w:sz w:val="20"/>
                <w:szCs w:val="20"/>
              </w:rPr>
              <w:t>0 &lt; λ &lt; 1</w:t>
            </w:r>
          </w:p>
        </w:tc>
        <w:tc>
          <w:tcPr>
            <w:tcW w:w="536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36" w14:textId="77777777" w:rsidR="00021CE5" w:rsidRDefault="00000000">
            <w:r>
              <w:rPr>
                <w:sz w:val="20"/>
                <w:szCs w:val="20"/>
              </w:rPr>
              <w:t>Fraction of impatient depositors (always withdraw at t=1)</w:t>
            </w:r>
          </w:p>
        </w:tc>
      </w:tr>
      <w:tr w:rsidR="00021CE5" w14:paraId="4E0D313B" w14:textId="77777777">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138" w14:textId="77777777" w:rsidR="00021CE5" w:rsidRDefault="00000000">
            <w:r>
              <w:rPr>
                <w:sz w:val="20"/>
                <w:szCs w:val="20"/>
              </w:rPr>
              <w:t>1−λ</w:t>
            </w:r>
          </w:p>
        </w:tc>
        <w:tc>
          <w:tcPr>
            <w:tcW w:w="18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139" w14:textId="77777777" w:rsidR="00021CE5" w:rsidRDefault="00021CE5"/>
        </w:tc>
        <w:tc>
          <w:tcPr>
            <w:tcW w:w="536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13A" w14:textId="77777777" w:rsidR="00021CE5" w:rsidRDefault="00000000">
            <w:r>
              <w:rPr>
                <w:sz w:val="20"/>
                <w:szCs w:val="20"/>
              </w:rPr>
              <w:t>Patient depositors (can wait, but may run strategically)</w:t>
            </w:r>
          </w:p>
        </w:tc>
      </w:tr>
    </w:tbl>
    <w:p w14:paraId="4E0D313C" w14:textId="77777777" w:rsidR="00021CE5" w:rsidRDefault="00021CE5">
      <w:pPr>
        <w:spacing w:before="80"/>
      </w:pPr>
    </w:p>
    <w:p w14:paraId="4E0D313D" w14:textId="77777777" w:rsidR="00021CE5" w:rsidRDefault="00000000">
      <w:pPr>
        <w:spacing w:before="60" w:after="80"/>
      </w:pPr>
      <w:r>
        <w:t>The key mechanism: the bank offers a demand deposit contract paying c₁ &gt; r₁ to early withdrawers (a liquidity premium). This is welfare-improving in normal times. But it also means that if patient depositors expect others to run, they too prefer to run — because the bank will exhaust its liquid resources paying early withdrawers, leaving nothing for latecomers. This is a coordination failure, not insolvency.</w:t>
      </w:r>
    </w:p>
    <w:p w14:paraId="4E0D313E"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3F" w14:textId="77777777" w:rsidR="00021CE5" w:rsidRDefault="00000000">
            <w:pPr>
              <w:spacing w:before="30" w:after="30"/>
            </w:pPr>
            <w:r>
              <w:rPr>
                <w:i/>
                <w:iCs/>
                <w:color w:val="444444"/>
                <w:sz w:val="20"/>
                <w:szCs w:val="20"/>
              </w:rPr>
              <w:t>⏱  Timing: 5 minutes. This slide is dense; walk through each parameter explicitly.</w:t>
            </w:r>
          </w:p>
        </w:tc>
      </w:tr>
      <w:tr w:rsidR="00021CE5" w14:paraId="4E0D314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41" w14:textId="77777777" w:rsidR="00021CE5" w:rsidRDefault="00000000">
            <w:pPr>
              <w:spacing w:before="30" w:after="30"/>
            </w:pPr>
            <w:r>
              <w:rPr>
                <w:i/>
                <w:iCs/>
                <w:color w:val="444444"/>
                <w:sz w:val="20"/>
                <w:szCs w:val="20"/>
              </w:rPr>
              <w:t>Clarify that r₁ &lt; 1 is the fire-sale loss — the bank cannot liquidate all assets at face value quickly. This is the illiquidity penalty.</w:t>
            </w:r>
          </w:p>
        </w:tc>
      </w:tr>
      <w:tr w:rsidR="00021CE5" w14:paraId="4E0D31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43" w14:textId="77777777" w:rsidR="00021CE5" w:rsidRDefault="00000000">
            <w:pPr>
              <w:spacing w:before="30" w:after="30"/>
            </w:pPr>
            <w:r>
              <w:rPr>
                <w:i/>
                <w:iCs/>
                <w:color w:val="444444"/>
                <w:sz w:val="20"/>
                <w:szCs w:val="20"/>
              </w:rPr>
              <w:t>Emphasize: 'The bank is not insolvent. At t=2, R &gt; 1. The run destroys value by forcing premature liquidation.'</w:t>
            </w:r>
          </w:p>
        </w:tc>
      </w:tr>
      <w:tr w:rsidR="00021CE5" w14:paraId="4E0D31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45" w14:textId="77777777" w:rsidR="00021CE5" w:rsidRDefault="00000000">
            <w:pPr>
              <w:spacing w:before="30" w:after="30"/>
            </w:pPr>
            <w:r>
              <w:rPr>
                <w:i/>
                <w:iCs/>
                <w:color w:val="444444"/>
                <w:sz w:val="20"/>
                <w:szCs w:val="20"/>
              </w:rPr>
              <w:t>The two equilibria (good/bad) will be on the slide. Stress: Diamond-Dybvig cannot tell you WHICH equilibrium will occur. This is the limitation that Goldstein-</w:t>
            </w:r>
            <w:proofErr w:type="spellStart"/>
            <w:r>
              <w:rPr>
                <w:i/>
                <w:iCs/>
                <w:color w:val="444444"/>
                <w:sz w:val="20"/>
                <w:szCs w:val="20"/>
              </w:rPr>
              <w:t>Pauzner</w:t>
            </w:r>
            <w:proofErr w:type="spellEnd"/>
            <w:r>
              <w:rPr>
                <w:i/>
                <w:iCs/>
                <w:color w:val="444444"/>
                <w:sz w:val="20"/>
                <w:szCs w:val="20"/>
              </w:rPr>
              <w:t xml:space="preserve"> (Part 3) resolves.</w:t>
            </w:r>
          </w:p>
        </w:tc>
      </w:tr>
    </w:tbl>
    <w:p w14:paraId="4E0D3147" w14:textId="77777777" w:rsidR="00021CE5" w:rsidRDefault="00021CE5">
      <w:pPr>
        <w:spacing w:before="80"/>
      </w:pPr>
    </w:p>
    <w:p w14:paraId="4E0D3148" w14:textId="77777777" w:rsidR="00021CE5" w:rsidRDefault="00000000">
      <w:pPr>
        <w:pStyle w:val="Heading2"/>
      </w:pPr>
      <w:r>
        <w:t>Slide: Strategic Complementarities</w:t>
      </w:r>
    </w:p>
    <w:p w14:paraId="4E0D3149" w14:textId="77777777" w:rsidR="00021CE5" w:rsidRDefault="00000000">
      <w:pPr>
        <w:spacing w:before="200" w:after="60"/>
      </w:pPr>
      <w:r>
        <w:rPr>
          <w:b/>
          <w:bCs/>
          <w:color w:val="C0392B"/>
        </w:rPr>
        <w:t>Core Concept</w:t>
      </w:r>
    </w:p>
    <w:p w14:paraId="4E0D314A" w14:textId="77777777" w:rsidR="00021CE5" w:rsidRDefault="00000000">
      <w:pPr>
        <w:spacing w:before="60" w:after="80"/>
      </w:pPr>
      <w:r>
        <w:t xml:space="preserve">Strategic complementarities describe a situation where one agent's action makes the same action more attractive for others. In banking, withdrawing becomes more attractive the more </w:t>
      </w:r>
      <w:r>
        <w:lastRenderedPageBreak/>
        <w:t>others withdraw — because each withdrawal depletes the bank's liquid buffer, imposing costs on those who wait.</w:t>
      </w:r>
    </w:p>
    <w:p w14:paraId="4E0D314B" w14:textId="77777777" w:rsidR="00021CE5" w:rsidRDefault="00021CE5">
      <w:pPr>
        <w:spacing w:before="60"/>
      </w:pPr>
    </w:p>
    <w:p w14:paraId="4E0D314C" w14:textId="77777777" w:rsidR="00021CE5" w:rsidRDefault="00000000">
      <w:pPr>
        <w:spacing w:before="60" w:after="80"/>
      </w:pPr>
      <w:r>
        <w:t xml:space="preserve">The critical link to liquidity </w:t>
      </w:r>
      <w:proofErr w:type="gramStart"/>
      <w:r>
        <w:t>mismatch</w:t>
      </w:r>
      <w:proofErr w:type="gramEnd"/>
      <w:r>
        <w:t>: a bank with more illiquid assets faces steeper fire-sale losses when it must liquidate. This makes each withdrawal more damaging to remaining depositors, strengthening the incentive for everyone to withdraw preemptively. Similarly, a bank with more uninsured depositors faces a larger pool of at-risk agents who all face the same coordination problem.</w:t>
      </w:r>
    </w:p>
    <w:p w14:paraId="4E0D314D"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4E" w14:textId="77777777" w:rsidR="00021CE5" w:rsidRDefault="00000000">
            <w:pPr>
              <w:spacing w:before="30" w:after="30"/>
            </w:pPr>
            <w:r>
              <w:rPr>
                <w:i/>
                <w:iCs/>
                <w:color w:val="444444"/>
                <w:sz w:val="20"/>
                <w:szCs w:val="20"/>
              </w:rPr>
              <w:t>⏱  Timing: 3–4 minutes.</w:t>
            </w:r>
          </w:p>
        </w:tc>
      </w:tr>
      <w:tr w:rsidR="00021CE5" w14:paraId="4E0D31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50" w14:textId="77777777" w:rsidR="00021CE5" w:rsidRDefault="00000000">
            <w:pPr>
              <w:spacing w:before="30" w:after="30"/>
            </w:pPr>
            <w:r>
              <w:rPr>
                <w:i/>
                <w:iCs/>
                <w:color w:val="444444"/>
                <w:sz w:val="20"/>
                <w:szCs w:val="20"/>
              </w:rPr>
              <w:t>Use the table on the slide to drive home the comparative static: same bank, different mismatch levels → different urgency to run.</w:t>
            </w:r>
          </w:p>
        </w:tc>
      </w:tr>
      <w:tr w:rsidR="00021CE5" w14:paraId="4E0D31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52" w14:textId="77777777" w:rsidR="00021CE5" w:rsidRDefault="00000000">
            <w:pPr>
              <w:spacing w:before="30" w:after="30"/>
            </w:pPr>
            <w:r>
              <w:rPr>
                <w:i/>
                <w:iCs/>
                <w:color w:val="444444"/>
                <w:sz w:val="20"/>
                <w:szCs w:val="20"/>
              </w:rPr>
              <w:t>Good analogy: a theatre fire. If the exits are wide (liquid assets), no one panics. If the exits are narrow (illiquid), everyone rushes at once. The structure of the theatre determines how rational the panic is.</w:t>
            </w:r>
          </w:p>
        </w:tc>
      </w:tr>
      <w:tr w:rsidR="00021CE5" w14:paraId="4E0D315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54" w14:textId="77777777" w:rsidR="00021CE5" w:rsidRDefault="00000000">
            <w:pPr>
              <w:spacing w:before="30" w:after="30"/>
            </w:pPr>
            <w:r>
              <w:rPr>
                <w:i/>
                <w:iCs/>
                <w:color w:val="444444"/>
                <w:sz w:val="20"/>
                <w:szCs w:val="20"/>
              </w:rPr>
              <w:t>Bridge to Part 3: 'DD tells us panic can happen. GP tells us exactly when it will happen and for which banks.'</w:t>
            </w:r>
          </w:p>
        </w:tc>
      </w:tr>
    </w:tbl>
    <w:p w14:paraId="4E0D3156" w14:textId="77777777" w:rsidR="00021CE5" w:rsidRDefault="00021CE5">
      <w:pPr>
        <w:pBdr>
          <w:bottom w:val="single" w:sz="4" w:space="0" w:color="B0C4D8"/>
        </w:pBdr>
        <w:spacing w:before="160" w:after="160"/>
      </w:pPr>
    </w:p>
    <w:p w14:paraId="4E0D3157" w14:textId="77777777" w:rsidR="00021CE5" w:rsidRDefault="00000000">
      <w:pPr>
        <w:pStyle w:val="Heading1"/>
        <w:pBdr>
          <w:bottom w:val="single" w:sz="8" w:space="4" w:color="C0392B"/>
        </w:pBdr>
        <w:spacing w:before="360" w:after="120"/>
      </w:pPr>
      <w:r>
        <w:t xml:space="preserve">Part 3: Theory II — Global Games (Goldstein &amp; </w:t>
      </w:r>
      <w:proofErr w:type="spellStart"/>
      <w:r>
        <w:t>Pauzner</w:t>
      </w:r>
      <w:proofErr w:type="spellEnd"/>
      <w:r>
        <w:t xml:space="preserve"> 2005)</w:t>
      </w:r>
    </w:p>
    <w:p w14:paraId="4E0D3158" w14:textId="77777777" w:rsidR="00021CE5" w:rsidRDefault="00000000">
      <w:pPr>
        <w:pStyle w:val="Heading2"/>
      </w:pPr>
      <w:r>
        <w:t>Slide: The GP Fix</w:t>
      </w:r>
    </w:p>
    <w:p w14:paraId="4E0D3159" w14:textId="77777777" w:rsidR="00021CE5" w:rsidRDefault="00000000">
      <w:pPr>
        <w:spacing w:before="200" w:after="60"/>
      </w:pPr>
      <w:r>
        <w:rPr>
          <w:b/>
          <w:bCs/>
          <w:color w:val="C0392B"/>
        </w:rPr>
        <w:t>Core Concept</w:t>
      </w:r>
    </w:p>
    <w:p w14:paraId="4E0D315A" w14:textId="77777777" w:rsidR="00021CE5" w:rsidRDefault="00000000">
      <w:pPr>
        <w:spacing w:before="60" w:after="80"/>
      </w:pPr>
      <w:r>
        <w:t xml:space="preserve">Morris &amp; Shin (2000) showed that introducing small private noise into a coordination game typically selects a unique equilibrium. Goldstein &amp; </w:t>
      </w:r>
      <w:proofErr w:type="spellStart"/>
      <w:r>
        <w:t>Pauzner</w:t>
      </w:r>
      <w:proofErr w:type="spellEnd"/>
      <w:r>
        <w:t xml:space="preserve"> (2005) applied this insight </w:t>
      </w:r>
      <w:proofErr w:type="gramStart"/>
      <w:r>
        <w:t>to</w:t>
      </w:r>
      <w:proofErr w:type="gramEnd"/>
      <w:r>
        <w:t xml:space="preserve"> banking. Each depositor receives a slightly noisy private signal about the bank's performance. This noise breaks the coordination problem: depositors can reason about the distribution of other depositors' signals, and this pins down a unique threshold P* below which rational depositors run.</w:t>
      </w:r>
    </w:p>
    <w:p w14:paraId="4E0D315B"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15C" w14:textId="77777777" w:rsidR="00021CE5" w:rsidRDefault="00000000">
            <w:r>
              <w:rPr>
                <w:b/>
                <w:bCs/>
                <w:color w:val="FFFFFF"/>
                <w:sz w:val="20"/>
                <w:szCs w:val="20"/>
              </w:rPr>
              <w:t>Why Noise Selects a Unique Equilibrium — Intuition</w:t>
            </w:r>
          </w:p>
        </w:tc>
      </w:tr>
      <w:tr w:rsidR="00021CE5" w14:paraId="4E0D31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5E" w14:textId="77777777" w:rsidR="00021CE5" w:rsidRDefault="00000000">
            <w:pPr>
              <w:spacing w:before="20" w:after="20"/>
            </w:pPr>
            <w:r>
              <w:rPr>
                <w:color w:val="222222"/>
                <w:sz w:val="21"/>
                <w:szCs w:val="21"/>
              </w:rPr>
              <w:t>Without noise: 'I don't know what others will do, so both running and waiting are consistent with rationality.' → Multiple equilibria.</w:t>
            </w:r>
          </w:p>
        </w:tc>
      </w:tr>
      <w:tr w:rsidR="00021CE5" w14:paraId="4E0D31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60" w14:textId="77777777" w:rsidR="00021CE5" w:rsidRDefault="00000000">
            <w:pPr>
              <w:spacing w:before="20" w:after="20"/>
            </w:pPr>
            <w:r>
              <w:rPr>
                <w:color w:val="222222"/>
                <w:sz w:val="21"/>
                <w:szCs w:val="21"/>
              </w:rPr>
              <w:t>With small noise: 'I know my signal is close to others', so I can reason about the distribution of their beliefs.' This kills off the extreme equilibria.</w:t>
            </w:r>
          </w:p>
        </w:tc>
      </w:tr>
      <w:tr w:rsidR="00021CE5" w14:paraId="4E0D31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62" w14:textId="77777777" w:rsidR="00021CE5" w:rsidRDefault="00000000">
            <w:pPr>
              <w:spacing w:before="20" w:after="20"/>
            </w:pPr>
            <w:r>
              <w:rPr>
                <w:color w:val="222222"/>
                <w:sz w:val="21"/>
                <w:szCs w:val="21"/>
              </w:rPr>
              <w:t>The logic is iterated dominance: for very bad signals, running dominates regardless of others. For very good signals, waiting dominates. In between, the unique threshold P* is pinned down by the condition that a depositor with signal exactly P* is indifferent between running and waiting.</w:t>
            </w:r>
          </w:p>
        </w:tc>
      </w:tr>
    </w:tbl>
    <w:p w14:paraId="4E0D3164" w14:textId="77777777" w:rsidR="00021CE5" w:rsidRDefault="00021CE5">
      <w:pPr>
        <w:spacing w:before="8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65" w14:textId="77777777" w:rsidR="00021CE5" w:rsidRDefault="00000000">
            <w:pPr>
              <w:spacing w:before="30" w:after="30"/>
            </w:pPr>
            <w:r>
              <w:rPr>
                <w:i/>
                <w:iCs/>
                <w:color w:val="444444"/>
                <w:sz w:val="20"/>
                <w:szCs w:val="20"/>
              </w:rPr>
              <w:t>⏱  Timing: 5 minutes. This is technically the hardest slide for non-theorists.</w:t>
            </w:r>
          </w:p>
        </w:tc>
      </w:tr>
      <w:tr w:rsidR="00021CE5" w14:paraId="4E0D31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67" w14:textId="77777777" w:rsidR="00021CE5" w:rsidRDefault="00000000">
            <w:pPr>
              <w:spacing w:before="30" w:after="30"/>
            </w:pPr>
            <w:r>
              <w:rPr>
                <w:i/>
                <w:iCs/>
                <w:color w:val="444444"/>
                <w:sz w:val="20"/>
                <w:szCs w:val="20"/>
              </w:rPr>
              <w:t>Do not get lost in the mathematics of global games. The audience needs the intuition: noise kills indeterminacy.</w:t>
            </w:r>
          </w:p>
        </w:tc>
      </w:tr>
      <w:tr w:rsidR="00021CE5" w14:paraId="4E0D31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69" w14:textId="77777777" w:rsidR="00021CE5" w:rsidRDefault="00000000">
            <w:pPr>
              <w:spacing w:before="30" w:after="30"/>
            </w:pPr>
            <w:r>
              <w:rPr>
                <w:i/>
                <w:iCs/>
                <w:color w:val="444444"/>
                <w:sz w:val="20"/>
                <w:szCs w:val="20"/>
              </w:rPr>
              <w:lastRenderedPageBreak/>
              <w:t>The key result to emphasize: ∂P*/∂r₁ &gt; 0. Higher mismatch → higher panic threshold → easier to trigger a run. This is the entire empirical bridge.</w:t>
            </w:r>
          </w:p>
        </w:tc>
      </w:tr>
      <w:tr w:rsidR="00021CE5" w14:paraId="4E0D31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6B" w14:textId="77777777" w:rsidR="00021CE5" w:rsidRDefault="00000000">
            <w:pPr>
              <w:spacing w:before="30" w:after="30"/>
            </w:pPr>
            <w:r>
              <w:rPr>
                <w:i/>
                <w:iCs/>
                <w:color w:val="444444"/>
                <w:sz w:val="20"/>
                <w:szCs w:val="20"/>
              </w:rPr>
              <w:t>The 'Key Parameter' callout is important: r₁ is the measurable stand-in for the theoretical mismatch concept. The paper operationalizes r₁ using Asset Illiquidity and %Uninsured.</w:t>
            </w:r>
          </w:p>
        </w:tc>
      </w:tr>
    </w:tbl>
    <w:p w14:paraId="4E0D316D" w14:textId="77777777" w:rsidR="00021CE5" w:rsidRDefault="00021CE5">
      <w:pPr>
        <w:spacing w:before="80"/>
      </w:pPr>
    </w:p>
    <w:p w14:paraId="4E0D316E" w14:textId="77777777" w:rsidR="00021CE5" w:rsidRDefault="00000000">
      <w:pPr>
        <w:pStyle w:val="Heading2"/>
      </w:pPr>
      <w:r>
        <w:t>Slide: The Central Theoretical Prediction</w:t>
      </w:r>
    </w:p>
    <w:p w14:paraId="4E0D316F" w14:textId="77777777" w:rsidR="00021CE5" w:rsidRDefault="00000000">
      <w:pPr>
        <w:spacing w:before="200" w:after="60"/>
      </w:pPr>
      <w:r>
        <w:rPr>
          <w:b/>
          <w:bCs/>
          <w:color w:val="C0392B"/>
        </w:rPr>
        <w:t>Core Concept</w:t>
      </w:r>
    </w:p>
    <w:p w14:paraId="4E0D3170" w14:textId="77777777" w:rsidR="00021CE5" w:rsidRDefault="00000000">
      <w:pPr>
        <w:spacing w:before="60" w:after="80"/>
      </w:pPr>
      <w:r>
        <w:t xml:space="preserve">The SVG diagram on the slide illustrates three regions of bank performance P. Below the lower bound P̲, the bank is fundamentally </w:t>
      </w:r>
      <w:proofErr w:type="gramStart"/>
      <w:r>
        <w:t>insolvent</w:t>
      </w:r>
      <w:proofErr w:type="gramEnd"/>
      <w:r>
        <w:t xml:space="preserve"> and runs are rational regardless of panic. Above P̄, the bank is clearly </w:t>
      </w:r>
      <w:proofErr w:type="gramStart"/>
      <w:r>
        <w:t>solvent</w:t>
      </w:r>
      <w:proofErr w:type="gramEnd"/>
      <w:r>
        <w:t xml:space="preserve"> and no one runs (only impatient depositors withdraw at rate λ). Between P̲ and P*, the bank is technically </w:t>
      </w:r>
      <w:proofErr w:type="gramStart"/>
      <w:r>
        <w:t>solvent</w:t>
      </w:r>
      <w:proofErr w:type="gramEnd"/>
      <w:r>
        <w:t xml:space="preserve"> but panic occurs — this is the zone of self-fulfilling runs. The key comparative static is that P* shifts rightward as r₁ increases, expanding the panic zone.</w:t>
      </w:r>
    </w:p>
    <w:p w14:paraId="4E0D3171"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172" w14:textId="77777777" w:rsidR="00021CE5" w:rsidRDefault="00000000">
            <w:r>
              <w:rPr>
                <w:b/>
                <w:bCs/>
                <w:color w:val="FFFFFF"/>
                <w:sz w:val="20"/>
                <w:szCs w:val="20"/>
              </w:rPr>
              <w:t>Reading the Diagram</w:t>
            </w:r>
          </w:p>
        </w:tc>
      </w:tr>
      <w:tr w:rsidR="00021CE5" w14:paraId="4E0D31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74" w14:textId="77777777" w:rsidR="00021CE5" w:rsidRDefault="00000000">
            <w:pPr>
              <w:spacing w:before="20" w:after="20"/>
            </w:pPr>
            <w:r>
              <w:rPr>
                <w:color w:val="222222"/>
                <w:sz w:val="21"/>
                <w:szCs w:val="21"/>
              </w:rPr>
              <w:t>flow = −1: All depositors withdraw (both impatient and panicking patient depositors). This occurs below P*.</w:t>
            </w:r>
          </w:p>
        </w:tc>
      </w:tr>
      <w:tr w:rsidR="00021CE5" w14:paraId="4E0D31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76" w14:textId="77777777" w:rsidR="00021CE5" w:rsidRDefault="00000000">
            <w:pPr>
              <w:spacing w:before="20" w:after="20"/>
            </w:pPr>
            <w:r>
              <w:rPr>
                <w:color w:val="222222"/>
                <w:sz w:val="21"/>
                <w:szCs w:val="21"/>
              </w:rPr>
              <w:t>flow = −λ: Only impatient depositors withdraw. This is the 'normal' state above P*.</w:t>
            </w:r>
          </w:p>
        </w:tc>
      </w:tr>
      <w:tr w:rsidR="00021CE5" w14:paraId="4E0D31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78" w14:textId="77777777" w:rsidR="00021CE5" w:rsidRDefault="00000000">
            <w:pPr>
              <w:spacing w:before="20" w:after="20"/>
            </w:pPr>
            <w:r>
              <w:rPr>
                <w:color w:val="222222"/>
                <w:sz w:val="21"/>
                <w:szCs w:val="21"/>
              </w:rPr>
              <w:t>The dashed segment between P̲ and P*: bank is solvent but run occurs. This is the empirical target.</w:t>
            </w:r>
          </w:p>
        </w:tc>
      </w:tr>
      <w:tr w:rsidR="00021CE5" w14:paraId="4E0D31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7A" w14:textId="77777777" w:rsidR="00021CE5" w:rsidRDefault="00000000">
            <w:pPr>
              <w:spacing w:before="20" w:after="20"/>
            </w:pPr>
            <w:r>
              <w:rPr>
                <w:color w:val="222222"/>
                <w:sz w:val="21"/>
                <w:szCs w:val="21"/>
              </w:rPr>
              <w:t>As r₁ rises, P* moves right → a wider range of fundamentals triggers a run → higher fragility.</w:t>
            </w:r>
          </w:p>
        </w:tc>
      </w:tr>
    </w:tbl>
    <w:p w14:paraId="4E0D317C" w14:textId="77777777" w:rsidR="00021CE5" w:rsidRDefault="00021CE5">
      <w:pPr>
        <w:spacing w:before="80"/>
      </w:pPr>
    </w:p>
    <w:p w14:paraId="4E0D317D" w14:textId="77777777" w:rsidR="00021CE5" w:rsidRDefault="00000000">
      <w:pPr>
        <w:pStyle w:val="Heading2"/>
      </w:pPr>
      <w:r>
        <w:t>Slide: The Formal Sensitivity Derivation</w:t>
      </w:r>
    </w:p>
    <w:p w14:paraId="4E0D317E" w14:textId="77777777" w:rsidR="00021CE5" w:rsidRDefault="00000000">
      <w:pPr>
        <w:spacing w:before="200" w:after="60"/>
      </w:pPr>
      <w:r>
        <w:rPr>
          <w:b/>
          <w:bCs/>
          <w:color w:val="C0392B"/>
        </w:rPr>
        <w:t>Core Concept</w:t>
      </w:r>
    </w:p>
    <w:p w14:paraId="4E0D317F" w14:textId="77777777" w:rsidR="00021CE5" w:rsidRDefault="00000000">
      <w:pPr>
        <w:spacing w:before="60" w:after="80"/>
      </w:pPr>
      <w:r>
        <w:t>The slide derives the key testable prediction mathematically. The average flow-performance sensitivity (</w:t>
      </w:r>
      <w:proofErr w:type="spellStart"/>
      <w:r>
        <w:t>AvgFPS</w:t>
      </w:r>
      <w:proofErr w:type="spellEnd"/>
      <w:r>
        <w:t xml:space="preserve">) measures how much deposit flows change for a given change in performance across the cross-section of banks. The derivation shows that </w:t>
      </w:r>
      <w:proofErr w:type="spellStart"/>
      <w:r>
        <w:t>AvgFPS</w:t>
      </w:r>
      <w:proofErr w:type="spellEnd"/>
      <w:r>
        <w:t xml:space="preserve"> increases with mismatch if and only if two conditions hold: (1) ∂P*/∂r₁ &gt; 0 from the GP model, and (2) f'(P*) &gt; 0, meaning the run threshold sits in the increasing part of the ROA density.</w:t>
      </w:r>
    </w:p>
    <w:p w14:paraId="4E0D3180" w14:textId="77777777" w:rsidR="00021CE5" w:rsidRDefault="00021CE5">
      <w:pPr>
        <w:spacing w:before="60"/>
      </w:pPr>
    </w:p>
    <w:p w14:paraId="4E0D3181" w14:textId="77777777" w:rsidR="00021CE5" w:rsidRDefault="00000000">
      <w:pPr>
        <w:spacing w:before="60" w:after="80"/>
      </w:pPr>
      <w:r>
        <w:t>Condition (2) is empirically verified: Figure 2 in the paper shows that uninsured deposits only become sensitive to ROA below the median. Since the ROA distribution is roughly bell-shaped, below-median performance is on the increasing part of the density — exactly where f'(P*) &gt; 0.</w:t>
      </w:r>
    </w:p>
    <w:p w14:paraId="4E0D3182"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8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83" w14:textId="77777777" w:rsidR="00021CE5" w:rsidRDefault="00000000">
            <w:pPr>
              <w:spacing w:before="30" w:after="30"/>
            </w:pPr>
            <w:r>
              <w:rPr>
                <w:i/>
                <w:iCs/>
                <w:color w:val="444444"/>
                <w:sz w:val="20"/>
                <w:szCs w:val="20"/>
              </w:rPr>
              <w:t>⏱  Timing: 6–7 minutes. This is the theoretical high point of the lecture.</w:t>
            </w:r>
          </w:p>
        </w:tc>
      </w:tr>
      <w:tr w:rsidR="00021CE5" w14:paraId="4E0D31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85" w14:textId="77777777" w:rsidR="00021CE5" w:rsidRDefault="00000000">
            <w:pPr>
              <w:spacing w:before="30" w:after="30"/>
            </w:pPr>
            <w:r>
              <w:rPr>
                <w:i/>
                <w:iCs/>
                <w:color w:val="444444"/>
                <w:sz w:val="20"/>
                <w:szCs w:val="20"/>
              </w:rPr>
              <w:t xml:space="preserve">Walk through the derivation step by step. The intuition: a small drop in performance </w:t>
            </w:r>
            <w:proofErr w:type="spellStart"/>
            <w:r>
              <w:rPr>
                <w:i/>
                <w:iCs/>
                <w:color w:val="444444"/>
                <w:sz w:val="20"/>
                <w:szCs w:val="20"/>
              </w:rPr>
              <w:t>dP</w:t>
            </w:r>
            <w:proofErr w:type="spellEnd"/>
            <w:r>
              <w:rPr>
                <w:i/>
                <w:iCs/>
                <w:color w:val="444444"/>
                <w:sz w:val="20"/>
                <w:szCs w:val="20"/>
              </w:rPr>
              <w:t xml:space="preserve"> triggers runs at banks where P was just above P*. The density f(P*) determines how many banks are in that marginal zone.</w:t>
            </w:r>
          </w:p>
        </w:tc>
      </w:tr>
      <w:tr w:rsidR="00021CE5" w14:paraId="4E0D318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87" w14:textId="77777777" w:rsidR="00021CE5" w:rsidRDefault="00000000">
            <w:pPr>
              <w:spacing w:before="30" w:after="30"/>
            </w:pPr>
            <w:r>
              <w:rPr>
                <w:i/>
                <w:iCs/>
                <w:color w:val="444444"/>
                <w:sz w:val="20"/>
                <w:szCs w:val="20"/>
              </w:rPr>
              <w:lastRenderedPageBreak/>
              <w:t>Condition 2 is subtle but important: if P* were above the median, the density would be decreasing and f'(P*) &lt; 0, reversing the sign. The empirics in Figure 3 confirm that P* is indeed below the median.</w:t>
            </w:r>
          </w:p>
        </w:tc>
      </w:tr>
      <w:tr w:rsidR="00021CE5" w14:paraId="4E0D31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89" w14:textId="77777777" w:rsidR="00021CE5" w:rsidRDefault="00000000">
            <w:pPr>
              <w:spacing w:before="30" w:after="30"/>
            </w:pPr>
            <w:r>
              <w:rPr>
                <w:i/>
                <w:iCs/>
                <w:color w:val="444444"/>
                <w:sz w:val="20"/>
                <w:szCs w:val="20"/>
              </w:rPr>
              <w:t>Good pause point for questions before moving to the empirical sections.</w:t>
            </w:r>
          </w:p>
        </w:tc>
      </w:tr>
    </w:tbl>
    <w:p w14:paraId="4E0D318B" w14:textId="77777777" w:rsidR="00021CE5" w:rsidRDefault="00021CE5">
      <w:pPr>
        <w:pBdr>
          <w:bottom w:val="single" w:sz="4" w:space="0" w:color="B0C4D8"/>
        </w:pBdr>
        <w:spacing w:before="160" w:after="160"/>
      </w:pPr>
    </w:p>
    <w:p w14:paraId="4E0D318C" w14:textId="77777777" w:rsidR="00021CE5" w:rsidRDefault="00000000">
      <w:pPr>
        <w:pStyle w:val="Heading1"/>
        <w:pBdr>
          <w:bottom w:val="single" w:sz="8" w:space="4" w:color="C0392B"/>
        </w:pBdr>
        <w:spacing w:before="360" w:after="120"/>
      </w:pPr>
      <w:r>
        <w:t>Part 4: Theory → Empirics</w:t>
      </w:r>
    </w:p>
    <w:p w14:paraId="4E0D318D" w14:textId="77777777" w:rsidR="00021CE5" w:rsidRDefault="00000000">
      <w:pPr>
        <w:pStyle w:val="Heading2"/>
      </w:pPr>
      <w:r>
        <w:t>Slide: Translating Theory into Testable Predictions</w:t>
      </w:r>
    </w:p>
    <w:p w14:paraId="4E0D318E" w14:textId="77777777" w:rsidR="00021CE5" w:rsidRDefault="00000000">
      <w:pPr>
        <w:spacing w:before="200" w:after="60"/>
      </w:pPr>
      <w:r>
        <w:rPr>
          <w:b/>
          <w:bCs/>
          <w:color w:val="C0392B"/>
        </w:rPr>
        <w:t>Core Concept</w:t>
      </w:r>
    </w:p>
    <w:p w14:paraId="4E0D318F" w14:textId="77777777" w:rsidR="00021CE5" w:rsidRDefault="00000000">
      <w:pPr>
        <w:spacing w:before="60" w:after="80"/>
      </w:pPr>
      <w:r>
        <w:t>The theory produces two distinct empirical predictions, both of which are tested. Prediction 1 (Sensitivity): the interaction coefficient on mismatch × ROA should be positive — i.e., the slope of the flow-performance relation is steeper for high-mismatch banks. Prediction 2 (Levels): conditional on below-median performance, high-mismatch banks should have lower deposit flows than low-mismatch banks facing the same ROA.</w:t>
      </w:r>
    </w:p>
    <w:p w14:paraId="4E0D3190"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191" w14:textId="77777777" w:rsidR="00021CE5" w:rsidRDefault="00000000">
            <w:r>
              <w:rPr>
                <w:b/>
                <w:bCs/>
                <w:color w:val="FFFFFF"/>
                <w:sz w:val="20"/>
                <w:szCs w:val="20"/>
              </w:rPr>
              <w:t>Why Two Predictions Are Better Than One</w:t>
            </w:r>
          </w:p>
        </w:tc>
      </w:tr>
      <w:tr w:rsidR="00021CE5" w14:paraId="4E0D31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93" w14:textId="77777777" w:rsidR="00021CE5" w:rsidRDefault="00000000">
            <w:pPr>
              <w:spacing w:before="20" w:after="20"/>
            </w:pPr>
            <w:r>
              <w:rPr>
                <w:color w:val="222222"/>
                <w:sz w:val="21"/>
                <w:szCs w:val="21"/>
              </w:rPr>
              <w:t>The sensitivity test captures the slope of the response function — how much more sensitively do uninsured deposits react to bad news at high-mismatch banks?</w:t>
            </w:r>
          </w:p>
        </w:tc>
      </w:tr>
      <w:tr w:rsidR="00021CE5" w14:paraId="4E0D31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95" w14:textId="77777777" w:rsidR="00021CE5" w:rsidRDefault="00000000">
            <w:pPr>
              <w:spacing w:before="20" w:after="20"/>
            </w:pPr>
            <w:r>
              <w:rPr>
                <w:color w:val="222222"/>
                <w:sz w:val="21"/>
                <w:szCs w:val="21"/>
              </w:rPr>
              <w:t xml:space="preserve">The level test captures the </w:t>
            </w:r>
            <w:proofErr w:type="gramStart"/>
            <w:r>
              <w:rPr>
                <w:color w:val="222222"/>
                <w:sz w:val="21"/>
                <w:szCs w:val="21"/>
              </w:rPr>
              <w:t>intercept conditional</w:t>
            </w:r>
            <w:proofErr w:type="gramEnd"/>
            <w:r>
              <w:rPr>
                <w:color w:val="222222"/>
                <w:sz w:val="21"/>
                <w:szCs w:val="21"/>
              </w:rPr>
              <w:t xml:space="preserve"> on bad news — are high-mismatch banks already experiencing more outflows at the same bad ROA?</w:t>
            </w:r>
          </w:p>
        </w:tc>
      </w:tr>
      <w:tr w:rsidR="00021CE5" w14:paraId="4E0D31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97" w14:textId="77777777" w:rsidR="00021CE5" w:rsidRDefault="00000000">
            <w:pPr>
              <w:spacing w:before="20" w:after="20"/>
            </w:pPr>
            <w:r>
              <w:rPr>
                <w:color w:val="222222"/>
                <w:sz w:val="21"/>
                <w:szCs w:val="21"/>
              </w:rPr>
              <w:t>Together, they triangulate the panic mechanism from different angles, making it much harder for a single alternative story to explain both results simultaneously.</w:t>
            </w:r>
          </w:p>
        </w:tc>
      </w:tr>
    </w:tbl>
    <w:p w14:paraId="4E0D3199" w14:textId="77777777" w:rsidR="00021CE5" w:rsidRDefault="00021CE5">
      <w:pPr>
        <w:spacing w:before="80"/>
      </w:pPr>
    </w:p>
    <w:p w14:paraId="4E0D319A" w14:textId="77777777" w:rsidR="00021CE5" w:rsidRDefault="00000000">
      <w:pPr>
        <w:pStyle w:val="Heading2"/>
      </w:pPr>
      <w:r>
        <w:t>Slide: Why Focus on Uninsured Deposits?</w:t>
      </w:r>
    </w:p>
    <w:p w14:paraId="4E0D319B" w14:textId="77777777" w:rsidR="00021CE5" w:rsidRDefault="00000000">
      <w:pPr>
        <w:spacing w:before="200" w:after="60"/>
      </w:pPr>
      <w:r>
        <w:rPr>
          <w:b/>
          <w:bCs/>
          <w:color w:val="C0392B"/>
        </w:rPr>
        <w:t>Core Concept</w:t>
      </w:r>
    </w:p>
    <w:p w14:paraId="4E0D319C" w14:textId="77777777" w:rsidR="00021CE5" w:rsidRDefault="00000000">
      <w:pPr>
        <w:spacing w:before="60" w:after="80"/>
      </w:pPr>
      <w:r>
        <w:t xml:space="preserve">Insured depositors (up to the FDIC limit, currently $250,000) have no strategic incentive to run. Their money is guaranteed by the government regardless of what other depositors do. This </w:t>
      </w:r>
      <w:proofErr w:type="gramStart"/>
      <w:r>
        <w:t>completely eliminates</w:t>
      </w:r>
      <w:proofErr w:type="gramEnd"/>
      <w:r>
        <w:t xml:space="preserve"> the strategic complementarity for insured deposits. Uninsured depositors face the prisoner's dilemma in full.</w:t>
      </w:r>
    </w:p>
    <w:p w14:paraId="4E0D319D" w14:textId="77777777" w:rsidR="00021CE5" w:rsidRDefault="00021CE5">
      <w:pPr>
        <w:spacing w:before="60"/>
      </w:pPr>
    </w:p>
    <w:p w14:paraId="4E0D319E" w14:textId="77777777" w:rsidR="00021CE5" w:rsidRDefault="00000000">
      <w:pPr>
        <w:spacing w:before="60" w:after="80"/>
      </w:pPr>
      <w:r>
        <w:t>This asymmetry creates a built-in falsification test (placebo test). If the panic story is correct, results should be strong for uninsured deposits and absent (or opposite) for insured deposits. If results were similar for both, it would suggest the findings reflect bank quality or some other correlated factor, not panic per se.</w:t>
      </w:r>
    </w:p>
    <w:p w14:paraId="4E0D319F"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A0" w14:textId="77777777" w:rsidR="00021CE5" w:rsidRDefault="00000000">
            <w:pPr>
              <w:spacing w:before="30" w:after="30"/>
            </w:pPr>
            <w:r>
              <w:rPr>
                <w:i/>
                <w:iCs/>
                <w:color w:val="444444"/>
                <w:sz w:val="20"/>
                <w:szCs w:val="20"/>
              </w:rPr>
              <w:t>⏱  Timing: 3 minutes.</w:t>
            </w:r>
          </w:p>
        </w:tc>
      </w:tr>
      <w:tr w:rsidR="00021CE5" w14:paraId="4E0D31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A2" w14:textId="77777777" w:rsidR="00021CE5" w:rsidRDefault="00000000">
            <w:pPr>
              <w:spacing w:before="30" w:after="30"/>
            </w:pPr>
            <w:r>
              <w:rPr>
                <w:i/>
                <w:iCs/>
                <w:color w:val="444444"/>
                <w:sz w:val="20"/>
                <w:szCs w:val="20"/>
              </w:rPr>
              <w:t>The table comparing insured vs. uninsured is worth pausing on. Emphasize: this is an internal control built into the data. No separate experiment needed.</w:t>
            </w:r>
          </w:p>
        </w:tc>
      </w:tr>
      <w:tr w:rsidR="00021CE5" w14:paraId="4E0D31A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A4" w14:textId="77777777" w:rsidR="00021CE5" w:rsidRDefault="00000000">
            <w:pPr>
              <w:spacing w:before="30" w:after="30"/>
            </w:pPr>
            <w:r>
              <w:rPr>
                <w:i/>
                <w:iCs/>
                <w:color w:val="444444"/>
                <w:sz w:val="20"/>
                <w:szCs w:val="20"/>
              </w:rPr>
              <w:lastRenderedPageBreak/>
              <w:t xml:space="preserve">Preview: 'We will see in Part 7 that insured deposits </w:t>
            </w:r>
            <w:proofErr w:type="gramStart"/>
            <w:r>
              <w:rPr>
                <w:i/>
                <w:iCs/>
                <w:color w:val="444444"/>
                <w:sz w:val="20"/>
                <w:szCs w:val="20"/>
              </w:rPr>
              <w:t>actually move</w:t>
            </w:r>
            <w:proofErr w:type="gramEnd"/>
            <w:r>
              <w:rPr>
                <w:i/>
                <w:iCs/>
                <w:color w:val="444444"/>
                <w:sz w:val="20"/>
                <w:szCs w:val="20"/>
              </w:rPr>
              <w:t xml:space="preserve"> in the opposite direction — banks raise rates and attract insured deposits to replace the outflow. That is powerful confirmation.'</w:t>
            </w:r>
          </w:p>
        </w:tc>
      </w:tr>
    </w:tbl>
    <w:p w14:paraId="4E0D31A6" w14:textId="77777777" w:rsidR="00021CE5" w:rsidRDefault="00021CE5">
      <w:pPr>
        <w:pBdr>
          <w:bottom w:val="single" w:sz="4" w:space="0" w:color="B0C4D8"/>
        </w:pBdr>
        <w:spacing w:before="160" w:after="160"/>
      </w:pPr>
    </w:p>
    <w:p w14:paraId="4E0D31A7" w14:textId="77777777" w:rsidR="00021CE5" w:rsidRDefault="00000000">
      <w:pPr>
        <w:pStyle w:val="Heading1"/>
        <w:pBdr>
          <w:bottom w:val="single" w:sz="8" w:space="4" w:color="C0392B"/>
        </w:pBdr>
        <w:spacing w:before="360" w:after="120"/>
      </w:pPr>
      <w:r>
        <w:t>Part 5: Data &amp; Measurement</w:t>
      </w:r>
    </w:p>
    <w:p w14:paraId="4E0D31A8" w14:textId="77777777" w:rsidR="00021CE5" w:rsidRDefault="00000000">
      <w:pPr>
        <w:pStyle w:val="Heading2"/>
      </w:pPr>
      <w:r>
        <w:t>Slide: Sample Overview</w:t>
      </w:r>
    </w:p>
    <w:p w14:paraId="4E0D31A9" w14:textId="77777777" w:rsidR="00021CE5" w:rsidRDefault="00000000">
      <w:pPr>
        <w:spacing w:before="200" w:after="60"/>
      </w:pPr>
      <w:r>
        <w:rPr>
          <w:b/>
          <w:bCs/>
          <w:color w:val="C0392B"/>
        </w:rPr>
        <w:t>Core Concept</w:t>
      </w:r>
    </w:p>
    <w:p w14:paraId="4E0D31AA" w14:textId="77777777" w:rsidR="00021CE5" w:rsidRDefault="00000000">
      <w:pPr>
        <w:spacing w:before="60" w:after="80"/>
      </w:pPr>
      <w:r>
        <w:t>The dataset is the US Call Reports (regulatory filings, accessed via WRDS), covering 287,018 bank-quarter observations, 8,153 unique commercial banks, from 1993–2016. The sample is restricted to banks with total assets ≥ $100 million and excludes quarters with asset growth exceeding 10% (to avoid M&amp;A contamination).</w:t>
      </w:r>
    </w:p>
    <w:p w14:paraId="4E0D31AB"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A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AC" w14:textId="77777777" w:rsidR="00021CE5" w:rsidRDefault="00000000">
            <w:pPr>
              <w:spacing w:before="30" w:after="30"/>
            </w:pPr>
            <w:r>
              <w:rPr>
                <w:i/>
                <w:iCs/>
                <w:color w:val="444444"/>
                <w:sz w:val="20"/>
                <w:szCs w:val="20"/>
              </w:rPr>
              <w:t>⏱  Timing: 2–3 minutes. Data slides tend to be dry — move efficiently.</w:t>
            </w:r>
          </w:p>
        </w:tc>
      </w:tr>
      <w:tr w:rsidR="00021CE5" w14:paraId="4E0D31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AE" w14:textId="77777777" w:rsidR="00021CE5" w:rsidRDefault="00000000">
            <w:pPr>
              <w:spacing w:before="30" w:after="30"/>
            </w:pPr>
            <w:r>
              <w:rPr>
                <w:i/>
                <w:iCs/>
                <w:color w:val="444444"/>
                <w:sz w:val="20"/>
                <w:szCs w:val="20"/>
              </w:rPr>
              <w:t>Key point: Call Reports are mandatory regulatory filings. No survivorship bias, no selection issue. Every bank reports every quarter.</w:t>
            </w:r>
          </w:p>
        </w:tc>
      </w:tr>
      <w:tr w:rsidR="00021CE5" w14:paraId="4E0D31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B0" w14:textId="77777777" w:rsidR="00021CE5" w:rsidRDefault="00000000">
            <w:pPr>
              <w:spacing w:before="30" w:after="30"/>
            </w:pPr>
            <w:r>
              <w:rPr>
                <w:i/>
                <w:iCs/>
                <w:color w:val="444444"/>
                <w:sz w:val="20"/>
                <w:szCs w:val="20"/>
              </w:rPr>
              <w:t>Emphasize the scale: 22 years, 8,000+ banks. Prior work either used small samples or short time windows. This is the first study with the statistical power to detect the mechanism at scale.</w:t>
            </w:r>
          </w:p>
        </w:tc>
      </w:tr>
      <w:tr w:rsidR="00021CE5" w14:paraId="4E0D31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B2" w14:textId="77777777" w:rsidR="00021CE5" w:rsidRDefault="00000000">
            <w:pPr>
              <w:spacing w:before="30" w:after="30"/>
            </w:pPr>
            <w:r>
              <w:rPr>
                <w:i/>
                <w:iCs/>
                <w:color w:val="444444"/>
                <w:sz w:val="20"/>
                <w:szCs w:val="20"/>
              </w:rPr>
              <w:t>The summary statistics table is worth a quick note: mean ROA of ~1% is normal; mean Asset Illiquidity of 0.07 reflects typical loan-heavy balance sheets.</w:t>
            </w:r>
          </w:p>
        </w:tc>
      </w:tr>
    </w:tbl>
    <w:p w14:paraId="4E0D31B4" w14:textId="77777777" w:rsidR="00021CE5" w:rsidRDefault="00021CE5">
      <w:pPr>
        <w:spacing w:before="80"/>
      </w:pPr>
    </w:p>
    <w:p w14:paraId="4E0D31B5" w14:textId="77777777" w:rsidR="00021CE5" w:rsidRDefault="00000000">
      <w:pPr>
        <w:pStyle w:val="Heading2"/>
      </w:pPr>
      <w:r>
        <w:t>Slide: Measuring Liquidity Mismatch — Asset Side</w:t>
      </w:r>
    </w:p>
    <w:p w14:paraId="4E0D31B6" w14:textId="77777777" w:rsidR="00021CE5" w:rsidRDefault="00000000">
      <w:pPr>
        <w:spacing w:before="200" w:after="60"/>
      </w:pPr>
      <w:r>
        <w:rPr>
          <w:b/>
          <w:bCs/>
          <w:color w:val="C0392B"/>
        </w:rPr>
        <w:t>Measure 1: Asset Illiquidity (Berger &amp; Bouwman 2009)</w:t>
      </w:r>
    </w:p>
    <w:p w14:paraId="4E0D31B7" w14:textId="77777777" w:rsidR="00021CE5" w:rsidRDefault="00000000">
      <w:pPr>
        <w:spacing w:before="60" w:after="80"/>
      </w:pPr>
      <w:r>
        <w:t>Asset Illiquidity classifies all bank assets by how quickly they can be converted to cash without significant price impact. Illiquid assets (commercial loans, real estate loans) receive weight +½; liquid assets (cash, securities) receive weight −½; semi-liquid assets receive 0. The measure is then normalized by total assets.</w:t>
      </w:r>
    </w:p>
    <w:p w14:paraId="4E0D31B8"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1B9" w14:textId="77777777" w:rsidR="00021CE5" w:rsidRDefault="00000000">
            <w:r>
              <w:rPr>
                <w:b/>
                <w:bCs/>
                <w:color w:val="FFFFFF"/>
                <w:sz w:val="20"/>
                <w:szCs w:val="20"/>
              </w:rPr>
              <w:t>Why This Captures Strategic Complementarities</w:t>
            </w:r>
          </w:p>
        </w:tc>
      </w:tr>
      <w:tr w:rsidR="00021CE5" w14:paraId="4E0D31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BB" w14:textId="77777777" w:rsidR="00021CE5" w:rsidRDefault="00000000">
            <w:pPr>
              <w:spacing w:before="20" w:after="20"/>
            </w:pPr>
            <w:r>
              <w:rPr>
                <w:color w:val="222222"/>
                <w:sz w:val="21"/>
                <w:szCs w:val="21"/>
              </w:rPr>
              <w:t>The economic logic: illiquid assets suffer fire-sale discounts when sold quickly. Each withdrawal forces the bank closer to needing to liquidate these assets. The more illiquid the portfolio, the larger the externality each withdrawal imposes on remaining depositors.</w:t>
            </w:r>
          </w:p>
        </w:tc>
      </w:tr>
      <w:tr w:rsidR="00021CE5" w14:paraId="4E0D31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BD" w14:textId="77777777" w:rsidR="00021CE5" w:rsidRDefault="00000000">
            <w:pPr>
              <w:spacing w:before="20" w:after="20"/>
            </w:pPr>
            <w:r>
              <w:rPr>
                <w:color w:val="222222"/>
                <w:sz w:val="21"/>
                <w:szCs w:val="21"/>
              </w:rPr>
              <w:t>Why not Berger-Bouwman's full liquidity creation measure? Their measure includes equity on the liability side, treating less equity as more liquidity creation. This conflates claim priority (equity vs. deposits) with asset illiquidity, which is not the right theoretical object here.</w:t>
            </w:r>
          </w:p>
        </w:tc>
      </w:tr>
    </w:tbl>
    <w:p w14:paraId="4E0D31BF" w14:textId="77777777" w:rsidR="00021CE5" w:rsidRDefault="00021CE5">
      <w:pPr>
        <w:spacing w:before="80"/>
      </w:pPr>
    </w:p>
    <w:p w14:paraId="4E0D31C0" w14:textId="77777777" w:rsidR="00021CE5" w:rsidRDefault="00000000">
      <w:pPr>
        <w:pStyle w:val="Heading2"/>
      </w:pPr>
      <w:r>
        <w:t>Slide: Measuring Liquidity Mismatch — Liability Side</w:t>
      </w:r>
    </w:p>
    <w:p w14:paraId="4E0D31C1" w14:textId="77777777" w:rsidR="00021CE5" w:rsidRDefault="00000000">
      <w:pPr>
        <w:spacing w:before="200" w:after="60"/>
      </w:pPr>
      <w:r>
        <w:rPr>
          <w:b/>
          <w:bCs/>
          <w:color w:val="C0392B"/>
        </w:rPr>
        <w:t>Measure 2: %Uninsured</w:t>
      </w:r>
    </w:p>
    <w:p w14:paraId="4E0D31C2" w14:textId="77777777" w:rsidR="00021CE5" w:rsidRDefault="00000000">
      <w:pPr>
        <w:spacing w:before="60" w:after="80"/>
      </w:pPr>
      <w:r>
        <w:lastRenderedPageBreak/>
        <w:t>%Uninsured = Uninsured Deposits / Total Deposits, averaged over the prior three years. The three-year backward average is crucial: using current-period %Uninsured would be mechanically contaminated by recent panic-based outflows (if the bank just had a run, %Uninsured falls). The three-year average captures the structural liability composition.</w:t>
      </w:r>
    </w:p>
    <w:p w14:paraId="4E0D31C3"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1C4" w14:textId="77777777" w:rsidR="00021CE5" w:rsidRDefault="00000000">
            <w:r>
              <w:rPr>
                <w:b/>
                <w:bCs/>
                <w:color w:val="FFFFFF"/>
                <w:sz w:val="20"/>
                <w:szCs w:val="20"/>
              </w:rPr>
              <w:t>Why Not the Bai et al. (2018) Liquidity Mismatch Index (</w:t>
            </w:r>
            <w:proofErr w:type="spellStart"/>
            <w:r>
              <w:rPr>
                <w:b/>
                <w:bCs/>
                <w:color w:val="FFFFFF"/>
                <w:sz w:val="20"/>
                <w:szCs w:val="20"/>
              </w:rPr>
              <w:t>LMI</w:t>
            </w:r>
            <w:proofErr w:type="spellEnd"/>
            <w:r>
              <w:rPr>
                <w:b/>
                <w:bCs/>
                <w:color w:val="FFFFFF"/>
                <w:sz w:val="20"/>
                <w:szCs w:val="20"/>
              </w:rPr>
              <w:t>)?</w:t>
            </w:r>
          </w:p>
        </w:tc>
      </w:tr>
      <w:tr w:rsidR="00021CE5" w14:paraId="4E0D3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C6" w14:textId="77777777" w:rsidR="00021CE5" w:rsidRDefault="00000000">
            <w:pPr>
              <w:spacing w:before="20" w:after="20"/>
            </w:pPr>
            <w:proofErr w:type="spellStart"/>
            <w:r>
              <w:rPr>
                <w:color w:val="222222"/>
                <w:sz w:val="21"/>
                <w:szCs w:val="21"/>
              </w:rPr>
              <w:t>LMI</w:t>
            </w:r>
            <w:proofErr w:type="spellEnd"/>
            <w:r>
              <w:rPr>
                <w:color w:val="222222"/>
                <w:sz w:val="21"/>
                <w:szCs w:val="21"/>
              </w:rPr>
              <w:t xml:space="preserve"> uses market-based liquidity weights — bid-ask spreads and similar measures — to capture how liquid each asset is.</w:t>
            </w:r>
          </w:p>
        </w:tc>
      </w:tr>
      <w:tr w:rsidR="00021CE5" w14:paraId="4E0D31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C8" w14:textId="77777777" w:rsidR="00021CE5" w:rsidRDefault="00000000">
            <w:pPr>
              <w:spacing w:before="20" w:after="20"/>
            </w:pPr>
            <w:r>
              <w:rPr>
                <w:color w:val="222222"/>
                <w:sz w:val="21"/>
                <w:szCs w:val="21"/>
              </w:rPr>
              <w:t xml:space="preserve">Problem: market liquidity itself deteriorates during panic. If a run </w:t>
            </w:r>
            <w:proofErr w:type="gramStart"/>
            <w:r>
              <w:rPr>
                <w:color w:val="222222"/>
                <w:sz w:val="21"/>
                <w:szCs w:val="21"/>
              </w:rPr>
              <w:t>is occurring</w:t>
            </w:r>
            <w:proofErr w:type="gramEnd"/>
            <w:r>
              <w:rPr>
                <w:color w:val="222222"/>
                <w:sz w:val="21"/>
                <w:szCs w:val="21"/>
              </w:rPr>
              <w:t>, bid-ask spreads on bank assets widen immediately.</w:t>
            </w:r>
          </w:p>
        </w:tc>
      </w:tr>
      <w:tr w:rsidR="00021CE5" w14:paraId="4E0D31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CA" w14:textId="77777777" w:rsidR="00021CE5" w:rsidRDefault="00000000">
            <w:pPr>
              <w:spacing w:before="20" w:after="20"/>
            </w:pPr>
            <w:r>
              <w:rPr>
                <w:color w:val="222222"/>
                <w:sz w:val="21"/>
                <w:szCs w:val="21"/>
              </w:rPr>
              <w:t xml:space="preserve">Using </w:t>
            </w:r>
            <w:proofErr w:type="spellStart"/>
            <w:r>
              <w:rPr>
                <w:color w:val="222222"/>
                <w:sz w:val="21"/>
                <w:szCs w:val="21"/>
              </w:rPr>
              <w:t>LMI</w:t>
            </w:r>
            <w:proofErr w:type="spellEnd"/>
            <w:r>
              <w:rPr>
                <w:color w:val="222222"/>
                <w:sz w:val="21"/>
                <w:szCs w:val="21"/>
              </w:rPr>
              <w:t xml:space="preserve"> as the mismatch measure would make the measure endogenous to the very runs being studied — a classic circularity problem.</w:t>
            </w:r>
          </w:p>
        </w:tc>
      </w:tr>
      <w:tr w:rsidR="00021CE5" w14:paraId="4E0D31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CC" w14:textId="77777777" w:rsidR="00021CE5" w:rsidRDefault="00000000">
            <w:pPr>
              <w:spacing w:before="20" w:after="20"/>
            </w:pPr>
            <w:r>
              <w:rPr>
                <w:color w:val="222222"/>
                <w:sz w:val="21"/>
                <w:szCs w:val="21"/>
              </w:rPr>
              <w:t>%Uninsured and Asset Illiquidity are both based on balance sheet accounting data, which is far less susceptible to this contamination.</w:t>
            </w:r>
          </w:p>
        </w:tc>
      </w:tr>
    </w:tbl>
    <w:p w14:paraId="4E0D31CE" w14:textId="77777777" w:rsidR="00021CE5" w:rsidRDefault="00021CE5">
      <w:pPr>
        <w:spacing w:before="80"/>
      </w:pPr>
    </w:p>
    <w:p w14:paraId="4E0D31CF" w14:textId="77777777" w:rsidR="00021CE5" w:rsidRDefault="00000000">
      <w:pPr>
        <w:pStyle w:val="Heading2"/>
      </w:pPr>
      <w:r>
        <w:t>Slide: Measuring Flows and Performance</w:t>
      </w:r>
    </w:p>
    <w:p w14:paraId="4E0D31D0" w14:textId="77777777" w:rsidR="00021CE5" w:rsidRDefault="00000000">
      <w:pPr>
        <w:spacing w:before="200" w:after="60"/>
      </w:pPr>
      <w:r>
        <w:rPr>
          <w:b/>
          <w:bCs/>
          <w:color w:val="C0392B"/>
        </w:rPr>
        <w:t>Deposit Flow Construction</w:t>
      </w:r>
    </w:p>
    <w:p w14:paraId="4E0D31D1" w14:textId="77777777" w:rsidR="00021CE5" w:rsidRDefault="00000000">
      <w:pPr>
        <w:spacing w:before="60" w:after="80"/>
      </w:pPr>
      <w:r>
        <w:t>Deposit flows are measured as the change in deposit balances over two quarters (t-1 to t+1), scaled by lagged total assets and multiplied by 200 to annualize. The two-quarter window captures the full depositor response after a performance report, consistent with the post-earnings-announcement drift literature. Scaling by total assets (rather than by lagged deposits) captures economic significance relative to bank size.</w:t>
      </w:r>
    </w:p>
    <w:p w14:paraId="4E0D31D2" w14:textId="77777777" w:rsidR="00021CE5" w:rsidRDefault="00021CE5">
      <w:pPr>
        <w:spacing w:before="60"/>
      </w:pPr>
    </w:p>
    <w:p w14:paraId="4E0D31D3" w14:textId="77777777" w:rsidR="00021CE5" w:rsidRDefault="00000000">
      <w:pPr>
        <w:spacing w:before="200" w:after="60"/>
      </w:pPr>
      <w:r>
        <w:rPr>
          <w:b/>
          <w:bCs/>
          <w:color w:val="C0392B"/>
        </w:rPr>
        <w:t>ROA Construction</w:t>
      </w:r>
    </w:p>
    <w:p w14:paraId="4E0D31D4" w14:textId="77777777" w:rsidR="00021CE5" w:rsidRDefault="00000000">
      <w:pPr>
        <w:spacing w:before="60" w:after="80"/>
      </w:pPr>
      <w:r>
        <w:t xml:space="preserve">ROA is annualized net income divided by lagged assets. It is the primary performance signal watched by depositors, analysts, and regulators. The paper uses one-quarter lagged ROA (relative to the deposit flow window) to capture the information </w:t>
      </w:r>
      <w:proofErr w:type="gramStart"/>
      <w:r>
        <w:t>actually available</w:t>
      </w:r>
      <w:proofErr w:type="gramEnd"/>
      <w:r>
        <w:t xml:space="preserve"> to depositors when making withdrawal decisions.</w:t>
      </w:r>
    </w:p>
    <w:p w14:paraId="4E0D31D5"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D6" w14:textId="77777777" w:rsidR="00021CE5" w:rsidRDefault="00000000">
            <w:pPr>
              <w:spacing w:before="30" w:after="30"/>
            </w:pPr>
            <w:r>
              <w:rPr>
                <w:i/>
                <w:iCs/>
                <w:color w:val="444444"/>
                <w:sz w:val="20"/>
                <w:szCs w:val="20"/>
              </w:rPr>
              <w:t>⏱  Timing: 3–4 minutes.</w:t>
            </w:r>
          </w:p>
        </w:tc>
      </w:tr>
      <w:tr w:rsidR="00021CE5" w14:paraId="4E0D31D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D8" w14:textId="77777777" w:rsidR="00021CE5" w:rsidRDefault="00000000">
            <w:pPr>
              <w:spacing w:before="30" w:after="30"/>
            </w:pPr>
            <w:r>
              <w:rPr>
                <w:i/>
                <w:iCs/>
                <w:color w:val="444444"/>
                <w:sz w:val="20"/>
                <w:szCs w:val="20"/>
              </w:rPr>
              <w:t>The two-</w:t>
            </w:r>
            <w:proofErr w:type="gramStart"/>
            <w:r>
              <w:rPr>
                <w:i/>
                <w:iCs/>
                <w:color w:val="444444"/>
                <w:sz w:val="20"/>
                <w:szCs w:val="20"/>
              </w:rPr>
              <w:t>quarter window</w:t>
            </w:r>
            <w:proofErr w:type="gramEnd"/>
            <w:r>
              <w:rPr>
                <w:i/>
                <w:iCs/>
                <w:color w:val="444444"/>
                <w:sz w:val="20"/>
                <w:szCs w:val="20"/>
              </w:rPr>
              <w:t xml:space="preserve"> choice is worth explaining: Call Reports are filed ~30 days after quarter end. The post-</w:t>
            </w:r>
            <w:proofErr w:type="gramStart"/>
            <w:r>
              <w:rPr>
                <w:i/>
                <w:iCs/>
                <w:color w:val="444444"/>
                <w:sz w:val="20"/>
                <w:szCs w:val="20"/>
              </w:rPr>
              <w:t>earnings-announcement</w:t>
            </w:r>
            <w:proofErr w:type="gramEnd"/>
            <w:r>
              <w:rPr>
                <w:i/>
                <w:iCs/>
                <w:color w:val="444444"/>
                <w:sz w:val="20"/>
                <w:szCs w:val="20"/>
              </w:rPr>
              <w:t xml:space="preserve"> drift literature documents that market participants continue to react for up to one additional quarter. </w:t>
            </w:r>
            <w:proofErr w:type="gramStart"/>
            <w:r>
              <w:rPr>
                <w:i/>
                <w:iCs/>
                <w:color w:val="444444"/>
                <w:sz w:val="20"/>
                <w:szCs w:val="20"/>
              </w:rPr>
              <w:t>So</w:t>
            </w:r>
            <w:proofErr w:type="gramEnd"/>
            <w:r>
              <w:rPr>
                <w:i/>
                <w:iCs/>
                <w:color w:val="444444"/>
                <w:sz w:val="20"/>
                <w:szCs w:val="20"/>
              </w:rPr>
              <w:t xml:space="preserve"> the two-quarter window is not arbitrary — it's theory-motivated.</w:t>
            </w:r>
          </w:p>
        </w:tc>
      </w:tr>
      <w:tr w:rsidR="00021CE5" w14:paraId="4E0D31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DA" w14:textId="77777777" w:rsidR="00021CE5" w:rsidRDefault="00000000">
            <w:pPr>
              <w:spacing w:before="30" w:after="30"/>
            </w:pPr>
            <w:r>
              <w:rPr>
                <w:i/>
                <w:iCs/>
                <w:color w:val="444444"/>
                <w:sz w:val="20"/>
                <w:szCs w:val="20"/>
              </w:rPr>
              <w:t xml:space="preserve">Anticipated question: 'Why not use daily deposit data?' Answer: Call Reports are quarterly. Daily data for individual banks was not available for the 1993-2016 period at this scale. The </w:t>
            </w:r>
            <w:proofErr w:type="spellStart"/>
            <w:r>
              <w:rPr>
                <w:i/>
                <w:iCs/>
                <w:color w:val="444444"/>
                <w:sz w:val="20"/>
                <w:szCs w:val="20"/>
              </w:rPr>
              <w:t>SVB</w:t>
            </w:r>
            <w:proofErr w:type="spellEnd"/>
            <w:r>
              <w:rPr>
                <w:i/>
                <w:iCs/>
                <w:color w:val="444444"/>
                <w:sz w:val="20"/>
                <w:szCs w:val="20"/>
              </w:rPr>
              <w:t xml:space="preserve"> episode (Part 8) highlights this as a limitation.</w:t>
            </w:r>
          </w:p>
        </w:tc>
      </w:tr>
    </w:tbl>
    <w:p w14:paraId="4E0D31DC" w14:textId="77777777" w:rsidR="00021CE5" w:rsidRDefault="00021CE5">
      <w:pPr>
        <w:pBdr>
          <w:bottom w:val="single" w:sz="4" w:space="0" w:color="B0C4D8"/>
        </w:pBdr>
        <w:spacing w:before="160" w:after="160"/>
      </w:pPr>
    </w:p>
    <w:p w14:paraId="4E0D31DD" w14:textId="77777777" w:rsidR="00021CE5" w:rsidRDefault="00000000">
      <w:pPr>
        <w:pStyle w:val="Heading1"/>
        <w:pBdr>
          <w:bottom w:val="single" w:sz="8" w:space="4" w:color="C0392B"/>
        </w:pBdr>
        <w:spacing w:before="360" w:after="120"/>
      </w:pPr>
      <w:r>
        <w:t>Part 6: Empirical Results</w:t>
      </w:r>
    </w:p>
    <w:p w14:paraId="4E0D31DE" w14:textId="77777777" w:rsidR="00021CE5" w:rsidRDefault="00000000">
      <w:pPr>
        <w:pStyle w:val="Heading2"/>
      </w:pPr>
      <w:r>
        <w:lastRenderedPageBreak/>
        <w:t>Slide: First Look — Semi-Parametric Evidence (Figure 3)</w:t>
      </w:r>
    </w:p>
    <w:p w14:paraId="4E0D31DF" w14:textId="77777777" w:rsidR="00021CE5" w:rsidRDefault="00000000">
      <w:pPr>
        <w:spacing w:before="200" w:after="60"/>
      </w:pPr>
      <w:r>
        <w:rPr>
          <w:b/>
          <w:bCs/>
          <w:color w:val="C0392B"/>
        </w:rPr>
        <w:t>Core Concept</w:t>
      </w:r>
    </w:p>
    <w:p w14:paraId="4E0D31E0" w14:textId="77777777" w:rsidR="00021CE5" w:rsidRDefault="00000000">
      <w:pPr>
        <w:spacing w:before="60" w:after="80"/>
      </w:pPr>
      <w:r>
        <w:t>Before running any parametric regressions, the paper uses Robinson's (1988) semi-parametric estimator to plot the nonparametric relationship between ROA and deposit flows. This imposes no functional form — it simply asks: what does the data say about the shape of the flow-performance relationship?</w:t>
      </w:r>
    </w:p>
    <w:p w14:paraId="4E0D31E1"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1E2" w14:textId="77777777" w:rsidR="00021CE5" w:rsidRDefault="00000000">
            <w:r>
              <w:rPr>
                <w:b/>
                <w:bCs/>
                <w:color w:val="FFFFFF"/>
                <w:sz w:val="20"/>
                <w:szCs w:val="20"/>
              </w:rPr>
              <w:t>Reading Figure 3</w:t>
            </w:r>
          </w:p>
        </w:tc>
      </w:tr>
      <w:tr w:rsidR="00021CE5" w14:paraId="4E0D31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E4" w14:textId="77777777" w:rsidR="00021CE5" w:rsidRDefault="00000000">
            <w:pPr>
              <w:spacing w:before="20" w:after="20"/>
            </w:pPr>
            <w:r>
              <w:rPr>
                <w:color w:val="222222"/>
                <w:sz w:val="21"/>
                <w:szCs w:val="21"/>
              </w:rPr>
              <w:t>Panel A (Insured vs. Uninsured): Insured deposit flows are flat across all ROA levels — confirming no strategic incentive to run. Uninsured deposit flows are flat above median ROA but drop sharply below median. This S-shape is exactly what the GP model predicts.</w:t>
            </w:r>
          </w:p>
        </w:tc>
      </w:tr>
      <w:tr w:rsidR="00021CE5" w14:paraId="4E0D31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E6" w14:textId="77777777" w:rsidR="00021CE5" w:rsidRDefault="00000000">
            <w:pPr>
              <w:spacing w:before="20" w:after="20"/>
            </w:pPr>
            <w:r>
              <w:rPr>
                <w:color w:val="222222"/>
                <w:sz w:val="21"/>
                <w:szCs w:val="21"/>
              </w:rPr>
              <w:t>Panels B &amp; C (By Mismatch Tercile): Above-median ROA, high and low mismatch banks look identical. Below-median ROA, they diverge dramatically — high mismatch banks (top tercile) show much steeper outflows. This visual confirms ∂P*/∂r₁ &gt; 0 without running a single regression.</w:t>
            </w:r>
          </w:p>
        </w:tc>
      </w:tr>
      <w:tr w:rsidR="00021CE5" w14:paraId="4E0D31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1E8" w14:textId="77777777" w:rsidR="00021CE5" w:rsidRDefault="00000000">
            <w:pPr>
              <w:spacing w:before="20" w:after="20"/>
            </w:pPr>
            <w:r>
              <w:rPr>
                <w:color w:val="222222"/>
                <w:sz w:val="21"/>
                <w:szCs w:val="21"/>
              </w:rPr>
              <w:t>The location of the inflection point (below median ROA) validates Condition 2 from the derivation: f'(P*) &gt; 0 because the threshold is on the upward slope of the bell-shaped ROA distribution.</w:t>
            </w:r>
          </w:p>
        </w:tc>
      </w:tr>
    </w:tbl>
    <w:p w14:paraId="4E0D31EA" w14:textId="77777777" w:rsidR="00021CE5" w:rsidRDefault="00021CE5">
      <w:pPr>
        <w:spacing w:before="8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1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EB" w14:textId="77777777" w:rsidR="00021CE5" w:rsidRDefault="00000000">
            <w:pPr>
              <w:spacing w:before="30" w:after="30"/>
            </w:pPr>
            <w:r>
              <w:rPr>
                <w:i/>
                <w:iCs/>
                <w:color w:val="444444"/>
                <w:sz w:val="20"/>
                <w:szCs w:val="20"/>
              </w:rPr>
              <w:t>⏱  Timing: 5–6 minutes. Figure 3 is the visual centerpiece of the paper.</w:t>
            </w:r>
          </w:p>
        </w:tc>
      </w:tr>
      <w:tr w:rsidR="00021CE5" w14:paraId="4E0D31E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ED" w14:textId="77777777" w:rsidR="00021CE5" w:rsidRDefault="00000000">
            <w:pPr>
              <w:spacing w:before="30" w:after="30"/>
            </w:pPr>
            <w:r>
              <w:rPr>
                <w:i/>
                <w:iCs/>
                <w:color w:val="444444"/>
                <w:sz w:val="20"/>
                <w:szCs w:val="20"/>
              </w:rPr>
              <w:t>Point to the figure directly: 'The entire theoretical argument from Parts 2 and 3 is visible in this picture without a single regression.'</w:t>
            </w:r>
          </w:p>
        </w:tc>
      </w:tr>
      <w:tr w:rsidR="00021CE5" w14:paraId="4E0D31F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EF" w14:textId="77777777" w:rsidR="00021CE5" w:rsidRDefault="00000000">
            <w:pPr>
              <w:spacing w:before="30" w:after="30"/>
            </w:pPr>
            <w:r>
              <w:rPr>
                <w:i/>
                <w:iCs/>
                <w:color w:val="444444"/>
                <w:sz w:val="20"/>
                <w:szCs w:val="20"/>
              </w:rPr>
              <w:t>Stress Panel A: the placebo works perfectly. Insured deposits are flat. This rules out many confounds immediately.</w:t>
            </w:r>
          </w:p>
        </w:tc>
      </w:tr>
      <w:tr w:rsidR="00021CE5" w14:paraId="4E0D31F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1F1" w14:textId="77777777" w:rsidR="00021CE5" w:rsidRDefault="00000000">
            <w:pPr>
              <w:spacing w:before="30" w:after="30"/>
            </w:pPr>
            <w:r>
              <w:rPr>
                <w:i/>
                <w:iCs/>
                <w:color w:val="444444"/>
                <w:sz w:val="20"/>
                <w:szCs w:val="20"/>
              </w:rPr>
              <w:t>Stress the divergence in Panels B/C: it begins exactly at the median ROA, consistent with the threshold being below median. This is not cherry-picked — it's where the model says the action should be.</w:t>
            </w:r>
          </w:p>
        </w:tc>
      </w:tr>
    </w:tbl>
    <w:p w14:paraId="4E0D31F3" w14:textId="77777777" w:rsidR="00021CE5" w:rsidRDefault="00021CE5">
      <w:pPr>
        <w:spacing w:before="80"/>
      </w:pPr>
    </w:p>
    <w:p w14:paraId="4E0D31F4" w14:textId="77777777" w:rsidR="00021CE5" w:rsidRDefault="00000000">
      <w:pPr>
        <w:pStyle w:val="Heading2"/>
      </w:pPr>
      <w:r>
        <w:t>Slide: Main Specification — Sensitivity Test (Equation 3)</w:t>
      </w:r>
    </w:p>
    <w:p w14:paraId="4E0D31F5" w14:textId="77777777" w:rsidR="00021CE5" w:rsidRDefault="00000000">
      <w:pPr>
        <w:spacing w:before="200" w:after="60"/>
      </w:pPr>
      <w:r>
        <w:rPr>
          <w:b/>
          <w:bCs/>
          <w:color w:val="C0392B"/>
        </w:rPr>
        <w:t>Core Concept</w:t>
      </w:r>
    </w:p>
    <w:p w14:paraId="4E0D31F6" w14:textId="77777777" w:rsidR="00021CE5" w:rsidRDefault="00000000">
      <w:pPr>
        <w:spacing w:before="60" w:after="80"/>
      </w:pPr>
      <w:r>
        <w:t>Equation (3) is the main parametric test. The dependent variable is uninsured deposit flows. The key coefficient is β₁ on the interaction of demeaned mismatch (MM̃) with ROA. A positive β₁ means that higher-mismatch banks have steeper flow-performance sensitivity — exactly Prediction 1.</w:t>
      </w:r>
    </w:p>
    <w:p w14:paraId="4E0D31F7" w14:textId="77777777" w:rsidR="00021CE5" w:rsidRDefault="00021C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021CE5" w14:paraId="4E0D31FB" w14:textId="77777777">
        <w:tblPrEx>
          <w:tblCellMar>
            <w:top w:w="0" w:type="dxa"/>
            <w:bottom w:w="0" w:type="dxa"/>
          </w:tblCellMar>
        </w:tblPrEx>
        <w:tc>
          <w:tcPr>
            <w:tcW w:w="350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1F8" w14:textId="77777777" w:rsidR="00021CE5" w:rsidRDefault="00000000">
            <w:pPr>
              <w:jc w:val="center"/>
            </w:pPr>
            <w:r>
              <w:rPr>
                <w:b/>
                <w:bCs/>
                <w:color w:val="FFFFFF"/>
                <w:sz w:val="20"/>
                <w:szCs w:val="20"/>
              </w:rPr>
              <w:t>Specification</w:t>
            </w:r>
          </w:p>
        </w:tc>
        <w:tc>
          <w:tcPr>
            <w:tcW w:w="293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1F9" w14:textId="77777777" w:rsidR="00021CE5" w:rsidRDefault="00000000">
            <w:pPr>
              <w:jc w:val="center"/>
            </w:pPr>
            <w:r>
              <w:rPr>
                <w:b/>
                <w:bCs/>
                <w:color w:val="FFFFFF"/>
                <w:sz w:val="20"/>
                <w:szCs w:val="20"/>
              </w:rPr>
              <w:t>Asset Illiquidity (β₁)</w:t>
            </w:r>
          </w:p>
        </w:tc>
        <w:tc>
          <w:tcPr>
            <w:tcW w:w="293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1FA" w14:textId="77777777" w:rsidR="00021CE5" w:rsidRDefault="00000000">
            <w:pPr>
              <w:jc w:val="center"/>
            </w:pPr>
            <w:r>
              <w:rPr>
                <w:b/>
                <w:bCs/>
                <w:color w:val="FFFFFF"/>
                <w:sz w:val="20"/>
                <w:szCs w:val="20"/>
              </w:rPr>
              <w:t>% Uninsured (β₁)</w:t>
            </w:r>
          </w:p>
        </w:tc>
      </w:tr>
      <w:tr w:rsidR="00021CE5" w14:paraId="4E0D31FF" w14:textId="77777777">
        <w:tblPrEx>
          <w:tblCellMar>
            <w:top w:w="0" w:type="dxa"/>
            <w:bottom w:w="0" w:type="dxa"/>
          </w:tblCellMar>
        </w:tblPrEx>
        <w:tc>
          <w:tcPr>
            <w:tcW w:w="35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FC" w14:textId="77777777" w:rsidR="00021CE5" w:rsidRDefault="00000000">
            <w:r>
              <w:rPr>
                <w:sz w:val="20"/>
                <w:szCs w:val="20"/>
              </w:rPr>
              <w:t>No bank FE</w:t>
            </w:r>
          </w:p>
        </w:tc>
        <w:tc>
          <w:tcPr>
            <w:tcW w:w="293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FD" w14:textId="77777777" w:rsidR="00021CE5" w:rsidRDefault="00000000">
            <w:r>
              <w:rPr>
                <w:sz w:val="20"/>
                <w:szCs w:val="20"/>
              </w:rPr>
              <w:t>2.721**</w:t>
            </w:r>
          </w:p>
        </w:tc>
        <w:tc>
          <w:tcPr>
            <w:tcW w:w="293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1FE" w14:textId="77777777" w:rsidR="00021CE5" w:rsidRDefault="00000000">
            <w:r>
              <w:rPr>
                <w:sz w:val="20"/>
                <w:szCs w:val="20"/>
              </w:rPr>
              <w:t>0.039***</w:t>
            </w:r>
          </w:p>
        </w:tc>
      </w:tr>
      <w:tr w:rsidR="00021CE5" w14:paraId="4E0D3203" w14:textId="77777777">
        <w:tblPrEx>
          <w:tblCellMar>
            <w:top w:w="0" w:type="dxa"/>
            <w:bottom w:w="0" w:type="dxa"/>
          </w:tblCellMar>
        </w:tblPrEx>
        <w:tc>
          <w:tcPr>
            <w:tcW w:w="35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00" w14:textId="77777777" w:rsidR="00021CE5" w:rsidRDefault="00000000">
            <w:r>
              <w:rPr>
                <w:sz w:val="20"/>
                <w:szCs w:val="20"/>
              </w:rPr>
              <w:t xml:space="preserve">With </w:t>
            </w:r>
            <w:proofErr w:type="gramStart"/>
            <w:r>
              <w:rPr>
                <w:sz w:val="20"/>
                <w:szCs w:val="20"/>
              </w:rPr>
              <w:t>bank</w:t>
            </w:r>
            <w:proofErr w:type="gramEnd"/>
            <w:r>
              <w:rPr>
                <w:sz w:val="20"/>
                <w:szCs w:val="20"/>
              </w:rPr>
              <w:t xml:space="preserve"> FE</w:t>
            </w:r>
          </w:p>
        </w:tc>
        <w:tc>
          <w:tcPr>
            <w:tcW w:w="293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01" w14:textId="77777777" w:rsidR="00021CE5" w:rsidRDefault="00000000">
            <w:r>
              <w:rPr>
                <w:sz w:val="20"/>
                <w:szCs w:val="20"/>
              </w:rPr>
              <w:t>3.668***</w:t>
            </w:r>
          </w:p>
        </w:tc>
        <w:tc>
          <w:tcPr>
            <w:tcW w:w="293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02" w14:textId="77777777" w:rsidR="00021CE5" w:rsidRDefault="00000000">
            <w:r>
              <w:rPr>
                <w:sz w:val="20"/>
                <w:szCs w:val="20"/>
              </w:rPr>
              <w:t>0.041***</w:t>
            </w:r>
          </w:p>
        </w:tc>
      </w:tr>
      <w:tr w:rsidR="00021CE5" w14:paraId="4E0D3207" w14:textId="77777777">
        <w:tblPrEx>
          <w:tblCellMar>
            <w:top w:w="0" w:type="dxa"/>
            <w:bottom w:w="0" w:type="dxa"/>
          </w:tblCellMar>
        </w:tblPrEx>
        <w:tc>
          <w:tcPr>
            <w:tcW w:w="35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04" w14:textId="77777777" w:rsidR="00021CE5" w:rsidRDefault="00000000">
            <w:r>
              <w:rPr>
                <w:sz w:val="20"/>
                <w:szCs w:val="20"/>
              </w:rPr>
              <w:t>Economic magnitude</w:t>
            </w:r>
          </w:p>
        </w:tc>
        <w:tc>
          <w:tcPr>
            <w:tcW w:w="293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05" w14:textId="77777777" w:rsidR="00021CE5" w:rsidRDefault="00000000">
            <w:r>
              <w:rPr>
                <w:sz w:val="20"/>
                <w:szCs w:val="20"/>
              </w:rPr>
              <w:t>+34% per SD</w:t>
            </w:r>
          </w:p>
        </w:tc>
        <w:tc>
          <w:tcPr>
            <w:tcW w:w="293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06" w14:textId="77777777" w:rsidR="00021CE5" w:rsidRDefault="00000000">
            <w:r>
              <w:rPr>
                <w:sz w:val="20"/>
                <w:szCs w:val="20"/>
              </w:rPr>
              <w:t>+43% per SD</w:t>
            </w:r>
          </w:p>
        </w:tc>
      </w:tr>
    </w:tbl>
    <w:p w14:paraId="4E0D3208" w14:textId="77777777" w:rsidR="00021CE5" w:rsidRDefault="00021CE5">
      <w:pPr>
        <w:spacing w:before="80"/>
      </w:pPr>
    </w:p>
    <w:p w14:paraId="4E0D3209" w14:textId="77777777" w:rsidR="00021CE5" w:rsidRDefault="00000000">
      <w:pPr>
        <w:spacing w:before="60" w:after="80"/>
      </w:pPr>
      <w:r>
        <w:t xml:space="preserve">The bank fixed effects specification is preferred. Fixed effects absorb all time-invariant bank characteristics, so β₁ is identified purely from within-bank variation over time — periods when </w:t>
      </w:r>
      <w:r>
        <w:lastRenderedPageBreak/>
        <w:t xml:space="preserve">the same bank experiences worse performance see steeper outflows if the bank has higher mismatch. The coefficient grows (not shrinks) with fixed effects, suggesting time-invariant confounds were </w:t>
      </w:r>
      <w:proofErr w:type="gramStart"/>
      <w:r>
        <w:t>actually attenuating</w:t>
      </w:r>
      <w:proofErr w:type="gramEnd"/>
      <w:r>
        <w:t xml:space="preserve"> the effect.</w:t>
      </w:r>
    </w:p>
    <w:p w14:paraId="4E0D320A"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0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0B" w14:textId="77777777" w:rsidR="00021CE5" w:rsidRDefault="00000000">
            <w:pPr>
              <w:spacing w:before="30" w:after="30"/>
            </w:pPr>
            <w:r>
              <w:rPr>
                <w:i/>
                <w:iCs/>
                <w:color w:val="444444"/>
                <w:sz w:val="20"/>
                <w:szCs w:val="20"/>
              </w:rPr>
              <w:t>⏱  Timing: 4–5 minutes.</w:t>
            </w:r>
          </w:p>
        </w:tc>
      </w:tr>
      <w:tr w:rsidR="00021CE5" w14:paraId="4E0D320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0D" w14:textId="77777777" w:rsidR="00021CE5" w:rsidRDefault="00000000">
            <w:pPr>
              <w:spacing w:before="30" w:after="30"/>
            </w:pPr>
            <w:r>
              <w:rPr>
                <w:i/>
                <w:iCs/>
                <w:color w:val="444444"/>
                <w:sz w:val="20"/>
                <w:szCs w:val="20"/>
              </w:rPr>
              <w:t>Walk through what 'demeaned mismatch' means: β₀ gives the sensitivity for the average bank (MM̃ = 0), while β₁ tells you how that sensitivity changes per unit deviation in mismatch.</w:t>
            </w:r>
          </w:p>
        </w:tc>
      </w:tr>
      <w:tr w:rsidR="00021CE5" w14:paraId="4E0D32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0F" w14:textId="77777777" w:rsidR="00021CE5" w:rsidRDefault="00000000">
            <w:pPr>
              <w:spacing w:before="30" w:after="30"/>
            </w:pPr>
            <w:r>
              <w:rPr>
                <w:i/>
                <w:iCs/>
                <w:color w:val="444444"/>
                <w:sz w:val="20"/>
                <w:szCs w:val="20"/>
              </w:rPr>
              <w:t>Economic magnitude is the key number for the audience: one standard deviation more Asset Illiquidity is associated with 34% higher flow-performance sensitivity. That is economically large.</w:t>
            </w:r>
          </w:p>
        </w:tc>
      </w:tr>
      <w:tr w:rsidR="00021CE5" w14:paraId="4E0D32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11" w14:textId="77777777" w:rsidR="00021CE5" w:rsidRDefault="00000000">
            <w:pPr>
              <w:spacing w:before="30" w:after="30"/>
            </w:pPr>
            <w:r>
              <w:rPr>
                <w:i/>
                <w:iCs/>
                <w:color w:val="444444"/>
                <w:sz w:val="20"/>
                <w:szCs w:val="20"/>
              </w:rPr>
              <w:t xml:space="preserve">Anticipated question: 'Why does the coefficient increase with fixed effects?' Standard answer is attenuation bias from measurement error. But also: time-invariant bank quality was </w:t>
            </w:r>
            <w:proofErr w:type="gramStart"/>
            <w:r>
              <w:rPr>
                <w:i/>
                <w:iCs/>
                <w:color w:val="444444"/>
                <w:sz w:val="20"/>
                <w:szCs w:val="20"/>
              </w:rPr>
              <w:t>actually negatively</w:t>
            </w:r>
            <w:proofErr w:type="gramEnd"/>
            <w:r>
              <w:rPr>
                <w:i/>
                <w:iCs/>
                <w:color w:val="444444"/>
                <w:sz w:val="20"/>
                <w:szCs w:val="20"/>
              </w:rPr>
              <w:t xml:space="preserve"> correlated with mismatch, so removing it reveals a larger panic effect.</w:t>
            </w:r>
          </w:p>
        </w:tc>
      </w:tr>
    </w:tbl>
    <w:p w14:paraId="4E0D3213" w14:textId="77777777" w:rsidR="00021CE5" w:rsidRDefault="00021CE5">
      <w:pPr>
        <w:spacing w:before="80"/>
      </w:pPr>
    </w:p>
    <w:p w14:paraId="4E0D3214" w14:textId="77777777" w:rsidR="00021CE5" w:rsidRDefault="00000000">
      <w:pPr>
        <w:pStyle w:val="Heading2"/>
      </w:pPr>
      <w:r>
        <w:t>Slide: Main Specification — Level Test (Equation 5)</w:t>
      </w:r>
    </w:p>
    <w:p w14:paraId="4E0D3215" w14:textId="77777777" w:rsidR="00021CE5" w:rsidRDefault="00000000">
      <w:pPr>
        <w:spacing w:before="200" w:after="60"/>
      </w:pPr>
      <w:r>
        <w:rPr>
          <w:b/>
          <w:bCs/>
          <w:color w:val="C0392B"/>
        </w:rPr>
        <w:t>Core Concept</w:t>
      </w:r>
    </w:p>
    <w:p w14:paraId="4E0D3216" w14:textId="77777777" w:rsidR="00021CE5" w:rsidRDefault="00000000">
      <w:pPr>
        <w:spacing w:before="60" w:after="80"/>
      </w:pPr>
      <w:r>
        <w:t>Equation (5) tests Prediction 2 directly: conditional on below-median performance, do high-mismatch banks experience larger outflows? The indicator variable 1(ROA &lt; Med) captures below-median performance, and β₁ on MM × 1(ROA &lt; Med) should be negative.</w:t>
      </w:r>
    </w:p>
    <w:p w14:paraId="4E0D3217" w14:textId="77777777" w:rsidR="00021CE5" w:rsidRDefault="00021CE5">
      <w:pPr>
        <w:spacing w:before="60"/>
      </w:pPr>
    </w:p>
    <w:p w14:paraId="4E0D3218" w14:textId="77777777" w:rsidR="00021CE5" w:rsidRDefault="00000000">
      <w:pPr>
        <w:spacing w:before="60" w:after="80"/>
      </w:pPr>
      <w:r>
        <w:t xml:space="preserve">Figure 4 in the paper plots β₁ separately for each ROA decile. The pattern is </w:t>
      </w:r>
      <w:proofErr w:type="gramStart"/>
      <w:r>
        <w:t>striking:</w:t>
      </w:r>
      <w:proofErr w:type="gramEnd"/>
      <w:r>
        <w:t xml:space="preserve"> coefficients are near zero for the top 5 deciles and monotonically more negative for the bottom 5 deciles, with statistical significance only in the bottom 2 deciles. This is exactly the shape predicted by the threshold model — panic only materializes in bad states.</w:t>
      </w:r>
    </w:p>
    <w:p w14:paraId="4E0D3219"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1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1A" w14:textId="77777777" w:rsidR="00021CE5" w:rsidRDefault="00000000">
            <w:pPr>
              <w:spacing w:before="30" w:after="30"/>
            </w:pPr>
            <w:r>
              <w:rPr>
                <w:i/>
                <w:iCs/>
                <w:color w:val="444444"/>
                <w:sz w:val="20"/>
                <w:szCs w:val="20"/>
              </w:rPr>
              <w:t>⏱  Timing: 4 minutes.</w:t>
            </w:r>
          </w:p>
        </w:tc>
      </w:tr>
      <w:tr w:rsidR="00021CE5" w14:paraId="4E0D32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1C" w14:textId="77777777" w:rsidR="00021CE5" w:rsidRDefault="00000000">
            <w:pPr>
              <w:spacing w:before="30" w:after="30"/>
            </w:pPr>
            <w:r>
              <w:rPr>
                <w:i/>
                <w:iCs/>
                <w:color w:val="444444"/>
                <w:sz w:val="20"/>
                <w:szCs w:val="20"/>
              </w:rPr>
              <w:t xml:space="preserve">The Figure 4 pattern (not shown in slide but worth describing) is powerful: the coefficient evolves exactly as the model predicts, decile by decile. This is not a cherry-picked </w:t>
            </w:r>
            <w:proofErr w:type="spellStart"/>
            <w:r>
              <w:rPr>
                <w:i/>
                <w:iCs/>
                <w:color w:val="444444"/>
                <w:sz w:val="20"/>
                <w:szCs w:val="20"/>
              </w:rPr>
              <w:t>cutpoint</w:t>
            </w:r>
            <w:proofErr w:type="spellEnd"/>
            <w:r>
              <w:rPr>
                <w:i/>
                <w:iCs/>
                <w:color w:val="444444"/>
                <w:sz w:val="20"/>
                <w:szCs w:val="20"/>
              </w:rPr>
              <w:t>.</w:t>
            </w:r>
          </w:p>
        </w:tc>
      </w:tr>
      <w:tr w:rsidR="00021CE5" w14:paraId="4E0D32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1E" w14:textId="77777777" w:rsidR="00021CE5" w:rsidRDefault="00000000">
            <w:pPr>
              <w:spacing w:before="30" w:after="30"/>
            </w:pPr>
            <w:r>
              <w:rPr>
                <w:i/>
                <w:iCs/>
                <w:color w:val="444444"/>
                <w:sz w:val="20"/>
                <w:szCs w:val="20"/>
              </w:rPr>
              <w:t>Economic magnitude: 1 SD more mismatch → 34–35% of the mean deposit flow as additional outflows when performance is below median. Given that mean uninsured deposit flow is about 2%, this is enormous in absolute terms during bad periods.</w:t>
            </w:r>
          </w:p>
        </w:tc>
      </w:tr>
    </w:tbl>
    <w:p w14:paraId="4E0D3220" w14:textId="77777777" w:rsidR="00021CE5" w:rsidRDefault="00021CE5">
      <w:pPr>
        <w:spacing w:before="80"/>
      </w:pPr>
    </w:p>
    <w:p w14:paraId="4E0D3221" w14:textId="77777777" w:rsidR="00021CE5" w:rsidRDefault="00000000">
      <w:pPr>
        <w:pStyle w:val="Heading2"/>
      </w:pPr>
      <w:r>
        <w:t>Slide: Ruling Out the Information Story — Peer Capital Test</w:t>
      </w:r>
    </w:p>
    <w:p w14:paraId="4E0D3222" w14:textId="77777777" w:rsidR="00021CE5" w:rsidRDefault="00000000">
      <w:pPr>
        <w:spacing w:before="200" w:after="60"/>
      </w:pPr>
      <w:r>
        <w:rPr>
          <w:b/>
          <w:bCs/>
          <w:color w:val="C0392B"/>
        </w:rPr>
        <w:t>The Alternative Explanation</w:t>
      </w:r>
    </w:p>
    <w:p w14:paraId="4E0D3223" w14:textId="77777777" w:rsidR="00021CE5" w:rsidRDefault="00000000">
      <w:pPr>
        <w:spacing w:before="60" w:after="80"/>
      </w:pPr>
      <w:r>
        <w:t>The key concern is that Asset Illiquidity might correlate with ROA informativeness — banks with more illiquid loans may have ROA that better predicts future asset quality changes. If so, the stronger withdrawal response at high-mismatch banks would reflect rational updating, not panic.</w:t>
      </w:r>
    </w:p>
    <w:p w14:paraId="4E0D3224" w14:textId="77777777" w:rsidR="00021CE5" w:rsidRDefault="00021CE5">
      <w:pPr>
        <w:spacing w:before="60"/>
      </w:pPr>
    </w:p>
    <w:p w14:paraId="4E0D3225" w14:textId="77777777" w:rsidR="00021CE5" w:rsidRDefault="00000000">
      <w:pPr>
        <w:spacing w:before="200" w:after="60"/>
      </w:pPr>
      <w:r>
        <w:rPr>
          <w:b/>
          <w:bCs/>
          <w:color w:val="C0392B"/>
        </w:rPr>
        <w:t>The Test</w:t>
      </w:r>
    </w:p>
    <w:p w14:paraId="4E0D3226" w14:textId="77777777" w:rsidR="00021CE5" w:rsidRDefault="00000000">
      <w:pPr>
        <w:spacing w:before="60" w:after="80"/>
      </w:pPr>
      <w:r>
        <w:lastRenderedPageBreak/>
        <w:t>Granja et al. (2017) document that distressed banks sell assets to local peer banks. When local peers have less capital, they cannot absorb fire sales without steep discounts — so the fire-sale externality is more severe. Under the panic hypothesis, high-mismatch effects should be stronger when peer capital is low. Under the information hypothesis, peer capital has no reason to matter.</w:t>
      </w:r>
    </w:p>
    <w:p w14:paraId="4E0D3227" w14:textId="77777777" w:rsidR="00021CE5" w:rsidRDefault="00021C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021CE5" w14:paraId="4E0D322B" w14:textId="77777777">
        <w:tblPrEx>
          <w:tblCellMar>
            <w:top w:w="0" w:type="dxa"/>
            <w:bottom w:w="0" w:type="dxa"/>
          </w:tblCellMar>
        </w:tblPrEx>
        <w:tc>
          <w:tcPr>
            <w:tcW w:w="320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228" w14:textId="77777777" w:rsidR="00021CE5" w:rsidRDefault="00000000">
            <w:pPr>
              <w:jc w:val="center"/>
            </w:pPr>
            <w:r>
              <w:rPr>
                <w:b/>
                <w:bCs/>
                <w:color w:val="FFFFFF"/>
                <w:sz w:val="20"/>
                <w:szCs w:val="20"/>
              </w:rPr>
              <w:t>Peer Capital Tercile</w:t>
            </w:r>
          </w:p>
        </w:tc>
        <w:tc>
          <w:tcPr>
            <w:tcW w:w="308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229" w14:textId="77777777" w:rsidR="00021CE5" w:rsidRDefault="00000000">
            <w:pPr>
              <w:jc w:val="center"/>
            </w:pPr>
            <w:r>
              <w:rPr>
                <w:b/>
                <w:bCs/>
                <w:color w:val="FFFFFF"/>
                <w:sz w:val="20"/>
                <w:szCs w:val="20"/>
              </w:rPr>
              <w:t>ROA × AI (Sensitivity)</w:t>
            </w:r>
          </w:p>
        </w:tc>
        <w:tc>
          <w:tcPr>
            <w:tcW w:w="308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22A" w14:textId="77777777" w:rsidR="00021CE5" w:rsidRDefault="00000000">
            <w:pPr>
              <w:jc w:val="center"/>
            </w:pPr>
            <w:r>
              <w:rPr>
                <w:b/>
                <w:bCs/>
                <w:color w:val="FFFFFF"/>
                <w:sz w:val="20"/>
                <w:szCs w:val="20"/>
              </w:rPr>
              <w:t>AI × 1(ROA&lt;Med) (Level)</w:t>
            </w:r>
          </w:p>
        </w:tc>
      </w:tr>
      <w:tr w:rsidR="00021CE5" w14:paraId="4E0D322F" w14:textId="77777777">
        <w:tblPrEx>
          <w:tblCellMar>
            <w:top w:w="0" w:type="dxa"/>
            <w:bottom w:w="0" w:type="dxa"/>
          </w:tblCellMar>
        </w:tblPrEx>
        <w:tc>
          <w:tcPr>
            <w:tcW w:w="3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2C" w14:textId="77777777" w:rsidR="00021CE5" w:rsidRDefault="00000000">
            <w:r>
              <w:rPr>
                <w:sz w:val="20"/>
                <w:szCs w:val="20"/>
              </w:rPr>
              <w:t>Bottom (scarce)</w:t>
            </w:r>
          </w:p>
        </w:tc>
        <w:tc>
          <w:tcPr>
            <w:tcW w:w="308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2D" w14:textId="77777777" w:rsidR="00021CE5" w:rsidRDefault="00000000">
            <w:r>
              <w:rPr>
                <w:sz w:val="20"/>
                <w:szCs w:val="20"/>
              </w:rPr>
              <w:t>5.535***</w:t>
            </w:r>
          </w:p>
        </w:tc>
        <w:tc>
          <w:tcPr>
            <w:tcW w:w="308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2E" w14:textId="77777777" w:rsidR="00021CE5" w:rsidRDefault="00000000">
            <w:r>
              <w:rPr>
                <w:sz w:val="20"/>
                <w:szCs w:val="20"/>
              </w:rPr>
              <w:t>−7.630***</w:t>
            </w:r>
          </w:p>
        </w:tc>
      </w:tr>
      <w:tr w:rsidR="00021CE5" w14:paraId="4E0D3233" w14:textId="77777777">
        <w:tblPrEx>
          <w:tblCellMar>
            <w:top w:w="0" w:type="dxa"/>
            <w:bottom w:w="0" w:type="dxa"/>
          </w:tblCellMar>
        </w:tblPrEx>
        <w:tc>
          <w:tcPr>
            <w:tcW w:w="32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30" w14:textId="77777777" w:rsidR="00021CE5" w:rsidRDefault="00000000">
            <w:r>
              <w:rPr>
                <w:sz w:val="20"/>
                <w:szCs w:val="20"/>
              </w:rPr>
              <w:t>Middle</w:t>
            </w:r>
          </w:p>
        </w:tc>
        <w:tc>
          <w:tcPr>
            <w:tcW w:w="308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31" w14:textId="77777777" w:rsidR="00021CE5" w:rsidRDefault="00000000">
            <w:r>
              <w:rPr>
                <w:sz w:val="20"/>
                <w:szCs w:val="20"/>
              </w:rPr>
              <w:t>3.266**</w:t>
            </w:r>
          </w:p>
        </w:tc>
        <w:tc>
          <w:tcPr>
            <w:tcW w:w="308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32" w14:textId="77777777" w:rsidR="00021CE5" w:rsidRDefault="00000000">
            <w:r>
              <w:rPr>
                <w:sz w:val="20"/>
                <w:szCs w:val="20"/>
              </w:rPr>
              <w:t>−5.924***</w:t>
            </w:r>
          </w:p>
        </w:tc>
      </w:tr>
      <w:tr w:rsidR="00021CE5" w14:paraId="4E0D3237" w14:textId="77777777">
        <w:tblPrEx>
          <w:tblCellMar>
            <w:top w:w="0" w:type="dxa"/>
            <w:bottom w:w="0" w:type="dxa"/>
          </w:tblCellMar>
        </w:tblPrEx>
        <w:tc>
          <w:tcPr>
            <w:tcW w:w="3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34" w14:textId="77777777" w:rsidR="00021CE5" w:rsidRDefault="00000000">
            <w:r>
              <w:rPr>
                <w:sz w:val="20"/>
                <w:szCs w:val="20"/>
              </w:rPr>
              <w:t>Top (ample)</w:t>
            </w:r>
          </w:p>
        </w:tc>
        <w:tc>
          <w:tcPr>
            <w:tcW w:w="308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35" w14:textId="77777777" w:rsidR="00021CE5" w:rsidRDefault="00000000">
            <w:r>
              <w:rPr>
                <w:sz w:val="20"/>
                <w:szCs w:val="20"/>
              </w:rPr>
              <w:t>1.611***</w:t>
            </w:r>
          </w:p>
        </w:tc>
        <w:tc>
          <w:tcPr>
            <w:tcW w:w="308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36" w14:textId="77777777" w:rsidR="00021CE5" w:rsidRDefault="00000000">
            <w:r>
              <w:rPr>
                <w:sz w:val="20"/>
                <w:szCs w:val="20"/>
              </w:rPr>
              <w:t>−2.941***</w:t>
            </w:r>
          </w:p>
        </w:tc>
      </w:tr>
      <w:tr w:rsidR="00021CE5" w14:paraId="4E0D323B" w14:textId="77777777">
        <w:tblPrEx>
          <w:tblCellMar>
            <w:top w:w="0" w:type="dxa"/>
            <w:bottom w:w="0" w:type="dxa"/>
          </w:tblCellMar>
        </w:tblPrEx>
        <w:tc>
          <w:tcPr>
            <w:tcW w:w="32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38" w14:textId="77777777" w:rsidR="00021CE5" w:rsidRDefault="00000000">
            <w:r>
              <w:rPr>
                <w:sz w:val="20"/>
                <w:szCs w:val="20"/>
              </w:rPr>
              <w:t>Difference (top−bottom)</w:t>
            </w:r>
          </w:p>
        </w:tc>
        <w:tc>
          <w:tcPr>
            <w:tcW w:w="308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39" w14:textId="77777777" w:rsidR="00021CE5" w:rsidRDefault="00000000">
            <w:r>
              <w:rPr>
                <w:sz w:val="20"/>
                <w:szCs w:val="20"/>
              </w:rPr>
              <w:t>−3.924*</w:t>
            </w:r>
          </w:p>
        </w:tc>
        <w:tc>
          <w:tcPr>
            <w:tcW w:w="308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3A" w14:textId="77777777" w:rsidR="00021CE5" w:rsidRDefault="00000000">
            <w:r>
              <w:rPr>
                <w:sz w:val="20"/>
                <w:szCs w:val="20"/>
              </w:rPr>
              <w:t>−4.689*</w:t>
            </w:r>
          </w:p>
        </w:tc>
      </w:tr>
    </w:tbl>
    <w:p w14:paraId="4E0D323C" w14:textId="77777777" w:rsidR="00021CE5" w:rsidRDefault="00021CE5">
      <w:pPr>
        <w:spacing w:before="80"/>
      </w:pPr>
    </w:p>
    <w:p w14:paraId="4E0D323D" w14:textId="77777777" w:rsidR="00021CE5" w:rsidRDefault="00000000">
      <w:pPr>
        <w:spacing w:before="60" w:after="80"/>
      </w:pPr>
      <w:r>
        <w:t>The effect is more than 3× larger when peer capital is scarce. This is inconsistent with the information story and consistent with the panic channel.</w:t>
      </w:r>
    </w:p>
    <w:p w14:paraId="4E0D323E"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3F" w14:textId="77777777" w:rsidR="00021CE5" w:rsidRDefault="00000000">
            <w:pPr>
              <w:spacing w:before="30" w:after="30"/>
            </w:pPr>
            <w:r>
              <w:rPr>
                <w:i/>
                <w:iCs/>
                <w:color w:val="444444"/>
                <w:sz w:val="20"/>
                <w:szCs w:val="20"/>
              </w:rPr>
              <w:t>⏱  Timing: 4 minutes.</w:t>
            </w:r>
          </w:p>
        </w:tc>
      </w:tr>
      <w:tr w:rsidR="00021CE5" w14:paraId="4E0D324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41" w14:textId="77777777" w:rsidR="00021CE5" w:rsidRDefault="00000000">
            <w:pPr>
              <w:spacing w:before="30" w:after="30"/>
            </w:pPr>
            <w:r>
              <w:rPr>
                <w:i/>
                <w:iCs/>
                <w:color w:val="444444"/>
                <w:sz w:val="20"/>
                <w:szCs w:val="20"/>
              </w:rPr>
              <w:t xml:space="preserve">This is the most compelling </w:t>
            </w:r>
            <w:proofErr w:type="gramStart"/>
            <w:r>
              <w:rPr>
                <w:i/>
                <w:iCs/>
                <w:color w:val="444444"/>
                <w:sz w:val="20"/>
                <w:szCs w:val="20"/>
              </w:rPr>
              <w:t>robustness</w:t>
            </w:r>
            <w:proofErr w:type="gramEnd"/>
            <w:r>
              <w:rPr>
                <w:i/>
                <w:iCs/>
                <w:color w:val="444444"/>
                <w:sz w:val="20"/>
                <w:szCs w:val="20"/>
              </w:rPr>
              <w:t xml:space="preserve"> test for a skeptical audience. Spend time on the logic: why would peer bank capital matter if the story is about ROA informativeness? It wouldn't.</w:t>
            </w:r>
          </w:p>
        </w:tc>
      </w:tr>
      <w:tr w:rsidR="00021CE5" w14:paraId="4E0D32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43" w14:textId="77777777" w:rsidR="00021CE5" w:rsidRDefault="00000000">
            <w:pPr>
              <w:spacing w:before="30" w:after="30"/>
            </w:pPr>
            <w:r>
              <w:rPr>
                <w:i/>
                <w:iCs/>
                <w:color w:val="444444"/>
                <w:sz w:val="20"/>
                <w:szCs w:val="20"/>
              </w:rPr>
              <w:t>Anticipated pushback: 'Maybe peer capital is correlated with some other local economic condition.' The paper includes state-level controls and the results hold.</w:t>
            </w:r>
          </w:p>
        </w:tc>
      </w:tr>
    </w:tbl>
    <w:p w14:paraId="4E0D3245" w14:textId="77777777" w:rsidR="00021CE5" w:rsidRDefault="00021CE5">
      <w:pPr>
        <w:spacing w:before="80"/>
      </w:pPr>
    </w:p>
    <w:p w14:paraId="4E0D3246" w14:textId="77777777" w:rsidR="00021CE5" w:rsidRDefault="00000000">
      <w:pPr>
        <w:pStyle w:val="Heading2"/>
      </w:pPr>
      <w:r>
        <w:t>Slide: The Cleanest Test — Matched Sample</w:t>
      </w:r>
    </w:p>
    <w:p w14:paraId="4E0D3247" w14:textId="77777777" w:rsidR="00021CE5" w:rsidRDefault="00000000">
      <w:pPr>
        <w:spacing w:before="200" w:after="60"/>
      </w:pPr>
      <w:r>
        <w:rPr>
          <w:b/>
          <w:bCs/>
          <w:color w:val="C0392B"/>
        </w:rPr>
        <w:t>Core Concept</w:t>
      </w:r>
    </w:p>
    <w:p w14:paraId="4E0D3248" w14:textId="77777777" w:rsidR="00021CE5" w:rsidRDefault="00000000">
      <w:pPr>
        <w:spacing w:before="60" w:after="80"/>
      </w:pPr>
      <w:r>
        <w:t xml:space="preserve">Propensity score matching on %Uninsured eliminates observable differences in asset composition between high and low uninsured deposit banks. After </w:t>
      </w:r>
      <w:proofErr w:type="gramStart"/>
      <w:r>
        <w:t>matching on</w:t>
      </w:r>
      <w:proofErr w:type="gramEnd"/>
      <w:r>
        <w:t xml:space="preserve"> Asset Illiquidity, loan composition (RE share, C&amp;I share), ROA, capital ratio, and size, the two groups are statistically indistinguishable on all covariates. The only remaining difference is the liability structure — the fraction of deposits that are uninsured.</w:t>
      </w:r>
    </w:p>
    <w:p w14:paraId="4E0D3249" w14:textId="77777777" w:rsidR="00021CE5" w:rsidRDefault="00021CE5">
      <w:pPr>
        <w:spacing w:before="60"/>
      </w:pPr>
    </w:p>
    <w:p w14:paraId="4E0D324A" w14:textId="77777777" w:rsidR="00021CE5" w:rsidRDefault="00000000">
      <w:pPr>
        <w:spacing w:before="60" w:after="80"/>
      </w:pPr>
      <w:r>
        <w:t>Results on the matched sample: high %Uninsured banks show 3× higher flow-performance sensitivity (1.626 vs. 0.490) and experience −2.039 extra outflow below median performance, equivalent to 96% of the sample mean flow. These effects are, if anything, larger than in the full sample.</w:t>
      </w:r>
    </w:p>
    <w:p w14:paraId="4E0D324B"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4C" w14:textId="77777777" w:rsidR="00021CE5" w:rsidRDefault="00000000">
            <w:pPr>
              <w:spacing w:before="30" w:after="30"/>
            </w:pPr>
            <w:r>
              <w:rPr>
                <w:i/>
                <w:iCs/>
                <w:color w:val="444444"/>
                <w:sz w:val="20"/>
                <w:szCs w:val="20"/>
              </w:rPr>
              <w:t>⏱  Timing: 3–4 minutes.</w:t>
            </w:r>
          </w:p>
        </w:tc>
      </w:tr>
      <w:tr w:rsidR="00021CE5" w14:paraId="4E0D32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4E" w14:textId="77777777" w:rsidR="00021CE5" w:rsidRDefault="00000000">
            <w:pPr>
              <w:spacing w:before="30" w:after="30"/>
            </w:pPr>
            <w:r>
              <w:rPr>
                <w:i/>
                <w:iCs/>
                <w:color w:val="444444"/>
                <w:sz w:val="20"/>
                <w:szCs w:val="20"/>
              </w:rPr>
              <w:t>Emphasize: 'After matching, these two groups of banks look identical on every asset-side characteristic we can measure. The only thing left is whether their depositors are insured or not. And the panic effect is still huge.'</w:t>
            </w:r>
          </w:p>
        </w:tc>
      </w:tr>
      <w:tr w:rsidR="00021CE5" w14:paraId="4E0D32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50" w14:textId="77777777" w:rsidR="00021CE5" w:rsidRDefault="00000000">
            <w:pPr>
              <w:spacing w:before="30" w:after="30"/>
            </w:pPr>
            <w:r>
              <w:rPr>
                <w:i/>
                <w:iCs/>
                <w:color w:val="444444"/>
                <w:sz w:val="20"/>
                <w:szCs w:val="20"/>
              </w:rPr>
              <w:lastRenderedPageBreak/>
              <w:t>This test rules out the asset-composition story cleanly for %Uninsured. Note that a matched sample for Asset Illiquidity is harder to construct (it IS an asset characteristic), which is why the peer capital test serves that purpose instead.</w:t>
            </w:r>
          </w:p>
        </w:tc>
      </w:tr>
    </w:tbl>
    <w:p w14:paraId="4E0D3252" w14:textId="77777777" w:rsidR="00021CE5" w:rsidRDefault="00021CE5">
      <w:pPr>
        <w:pBdr>
          <w:bottom w:val="single" w:sz="4" w:space="0" w:color="B0C4D8"/>
        </w:pBdr>
        <w:spacing w:before="160" w:after="160"/>
      </w:pPr>
    </w:p>
    <w:p w14:paraId="4E0D3253" w14:textId="77777777" w:rsidR="00021CE5" w:rsidRDefault="00000000">
      <w:pPr>
        <w:pStyle w:val="Heading1"/>
        <w:pBdr>
          <w:bottom w:val="single" w:sz="8" w:space="4" w:color="C0392B"/>
        </w:pBdr>
        <w:spacing w:before="360" w:after="120"/>
      </w:pPr>
      <w:r>
        <w:t>Part 7: Deposit Insurance</w:t>
      </w:r>
    </w:p>
    <w:p w14:paraId="4E0D3254" w14:textId="77777777" w:rsidR="00021CE5" w:rsidRDefault="00000000">
      <w:pPr>
        <w:pStyle w:val="Heading2"/>
      </w:pPr>
      <w:r>
        <w:t>Slide: Does Deposit Insurance Eliminate the Problem?</w:t>
      </w:r>
    </w:p>
    <w:p w14:paraId="4E0D3255" w14:textId="77777777" w:rsidR="00021CE5" w:rsidRDefault="00000000">
      <w:pPr>
        <w:spacing w:before="200" w:after="60"/>
      </w:pPr>
      <w:r>
        <w:rPr>
          <w:b/>
          <w:bCs/>
          <w:color w:val="C0392B"/>
        </w:rPr>
        <w:t>Core Concept</w:t>
      </w:r>
    </w:p>
    <w:p w14:paraId="4E0D3256" w14:textId="77777777" w:rsidR="00021CE5" w:rsidRDefault="00000000">
      <w:pPr>
        <w:spacing w:before="60" w:after="80"/>
      </w:pPr>
      <w:r>
        <w:t xml:space="preserve">The standard theoretical argument for deposit insurance (Diamond &amp; Dybvig 1983) is that it eliminates the panic equilibrium entirely: if depositors know their money is guaranteed, there is no incentive to run before others. The paper tests whether this </w:t>
      </w:r>
      <w:proofErr w:type="gramStart"/>
      <w:r>
        <w:t>holds</w:t>
      </w:r>
      <w:proofErr w:type="gramEnd"/>
      <w:r>
        <w:t xml:space="preserve"> in practice by examining whether banks can fully substitute insured for uninsured deposits when facing mismatch-driven outflows.</w:t>
      </w:r>
    </w:p>
    <w:p w14:paraId="4E0D3257"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258" w14:textId="77777777" w:rsidR="00021CE5" w:rsidRDefault="00000000">
            <w:r>
              <w:rPr>
                <w:b/>
                <w:bCs/>
                <w:color w:val="FFFFFF"/>
                <w:sz w:val="20"/>
                <w:szCs w:val="20"/>
              </w:rPr>
              <w:t>The Substitution Channel</w:t>
            </w:r>
          </w:p>
        </w:tc>
      </w:tr>
      <w:tr w:rsidR="00021CE5" w14:paraId="4E0D32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5A" w14:textId="77777777" w:rsidR="00021CE5" w:rsidRDefault="00000000">
            <w:pPr>
              <w:spacing w:before="20" w:after="20"/>
            </w:pPr>
            <w:r>
              <w:rPr>
                <w:color w:val="222222"/>
                <w:sz w:val="21"/>
                <w:szCs w:val="21"/>
              </w:rPr>
              <w:t>When uninsured deposits flee, high-mismatch banks raise core deposit rates and large-time deposit rates to attract new insured deposits.</w:t>
            </w:r>
          </w:p>
        </w:tc>
      </w:tr>
      <w:tr w:rsidR="00021CE5" w14:paraId="4E0D32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5C" w14:textId="77777777" w:rsidR="00021CE5" w:rsidRDefault="00000000">
            <w:pPr>
              <w:spacing w:before="20" w:after="20"/>
            </w:pPr>
            <w:r>
              <w:rPr>
                <w:color w:val="222222"/>
                <w:sz w:val="21"/>
                <w:szCs w:val="21"/>
              </w:rPr>
              <w:t>For Asset Illiquidity: uninsured outflow of −3.668, insured offset of +2.234 → net effect +1.531 (still significantly negative from baseline). Substitution is incomplete.</w:t>
            </w:r>
          </w:p>
        </w:tc>
      </w:tr>
      <w:tr w:rsidR="00021CE5" w14:paraId="4E0D32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5E" w14:textId="77777777" w:rsidR="00021CE5" w:rsidRDefault="00000000">
            <w:pPr>
              <w:spacing w:before="20" w:after="20"/>
            </w:pPr>
            <w:r>
              <w:rPr>
                <w:color w:val="222222"/>
                <w:sz w:val="21"/>
                <w:szCs w:val="21"/>
              </w:rPr>
              <w:t>For %Uninsured: the net effect is −0.010 (small but negative). Substitution is also incomplete.</w:t>
            </w:r>
          </w:p>
        </w:tc>
      </w:tr>
      <w:tr w:rsidR="00021CE5" w14:paraId="4E0D32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60" w14:textId="77777777" w:rsidR="00021CE5" w:rsidRDefault="00000000">
            <w:pPr>
              <w:spacing w:before="20" w:after="20"/>
            </w:pPr>
            <w:r>
              <w:rPr>
                <w:color w:val="222222"/>
                <w:sz w:val="21"/>
                <w:szCs w:val="21"/>
              </w:rPr>
              <w:t>During the 2008 crisis (Part 7, Table IX): both measures show incomplete substitution. The insurance backstop is particularly strained during systemic events.</w:t>
            </w:r>
          </w:p>
        </w:tc>
      </w:tr>
    </w:tbl>
    <w:p w14:paraId="4E0D3262" w14:textId="77777777" w:rsidR="00021CE5" w:rsidRDefault="00021CE5">
      <w:pPr>
        <w:spacing w:before="80"/>
      </w:pPr>
    </w:p>
    <w:p w14:paraId="4E0D3263" w14:textId="77777777" w:rsidR="00021CE5" w:rsidRDefault="00000000">
      <w:pPr>
        <w:spacing w:before="60" w:after="80"/>
      </w:pPr>
      <w:r>
        <w:t xml:space="preserve">The deeper policy implication: deposit insurance does not eliminate fragility — it changes its form. Without insurance, fragility </w:t>
      </w:r>
      <w:proofErr w:type="gramStart"/>
      <w:r>
        <w:t>manifests as</w:t>
      </w:r>
      <w:proofErr w:type="gramEnd"/>
      <w:r>
        <w:t xml:space="preserve"> fire sales and potential failure. With insurance, it manifests as higher deposit rates, FDIC insurance fees, and reduced profitability. The cost is real in both cases; insurance merely determines who bears it.</w:t>
      </w:r>
    </w:p>
    <w:p w14:paraId="4E0D3264"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65" w14:textId="77777777" w:rsidR="00021CE5" w:rsidRDefault="00000000">
            <w:pPr>
              <w:spacing w:before="30" w:after="30"/>
            </w:pPr>
            <w:r>
              <w:rPr>
                <w:i/>
                <w:iCs/>
                <w:color w:val="444444"/>
                <w:sz w:val="20"/>
                <w:szCs w:val="20"/>
              </w:rPr>
              <w:t>⏱  Timing: 4 minutes.</w:t>
            </w:r>
          </w:p>
        </w:tc>
      </w:tr>
      <w:tr w:rsidR="00021CE5" w14:paraId="4E0D32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67" w14:textId="77777777" w:rsidR="00021CE5" w:rsidRDefault="00000000">
            <w:pPr>
              <w:spacing w:before="30" w:after="30"/>
            </w:pPr>
            <w:r>
              <w:rPr>
                <w:i/>
                <w:iCs/>
                <w:color w:val="444444"/>
                <w:sz w:val="20"/>
                <w:szCs w:val="20"/>
              </w:rPr>
              <w:t>The key phrase: 'Substitution merely changes who bears the cost.' Write this on the board.</w:t>
            </w:r>
          </w:p>
        </w:tc>
      </w:tr>
      <w:tr w:rsidR="00021CE5" w14:paraId="4E0D32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69" w14:textId="77777777" w:rsidR="00021CE5" w:rsidRDefault="00000000">
            <w:pPr>
              <w:spacing w:before="30" w:after="30"/>
            </w:pPr>
            <w:r>
              <w:rPr>
                <w:i/>
                <w:iCs/>
                <w:color w:val="444444"/>
                <w:sz w:val="20"/>
                <w:szCs w:val="20"/>
              </w:rPr>
              <w:t>Anticipate the question: 'Does this mean deposit insurance is bad?' No — it prevents the more socially costly failure outcome. But it's not a free lunch; the costs are transferred to deposit rate competition, FDIC premiums, and ultimately bank profitability.</w:t>
            </w:r>
          </w:p>
        </w:tc>
      </w:tr>
      <w:tr w:rsidR="00021CE5" w14:paraId="4E0D32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6B" w14:textId="77777777" w:rsidR="00021CE5" w:rsidRDefault="00000000">
            <w:pPr>
              <w:spacing w:before="30" w:after="30"/>
            </w:pPr>
            <w:r>
              <w:rPr>
                <w:i/>
                <w:iCs/>
                <w:color w:val="444444"/>
                <w:sz w:val="20"/>
                <w:szCs w:val="20"/>
              </w:rPr>
              <w:t>Connect to Dávila &amp; Goldstein (2023): this paper provides the empirical parameters needed to calibrate optimal deposit insurance coverage limits.</w:t>
            </w:r>
          </w:p>
        </w:tc>
      </w:tr>
    </w:tbl>
    <w:p w14:paraId="4E0D326D" w14:textId="77777777" w:rsidR="00021CE5" w:rsidRDefault="00021CE5">
      <w:pPr>
        <w:spacing w:before="80"/>
      </w:pPr>
    </w:p>
    <w:p w14:paraId="4E0D326E" w14:textId="77777777" w:rsidR="00021CE5" w:rsidRDefault="00000000">
      <w:pPr>
        <w:pStyle w:val="Heading2"/>
      </w:pPr>
      <w:r>
        <w:t>Slide: Systemic vs. Idiosyncratic Shocks</w:t>
      </w:r>
    </w:p>
    <w:p w14:paraId="4E0D326F" w14:textId="77777777" w:rsidR="00021CE5" w:rsidRDefault="00000000">
      <w:pPr>
        <w:spacing w:before="200" w:after="60"/>
      </w:pPr>
      <w:r>
        <w:rPr>
          <w:b/>
          <w:bCs/>
          <w:color w:val="C0392B"/>
        </w:rPr>
        <w:t>Core Concept</w:t>
      </w:r>
    </w:p>
    <w:p w14:paraId="4E0D3270" w14:textId="77777777" w:rsidR="00021CE5" w:rsidRDefault="00000000">
      <w:pPr>
        <w:spacing w:before="60" w:after="80"/>
      </w:pPr>
      <w:r>
        <w:lastRenderedPageBreak/>
        <w:t xml:space="preserve">The paper decomposes ROA into a systematic component (industry average at time t) and an idiosyncratic component (bank-specific deviation). The panic channel should be much stronger for systematic shocks because when the entire banking sector is in distress, fire-sale externalities are largest (fewer healthy buyers, Shleifer &amp; </w:t>
      </w:r>
      <w:proofErr w:type="spellStart"/>
      <w:r>
        <w:t>Vishny</w:t>
      </w:r>
      <w:proofErr w:type="spellEnd"/>
      <w:r>
        <w:t xml:space="preserve"> 1992), interbank borrowing freezes (Liu 2016), and coordination failure is most likely.</w:t>
      </w:r>
    </w:p>
    <w:p w14:paraId="4E0D3271" w14:textId="77777777" w:rsidR="00021CE5" w:rsidRDefault="00021C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000"/>
        <w:gridCol w:w="1860"/>
      </w:tblGrid>
      <w:tr w:rsidR="00021CE5" w14:paraId="4E0D3276" w14:textId="77777777">
        <w:tblPrEx>
          <w:tblCellMar>
            <w:top w:w="0" w:type="dxa"/>
            <w:bottom w:w="0" w:type="dxa"/>
          </w:tblCellMar>
        </w:tblPrEx>
        <w:tc>
          <w:tcPr>
            <w:tcW w:w="350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272" w14:textId="77777777" w:rsidR="00021CE5" w:rsidRDefault="00000000">
            <w:pPr>
              <w:jc w:val="center"/>
            </w:pPr>
            <w:r>
              <w:rPr>
                <w:b/>
                <w:bCs/>
                <w:color w:val="FFFFFF"/>
                <w:sz w:val="20"/>
                <w:szCs w:val="20"/>
              </w:rPr>
              <w:t>Interaction Term</w:t>
            </w:r>
          </w:p>
        </w:tc>
        <w:tc>
          <w:tcPr>
            <w:tcW w:w="200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273" w14:textId="77777777" w:rsidR="00021CE5" w:rsidRDefault="00000000">
            <w:pPr>
              <w:jc w:val="center"/>
            </w:pPr>
            <w:r>
              <w:rPr>
                <w:b/>
                <w:bCs/>
                <w:color w:val="FFFFFF"/>
                <w:sz w:val="20"/>
                <w:szCs w:val="20"/>
              </w:rPr>
              <w:t>Asset Illiquidity β₁</w:t>
            </w:r>
          </w:p>
        </w:tc>
        <w:tc>
          <w:tcPr>
            <w:tcW w:w="200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274" w14:textId="77777777" w:rsidR="00021CE5" w:rsidRDefault="00000000">
            <w:pPr>
              <w:jc w:val="center"/>
            </w:pPr>
            <w:r>
              <w:rPr>
                <w:b/>
                <w:bCs/>
                <w:color w:val="FFFFFF"/>
                <w:sz w:val="20"/>
                <w:szCs w:val="20"/>
              </w:rPr>
              <w:t>% Uninsured β₁</w:t>
            </w:r>
          </w:p>
        </w:tc>
        <w:tc>
          <w:tcPr>
            <w:tcW w:w="1860" w:type="dxa"/>
            <w:tcBorders>
              <w:top w:val="single" w:sz="1" w:space="0" w:color="B0C4D8"/>
              <w:left w:val="single" w:sz="1" w:space="0" w:color="B0C4D8"/>
              <w:bottom w:val="single" w:sz="1" w:space="0" w:color="B0C4D8"/>
              <w:right w:val="single" w:sz="1" w:space="0" w:color="B0C4D8"/>
            </w:tcBorders>
            <w:shd w:val="clear" w:color="auto" w:fill="1A2A3A"/>
            <w:tcMar>
              <w:top w:w="80" w:type="dxa"/>
              <w:left w:w="120" w:type="dxa"/>
              <w:bottom w:w="80" w:type="dxa"/>
              <w:right w:w="120" w:type="dxa"/>
            </w:tcMar>
          </w:tcPr>
          <w:p w14:paraId="4E0D3275" w14:textId="77777777" w:rsidR="00021CE5" w:rsidRDefault="00000000">
            <w:pPr>
              <w:jc w:val="center"/>
            </w:pPr>
            <w:r>
              <w:rPr>
                <w:b/>
                <w:bCs/>
                <w:color w:val="FFFFFF"/>
                <w:sz w:val="20"/>
                <w:szCs w:val="20"/>
              </w:rPr>
              <w:t>Ratio</w:t>
            </w:r>
          </w:p>
        </w:tc>
      </w:tr>
      <w:tr w:rsidR="00021CE5" w14:paraId="4E0D327B" w14:textId="77777777">
        <w:tblPrEx>
          <w:tblCellMar>
            <w:top w:w="0" w:type="dxa"/>
            <w:bottom w:w="0" w:type="dxa"/>
          </w:tblCellMar>
        </w:tblPrEx>
        <w:tc>
          <w:tcPr>
            <w:tcW w:w="35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77" w14:textId="77777777" w:rsidR="00021CE5" w:rsidRDefault="00000000">
            <w:r>
              <w:rPr>
                <w:sz w:val="20"/>
                <w:szCs w:val="20"/>
              </w:rPr>
              <w:t xml:space="preserve">Mismatch × </w:t>
            </w:r>
            <w:proofErr w:type="spellStart"/>
            <w:r>
              <w:rPr>
                <w:sz w:val="20"/>
                <w:szCs w:val="20"/>
              </w:rPr>
              <w:t>ROA_Systematic</w:t>
            </w:r>
            <w:proofErr w:type="spellEnd"/>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78" w14:textId="77777777" w:rsidR="00021CE5" w:rsidRDefault="00000000">
            <w:r>
              <w:rPr>
                <w:sz w:val="20"/>
                <w:szCs w:val="20"/>
              </w:rPr>
              <w:t>11.682***</w:t>
            </w:r>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79" w14:textId="77777777" w:rsidR="00021CE5" w:rsidRDefault="00000000">
            <w:r>
              <w:rPr>
                <w:sz w:val="20"/>
                <w:szCs w:val="20"/>
              </w:rPr>
              <w:t>0.160***</w:t>
            </w:r>
          </w:p>
        </w:tc>
        <w:tc>
          <w:tcPr>
            <w:tcW w:w="186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7A" w14:textId="77777777" w:rsidR="00021CE5" w:rsidRDefault="00021CE5"/>
        </w:tc>
      </w:tr>
      <w:tr w:rsidR="00021CE5" w14:paraId="4E0D3280" w14:textId="77777777">
        <w:tblPrEx>
          <w:tblCellMar>
            <w:top w:w="0" w:type="dxa"/>
            <w:bottom w:w="0" w:type="dxa"/>
          </w:tblCellMar>
        </w:tblPrEx>
        <w:tc>
          <w:tcPr>
            <w:tcW w:w="35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7C" w14:textId="77777777" w:rsidR="00021CE5" w:rsidRDefault="00000000">
            <w:r>
              <w:rPr>
                <w:sz w:val="20"/>
                <w:szCs w:val="20"/>
              </w:rPr>
              <w:t xml:space="preserve">Mismatch × </w:t>
            </w:r>
            <w:proofErr w:type="spellStart"/>
            <w:r>
              <w:rPr>
                <w:sz w:val="20"/>
                <w:szCs w:val="20"/>
              </w:rPr>
              <w:t>ROA_Idiosyncratic</w:t>
            </w:r>
            <w:proofErr w:type="spellEnd"/>
          </w:p>
        </w:tc>
        <w:tc>
          <w:tcPr>
            <w:tcW w:w="20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7D" w14:textId="77777777" w:rsidR="00021CE5" w:rsidRDefault="00000000">
            <w:r>
              <w:rPr>
                <w:sz w:val="20"/>
                <w:szCs w:val="20"/>
              </w:rPr>
              <w:t>1.581***</w:t>
            </w:r>
          </w:p>
        </w:tc>
        <w:tc>
          <w:tcPr>
            <w:tcW w:w="200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7E" w14:textId="77777777" w:rsidR="00021CE5" w:rsidRDefault="00000000">
            <w:r>
              <w:rPr>
                <w:sz w:val="20"/>
                <w:szCs w:val="20"/>
              </w:rPr>
              <w:t>0.020***</w:t>
            </w:r>
          </w:p>
        </w:tc>
        <w:tc>
          <w:tcPr>
            <w:tcW w:w="1860" w:type="dxa"/>
            <w:tcBorders>
              <w:top w:val="single" w:sz="1" w:space="0" w:color="B0C4D8"/>
              <w:left w:val="single" w:sz="1" w:space="0" w:color="B0C4D8"/>
              <w:bottom w:val="single" w:sz="1" w:space="0" w:color="B0C4D8"/>
              <w:right w:val="single" w:sz="1" w:space="0" w:color="B0C4D8"/>
            </w:tcBorders>
            <w:shd w:val="clear" w:color="auto" w:fill="F0F4F8"/>
            <w:tcMar>
              <w:top w:w="60" w:type="dxa"/>
              <w:left w:w="120" w:type="dxa"/>
              <w:bottom w:w="60" w:type="dxa"/>
              <w:right w:w="120" w:type="dxa"/>
            </w:tcMar>
          </w:tcPr>
          <w:p w14:paraId="4E0D327F" w14:textId="77777777" w:rsidR="00021CE5" w:rsidRDefault="00021CE5"/>
        </w:tc>
      </w:tr>
      <w:tr w:rsidR="00021CE5" w14:paraId="4E0D3285" w14:textId="77777777">
        <w:tblPrEx>
          <w:tblCellMar>
            <w:top w:w="0" w:type="dxa"/>
            <w:bottom w:w="0" w:type="dxa"/>
          </w:tblCellMar>
        </w:tblPrEx>
        <w:tc>
          <w:tcPr>
            <w:tcW w:w="35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81" w14:textId="77777777" w:rsidR="00021CE5" w:rsidRDefault="00000000">
            <w:r>
              <w:rPr>
                <w:sz w:val="20"/>
                <w:szCs w:val="20"/>
              </w:rPr>
              <w:t>Systematic / Idiosyncratic</w:t>
            </w:r>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82" w14:textId="77777777" w:rsidR="00021CE5" w:rsidRDefault="00021CE5"/>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83" w14:textId="77777777" w:rsidR="00021CE5" w:rsidRDefault="00021CE5"/>
        </w:tc>
        <w:tc>
          <w:tcPr>
            <w:tcW w:w="186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20" w:type="dxa"/>
              <w:bottom w:w="60" w:type="dxa"/>
              <w:right w:w="120" w:type="dxa"/>
            </w:tcMar>
          </w:tcPr>
          <w:p w14:paraId="4E0D3284" w14:textId="77777777" w:rsidR="00021CE5" w:rsidRDefault="00000000">
            <w:r>
              <w:rPr>
                <w:sz w:val="20"/>
                <w:szCs w:val="20"/>
              </w:rPr>
              <w:t>~7× / ~8×</w:t>
            </w:r>
          </w:p>
        </w:tc>
      </w:tr>
    </w:tbl>
    <w:p w14:paraId="4E0D3286" w14:textId="77777777" w:rsidR="00021CE5" w:rsidRDefault="00021CE5">
      <w:pPr>
        <w:spacing w:before="8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8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87" w14:textId="77777777" w:rsidR="00021CE5" w:rsidRDefault="00000000">
            <w:pPr>
              <w:spacing w:before="30" w:after="30"/>
            </w:pPr>
            <w:r>
              <w:rPr>
                <w:i/>
                <w:iCs/>
                <w:color w:val="444444"/>
                <w:sz w:val="20"/>
                <w:szCs w:val="20"/>
              </w:rPr>
              <w:t>⏱  Timing: 3 minutes.</w:t>
            </w:r>
          </w:p>
        </w:tc>
      </w:tr>
      <w:tr w:rsidR="00021CE5" w14:paraId="4E0D32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89" w14:textId="77777777" w:rsidR="00021CE5" w:rsidRDefault="00000000">
            <w:pPr>
              <w:spacing w:before="30" w:after="30"/>
            </w:pPr>
            <w:r>
              <w:rPr>
                <w:i/>
                <w:iCs/>
                <w:color w:val="444444"/>
                <w:sz w:val="20"/>
                <w:szCs w:val="20"/>
              </w:rPr>
              <w:t>The 7–8× ratio is one of the most striking numbers in the paper. For a given deterioration in performance, the panic amplification is an order of magnitude larger when the whole system is troubled.</w:t>
            </w:r>
          </w:p>
        </w:tc>
      </w:tr>
      <w:tr w:rsidR="00021CE5" w14:paraId="4E0D32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8B" w14:textId="77777777" w:rsidR="00021CE5" w:rsidRDefault="00000000">
            <w:pPr>
              <w:spacing w:before="30" w:after="30"/>
            </w:pPr>
            <w:r>
              <w:rPr>
                <w:i/>
                <w:iCs/>
                <w:color w:val="444444"/>
                <w:sz w:val="20"/>
                <w:szCs w:val="20"/>
              </w:rPr>
              <w:t xml:space="preserve">Intuition: idiosyncratic shocks are </w:t>
            </w:r>
            <w:proofErr w:type="gramStart"/>
            <w:r>
              <w:rPr>
                <w:i/>
                <w:iCs/>
                <w:color w:val="444444"/>
                <w:sz w:val="20"/>
                <w:szCs w:val="20"/>
              </w:rPr>
              <w:t>bank-specific</w:t>
            </w:r>
            <w:proofErr w:type="gramEnd"/>
            <w:r>
              <w:rPr>
                <w:i/>
                <w:iCs/>
                <w:color w:val="444444"/>
                <w:sz w:val="20"/>
                <w:szCs w:val="20"/>
              </w:rPr>
              <w:t xml:space="preserve">. A healthy peer can absorb fire sales. Systematic shocks hit everyone simultaneously — no one can help, so fire-sale discounts are </w:t>
            </w:r>
            <w:proofErr w:type="gramStart"/>
            <w:r>
              <w:rPr>
                <w:i/>
                <w:iCs/>
                <w:color w:val="444444"/>
                <w:sz w:val="20"/>
                <w:szCs w:val="20"/>
              </w:rPr>
              <w:t>severe</w:t>
            </w:r>
            <w:proofErr w:type="gramEnd"/>
            <w:r>
              <w:rPr>
                <w:i/>
                <w:iCs/>
                <w:color w:val="444444"/>
                <w:sz w:val="20"/>
                <w:szCs w:val="20"/>
              </w:rPr>
              <w:t xml:space="preserve"> and coordination failure is almost guaranteed.</w:t>
            </w:r>
          </w:p>
        </w:tc>
      </w:tr>
    </w:tbl>
    <w:p w14:paraId="4E0D328D" w14:textId="77777777" w:rsidR="00021CE5" w:rsidRDefault="00021CE5">
      <w:pPr>
        <w:spacing w:before="80"/>
      </w:pPr>
    </w:p>
    <w:p w14:paraId="4E0D328E" w14:textId="77777777" w:rsidR="00021CE5" w:rsidRDefault="00000000">
      <w:pPr>
        <w:pStyle w:val="Heading2"/>
      </w:pPr>
      <w:r>
        <w:t>Slide: The 2008 Crisis as a Laboratory</w:t>
      </w:r>
    </w:p>
    <w:p w14:paraId="4E0D328F" w14:textId="77777777" w:rsidR="00021CE5" w:rsidRDefault="00000000">
      <w:pPr>
        <w:spacing w:before="200" w:after="60"/>
      </w:pPr>
      <w:r>
        <w:rPr>
          <w:b/>
          <w:bCs/>
          <w:color w:val="C0392B"/>
        </w:rPr>
        <w:t>Core Concept</w:t>
      </w:r>
    </w:p>
    <w:p w14:paraId="4E0D3290" w14:textId="77777777" w:rsidR="00021CE5" w:rsidRDefault="00000000">
      <w:pPr>
        <w:spacing w:before="60" w:after="80"/>
      </w:pPr>
      <w:r>
        <w:t>The 2008 financial crisis offers a quasi-experimental setting. The authors use a difference-in-differences design comparing banks with different pre-crisis mismatch levels before vs. during the crisis (2007Q3–2009Q2). Critically, mismatch is measured before the crisis begins, eliminating endogeneity from banks choosing their mismatch in response to crisis conditions.</w:t>
      </w:r>
    </w:p>
    <w:p w14:paraId="4E0D3291"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292" w14:textId="77777777" w:rsidR="00021CE5" w:rsidRDefault="00000000">
            <w:r>
              <w:rPr>
                <w:b/>
                <w:bCs/>
                <w:color w:val="FFFFFF"/>
                <w:sz w:val="20"/>
                <w:szCs w:val="20"/>
              </w:rPr>
              <w:t>2008 Crisis Results — Asset Illiquidity</w:t>
            </w:r>
          </w:p>
        </w:tc>
      </w:tr>
      <w:tr w:rsidR="00021CE5" w14:paraId="4E0D32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94" w14:textId="77777777" w:rsidR="00021CE5" w:rsidRDefault="00000000">
            <w:pPr>
              <w:spacing w:before="20" w:after="20"/>
            </w:pPr>
            <w:r>
              <w:rPr>
                <w:color w:val="222222"/>
                <w:sz w:val="21"/>
                <w:szCs w:val="21"/>
              </w:rPr>
              <w:t>Uninsured Deposit Flow: −10.406*** (strongly negative)</w:t>
            </w:r>
          </w:p>
        </w:tc>
      </w:tr>
      <w:tr w:rsidR="00021CE5" w14:paraId="4E0D32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96" w14:textId="77777777" w:rsidR="00021CE5" w:rsidRDefault="00000000">
            <w:pPr>
              <w:spacing w:before="20" w:after="20"/>
            </w:pPr>
            <w:r>
              <w:rPr>
                <w:color w:val="222222"/>
                <w:sz w:val="21"/>
                <w:szCs w:val="21"/>
              </w:rPr>
              <w:t>Insured Deposit Flow: −0.736 (insignificant — insurance works partially)</w:t>
            </w:r>
          </w:p>
        </w:tc>
      </w:tr>
      <w:tr w:rsidR="00021CE5" w14:paraId="4E0D32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98" w14:textId="77777777" w:rsidR="00021CE5" w:rsidRDefault="00000000">
            <w:pPr>
              <w:spacing w:before="20" w:after="20"/>
            </w:pPr>
            <w:r>
              <w:rPr>
                <w:color w:val="222222"/>
                <w:sz w:val="21"/>
                <w:szCs w:val="21"/>
              </w:rPr>
              <w:t>Total Deposit Flow: −11.570***</w:t>
            </w:r>
          </w:p>
        </w:tc>
      </w:tr>
      <w:tr w:rsidR="00021CE5" w14:paraId="4E0D32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9A" w14:textId="77777777" w:rsidR="00021CE5" w:rsidRDefault="00000000">
            <w:pPr>
              <w:spacing w:before="20" w:after="20"/>
            </w:pPr>
            <w:r>
              <w:rPr>
                <w:color w:val="222222"/>
                <w:sz w:val="21"/>
                <w:szCs w:val="21"/>
              </w:rPr>
              <w:t>Log Core Deposit Rate: +0.201*** (banks raising rates to retain deposits)</w:t>
            </w:r>
          </w:p>
        </w:tc>
      </w:tr>
      <w:tr w:rsidR="00021CE5" w14:paraId="4E0D32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9C" w14:textId="77777777" w:rsidR="00021CE5" w:rsidRDefault="00000000">
            <w:pPr>
              <w:spacing w:before="20" w:after="20"/>
            </w:pPr>
            <w:r>
              <w:rPr>
                <w:color w:val="222222"/>
                <w:sz w:val="21"/>
                <w:szCs w:val="21"/>
              </w:rPr>
              <w:t>Loan Growth: −20.776*** → 1 SD Asset Illiquidity = 2.8% worse loan growth vs. 4.5% average</w:t>
            </w:r>
          </w:p>
        </w:tc>
      </w:tr>
      <w:tr w:rsidR="00021CE5" w14:paraId="4E0D32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9E" w14:textId="77777777" w:rsidR="00021CE5" w:rsidRDefault="00000000">
            <w:pPr>
              <w:spacing w:before="20" w:after="20"/>
            </w:pPr>
            <w:r>
              <w:rPr>
                <w:color w:val="222222"/>
                <w:sz w:val="21"/>
                <w:szCs w:val="21"/>
              </w:rPr>
              <w:t xml:space="preserve">Credit Commitment Growth: −8.766*** → real </w:t>
            </w:r>
            <w:proofErr w:type="gramStart"/>
            <w:r>
              <w:rPr>
                <w:color w:val="222222"/>
                <w:sz w:val="21"/>
                <w:szCs w:val="21"/>
              </w:rPr>
              <w:t>economy</w:t>
            </w:r>
            <w:proofErr w:type="gramEnd"/>
            <w:r>
              <w:rPr>
                <w:color w:val="222222"/>
                <w:sz w:val="21"/>
                <w:szCs w:val="21"/>
              </w:rPr>
              <w:t xml:space="preserve"> effects of bank fragility</w:t>
            </w:r>
          </w:p>
        </w:tc>
      </w:tr>
    </w:tbl>
    <w:p w14:paraId="4E0D32A0" w14:textId="77777777" w:rsidR="00021CE5" w:rsidRDefault="00021CE5">
      <w:pPr>
        <w:spacing w:before="80"/>
      </w:pPr>
    </w:p>
    <w:p w14:paraId="4E0D32A1" w14:textId="77777777" w:rsidR="00021CE5" w:rsidRDefault="00000000">
      <w:pPr>
        <w:spacing w:before="60" w:after="80"/>
      </w:pPr>
      <w:r>
        <w:t>The loan growth and credit commitment results are particularly important: they show that bank fragility during the crisis translated into real economic contraction, not just financial reshuffling. High-mismatch banks cut lending significantly more than low-mismatch peers.</w:t>
      </w:r>
    </w:p>
    <w:p w14:paraId="4E0D32A2"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A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A3" w14:textId="77777777" w:rsidR="00021CE5" w:rsidRDefault="00000000">
            <w:pPr>
              <w:spacing w:before="30" w:after="30"/>
            </w:pPr>
            <w:r>
              <w:rPr>
                <w:i/>
                <w:iCs/>
                <w:color w:val="444444"/>
                <w:sz w:val="20"/>
                <w:szCs w:val="20"/>
              </w:rPr>
              <w:lastRenderedPageBreak/>
              <w:t>⏱  Timing: 5 minutes. This is the 'so what' moment — why does bank fragility matter for the real economy?</w:t>
            </w:r>
          </w:p>
        </w:tc>
      </w:tr>
      <w:tr w:rsidR="00021CE5" w14:paraId="4E0D32A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A5" w14:textId="77777777" w:rsidR="00021CE5" w:rsidRDefault="00000000">
            <w:pPr>
              <w:spacing w:before="30" w:after="30"/>
            </w:pPr>
            <w:r>
              <w:rPr>
                <w:i/>
                <w:iCs/>
                <w:color w:val="444444"/>
                <w:sz w:val="20"/>
                <w:szCs w:val="20"/>
              </w:rPr>
              <w:t>Emphasize the loan growth result: '1 SD more pre-crisis mismatch translated into 2.8% worse loan growth during the crisis. That is 62% of the average loan growth contraction. This is not a rounding error — this is the credit crunch.'</w:t>
            </w:r>
          </w:p>
        </w:tc>
      </w:tr>
      <w:tr w:rsidR="00021CE5" w14:paraId="4E0D32A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A7" w14:textId="77777777" w:rsidR="00021CE5" w:rsidRDefault="00000000">
            <w:pPr>
              <w:spacing w:before="30" w:after="30"/>
            </w:pPr>
            <w:r>
              <w:rPr>
                <w:i/>
                <w:iCs/>
                <w:color w:val="444444"/>
                <w:sz w:val="20"/>
                <w:szCs w:val="20"/>
              </w:rPr>
              <w:t xml:space="preserve">The </w:t>
            </w:r>
            <w:proofErr w:type="spellStart"/>
            <w:r>
              <w:rPr>
                <w:i/>
                <w:iCs/>
                <w:color w:val="444444"/>
                <w:sz w:val="20"/>
                <w:szCs w:val="20"/>
              </w:rPr>
              <w:t>DiD</w:t>
            </w:r>
            <w:proofErr w:type="spellEnd"/>
            <w:r>
              <w:rPr>
                <w:i/>
                <w:iCs/>
                <w:color w:val="444444"/>
                <w:sz w:val="20"/>
                <w:szCs w:val="20"/>
              </w:rPr>
              <w:t xml:space="preserve"> design is clean by the standards of empirical banking. The crisis was unexpected; mismatch is measured before it begins; the identification assumption (parallel trends) is plausible.</w:t>
            </w:r>
          </w:p>
        </w:tc>
      </w:tr>
    </w:tbl>
    <w:p w14:paraId="4E0D32A9" w14:textId="77777777" w:rsidR="00021CE5" w:rsidRDefault="00021CE5">
      <w:pPr>
        <w:pBdr>
          <w:bottom w:val="single" w:sz="4" w:space="0" w:color="B0C4D8"/>
        </w:pBdr>
        <w:spacing w:before="160" w:after="160"/>
      </w:pPr>
    </w:p>
    <w:p w14:paraId="4E0D32AA" w14:textId="77777777" w:rsidR="00021CE5" w:rsidRDefault="00000000">
      <w:pPr>
        <w:pStyle w:val="Heading1"/>
        <w:pBdr>
          <w:bottom w:val="single" w:sz="8" w:space="4" w:color="C0392B"/>
        </w:pBdr>
        <w:spacing w:before="360" w:after="120"/>
      </w:pPr>
      <w:r>
        <w:t>Part 8: Critical Evaluation</w:t>
      </w:r>
    </w:p>
    <w:p w14:paraId="4E0D32AB" w14:textId="77777777" w:rsidR="00021CE5" w:rsidRDefault="00000000">
      <w:pPr>
        <w:pStyle w:val="Heading2"/>
      </w:pPr>
      <w:r>
        <w:t>Slide: What the Paper Establishes</w:t>
      </w:r>
    </w:p>
    <w:p w14:paraId="4E0D32AC" w14:textId="77777777" w:rsidR="00021CE5" w:rsidRDefault="00000000">
      <w:pPr>
        <w:spacing w:before="200" w:after="60"/>
      </w:pPr>
      <w:r>
        <w:rPr>
          <w:b/>
          <w:bCs/>
          <w:color w:val="C0392B"/>
        </w:rPr>
        <w:t>Five Contributions</w:t>
      </w:r>
    </w:p>
    <w:p w14:paraId="4E0D32AD" w14:textId="77777777" w:rsidR="00021CE5" w:rsidRDefault="00000000">
      <w:pPr>
        <w:spacing w:before="60" w:after="80"/>
      </w:pPr>
      <w:r>
        <w:t>The paper makes five principal contributions that together constitute a comprehensive empirical validation of the Goldstein-</w:t>
      </w:r>
      <w:proofErr w:type="spellStart"/>
      <w:r>
        <w:t>Pauzner</w:t>
      </w:r>
      <w:proofErr w:type="spellEnd"/>
      <w:r>
        <w:t xml:space="preserve"> framework at the commercial banking level.</w:t>
      </w:r>
    </w:p>
    <w:p w14:paraId="4E0D32AE" w14:textId="77777777" w:rsidR="00021CE5" w:rsidRDefault="00021CE5">
      <w:pPr>
        <w:spacing w:before="40"/>
      </w:pPr>
    </w:p>
    <w:p w14:paraId="4E0D32AF" w14:textId="77777777" w:rsidR="00021CE5" w:rsidRDefault="00000000">
      <w:pPr>
        <w:pStyle w:val="ListParagraph"/>
        <w:numPr>
          <w:ilvl w:val="0"/>
          <w:numId w:val="2"/>
        </w:numPr>
        <w:spacing w:before="40" w:after="40"/>
      </w:pPr>
      <w:r>
        <w:rPr>
          <w:b/>
          <w:bCs/>
        </w:rPr>
        <w:t>First large-scale evidence</w:t>
      </w:r>
      <w:r>
        <w:t xml:space="preserve"> linking liquidity mismatch to panic-driven withdrawals using 22 years and 8,000+ banks — prior work either used small samples or proxied for panic indirectly.</w:t>
      </w:r>
    </w:p>
    <w:p w14:paraId="4E0D32B0" w14:textId="77777777" w:rsidR="00021CE5" w:rsidRDefault="00000000">
      <w:pPr>
        <w:pStyle w:val="ListParagraph"/>
        <w:numPr>
          <w:ilvl w:val="0"/>
          <w:numId w:val="2"/>
        </w:numPr>
        <w:spacing w:before="40" w:after="40"/>
      </w:pPr>
      <w:r>
        <w:rPr>
          <w:b/>
          <w:bCs/>
        </w:rPr>
        <w:t>Empirically confirms the GP mechanism</w:t>
      </w:r>
      <w:r>
        <w:t xml:space="preserve"> — the run threshold P* increases with mismatch, exactly as ∂P*/∂r₁ &gt; 0 predicts.</w:t>
      </w:r>
    </w:p>
    <w:p w14:paraId="4E0D32B1" w14:textId="77777777" w:rsidR="00021CE5" w:rsidRDefault="00000000">
      <w:pPr>
        <w:pStyle w:val="ListParagraph"/>
        <w:numPr>
          <w:ilvl w:val="0"/>
          <w:numId w:val="2"/>
        </w:numPr>
        <w:spacing w:before="40" w:after="40"/>
      </w:pPr>
      <w:r>
        <w:rPr>
          <w:b/>
          <w:bCs/>
        </w:rPr>
        <w:t>Distinguishes panic from fundamentals</w:t>
      </w:r>
      <w:r>
        <w:t xml:space="preserve"> through cross-sectional design, matched samples, and placebo tests — prior empirical work could not disentangle the two.</w:t>
      </w:r>
    </w:p>
    <w:p w14:paraId="4E0D32B2" w14:textId="77777777" w:rsidR="00021CE5" w:rsidRDefault="00000000">
      <w:pPr>
        <w:pStyle w:val="ListParagraph"/>
        <w:numPr>
          <w:ilvl w:val="0"/>
          <w:numId w:val="2"/>
        </w:numPr>
        <w:spacing w:before="40" w:after="40"/>
      </w:pPr>
      <w:r>
        <w:rPr>
          <w:b/>
          <w:bCs/>
        </w:rPr>
        <w:t>Documents deposit insurance limitations</w:t>
      </w:r>
      <w:r>
        <w:t xml:space="preserve"> — partial substitution shows insurance helps but does not eliminate the fragility cost, merely displaces it.</w:t>
      </w:r>
    </w:p>
    <w:p w14:paraId="4E0D32B3" w14:textId="77777777" w:rsidR="00021CE5" w:rsidRDefault="00000000">
      <w:pPr>
        <w:pStyle w:val="ListParagraph"/>
        <w:numPr>
          <w:ilvl w:val="0"/>
          <w:numId w:val="2"/>
        </w:numPr>
        <w:spacing w:before="40" w:after="40"/>
      </w:pPr>
      <w:r>
        <w:rPr>
          <w:b/>
          <w:bCs/>
        </w:rPr>
        <w:t>Quantifies systemic amplification</w:t>
      </w:r>
      <w:r>
        <w:t xml:space="preserve"> — the 7–8× ratio for systematic vs. idiosyncratic shocks shows why banking crises are disproportionately damaging.</w:t>
      </w:r>
    </w:p>
    <w:p w14:paraId="4E0D32B4" w14:textId="77777777" w:rsidR="00021CE5" w:rsidRDefault="00021CE5">
      <w:pPr>
        <w:spacing w:before="80"/>
      </w:pPr>
    </w:p>
    <w:p w14:paraId="4E0D32B5" w14:textId="77777777" w:rsidR="00021CE5" w:rsidRDefault="00000000">
      <w:pPr>
        <w:pStyle w:val="Heading2"/>
      </w:pPr>
      <w:r>
        <w:t xml:space="preserve">Slide: </w:t>
      </w:r>
      <w:proofErr w:type="spellStart"/>
      <w:r>
        <w:t>SVB</w:t>
      </w:r>
      <w:proofErr w:type="spellEnd"/>
      <w:r>
        <w:t xml:space="preserve"> (</w:t>
      </w:r>
      <w:proofErr w:type="gramStart"/>
      <w:r>
        <w:t>2023) —</w:t>
      </w:r>
      <w:proofErr w:type="gramEnd"/>
      <w:r>
        <w:t xml:space="preserve"> Out-of-Sample Confirmation</w:t>
      </w:r>
    </w:p>
    <w:p w14:paraId="4E0D32B6" w14:textId="77777777" w:rsidR="00021CE5" w:rsidRDefault="00000000">
      <w:pPr>
        <w:spacing w:before="200" w:after="60"/>
      </w:pPr>
      <w:r>
        <w:rPr>
          <w:b/>
          <w:bCs/>
          <w:color w:val="C0392B"/>
        </w:rPr>
        <w:t>Core Concept</w:t>
      </w:r>
    </w:p>
    <w:p w14:paraId="4E0D32B7" w14:textId="77777777" w:rsidR="00021CE5" w:rsidRDefault="00000000">
      <w:pPr>
        <w:spacing w:before="60" w:after="80"/>
      </w:pPr>
      <w:r>
        <w:t xml:space="preserve">Silicon Valley Bank's collapse in March 2023 occurred after this paper was written, making it an out-of-sample validation. </w:t>
      </w:r>
      <w:proofErr w:type="spellStart"/>
      <w:r>
        <w:t>SVB</w:t>
      </w:r>
      <w:proofErr w:type="spellEnd"/>
      <w:r>
        <w:t xml:space="preserve"> had approximately 94% uninsured deposits (vs. 34% sample average), </w:t>
      </w:r>
      <w:proofErr w:type="gramStart"/>
      <w:r>
        <w:t>massive unrealized</w:t>
      </w:r>
      <w:proofErr w:type="gramEnd"/>
      <w:r>
        <w:t xml:space="preserve"> bond losses from Fed rate hikes, a highly correlated depositor base (VC-backed startups), and a run coordinated over social media within hours.</w:t>
      </w:r>
    </w:p>
    <w:p w14:paraId="4E0D32B8" w14:textId="77777777" w:rsidR="00021CE5" w:rsidRDefault="00021CE5">
      <w:pPr>
        <w:spacing w:before="60"/>
      </w:pPr>
    </w:p>
    <w:p w14:paraId="4E0D32B9" w14:textId="77777777" w:rsidR="00021CE5" w:rsidRDefault="00000000">
      <w:pPr>
        <w:spacing w:before="60" w:after="80"/>
      </w:pPr>
      <w:r>
        <w:t xml:space="preserve">Every dimension of the paper's mechanism was at maximum intensity in </w:t>
      </w:r>
      <w:proofErr w:type="spellStart"/>
      <w:r>
        <w:t>SVB</w:t>
      </w:r>
      <w:proofErr w:type="spellEnd"/>
      <w:r>
        <w:t>: the highest possible %Uninsured, the strongest imaginable systematic shock (interest rate hikes affecting all banks simultaneously), and a new amplification channel (social media) not present in the 1993–2016 sample.</w:t>
      </w:r>
    </w:p>
    <w:p w14:paraId="4E0D32BA" w14:textId="77777777" w:rsidR="00021CE5" w:rsidRDefault="00021CE5">
      <w:pPr>
        <w:spacing w:before="60"/>
      </w:pPr>
    </w:p>
    <w:tbl>
      <w:tblPr>
        <w:tblW w:w="9360" w:type="dxa"/>
        <w:tblBorders>
          <w:top w:val="single" w:sz="4" w:space="0" w:color="C0392B"/>
          <w:left w:val="thick" w:sz="12"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BB" w14:textId="77777777" w:rsidR="00021CE5" w:rsidRDefault="00000000">
            <w:pPr>
              <w:spacing w:before="30" w:after="30"/>
            </w:pPr>
            <w:r>
              <w:rPr>
                <w:i/>
                <w:iCs/>
                <w:color w:val="444444"/>
                <w:sz w:val="20"/>
                <w:szCs w:val="20"/>
              </w:rPr>
              <w:lastRenderedPageBreak/>
              <w:t>⏱  Timing: 3–4 minutes.</w:t>
            </w:r>
          </w:p>
        </w:tc>
      </w:tr>
      <w:tr w:rsidR="00021CE5" w14:paraId="4E0D32B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BD" w14:textId="77777777" w:rsidR="00021CE5" w:rsidRDefault="00000000">
            <w:pPr>
              <w:spacing w:before="30" w:after="30"/>
            </w:pPr>
            <w:proofErr w:type="spellStart"/>
            <w:r>
              <w:rPr>
                <w:i/>
                <w:iCs/>
                <w:color w:val="444444"/>
                <w:sz w:val="20"/>
                <w:szCs w:val="20"/>
              </w:rPr>
              <w:t>SVB</w:t>
            </w:r>
            <w:proofErr w:type="spellEnd"/>
            <w:r>
              <w:rPr>
                <w:i/>
                <w:iCs/>
                <w:color w:val="444444"/>
                <w:sz w:val="20"/>
                <w:szCs w:val="20"/>
              </w:rPr>
              <w:t xml:space="preserve"> is the most vivid illustration of the mechanism. Use it to make the theory tangible.</w:t>
            </w:r>
          </w:p>
        </w:tc>
      </w:tr>
      <w:tr w:rsidR="00021CE5" w14:paraId="4E0D32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BF" w14:textId="77777777" w:rsidR="00021CE5" w:rsidRDefault="00000000">
            <w:pPr>
              <w:spacing w:before="30" w:after="30"/>
            </w:pPr>
            <w:r>
              <w:rPr>
                <w:i/>
                <w:iCs/>
                <w:color w:val="444444"/>
                <w:sz w:val="20"/>
                <w:szCs w:val="20"/>
              </w:rPr>
              <w:t xml:space="preserve">Key pedagogical point: 'The paper didn't predict </w:t>
            </w:r>
            <w:proofErr w:type="spellStart"/>
            <w:r>
              <w:rPr>
                <w:i/>
                <w:iCs/>
                <w:color w:val="444444"/>
                <w:sz w:val="20"/>
                <w:szCs w:val="20"/>
              </w:rPr>
              <w:t>SVB</w:t>
            </w:r>
            <w:proofErr w:type="spellEnd"/>
            <w:r>
              <w:rPr>
                <w:i/>
                <w:iCs/>
                <w:color w:val="444444"/>
                <w:sz w:val="20"/>
                <w:szCs w:val="20"/>
              </w:rPr>
              <w:t xml:space="preserve">. But it quantified the mechanism that made </w:t>
            </w:r>
            <w:proofErr w:type="spellStart"/>
            <w:r>
              <w:rPr>
                <w:i/>
                <w:iCs/>
                <w:color w:val="444444"/>
                <w:sz w:val="20"/>
                <w:szCs w:val="20"/>
              </w:rPr>
              <w:t>SVB</w:t>
            </w:r>
            <w:proofErr w:type="spellEnd"/>
            <w:r>
              <w:rPr>
                <w:i/>
                <w:iCs/>
                <w:color w:val="444444"/>
                <w:sz w:val="20"/>
                <w:szCs w:val="20"/>
              </w:rPr>
              <w:t xml:space="preserve"> inevitable given its structural features.'</w:t>
            </w:r>
          </w:p>
        </w:tc>
      </w:tr>
      <w:tr w:rsidR="00021CE5" w14:paraId="4E0D32C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60" w:type="dxa"/>
              <w:left w:w="160" w:type="dxa"/>
              <w:bottom w:w="60" w:type="dxa"/>
              <w:right w:w="160" w:type="dxa"/>
            </w:tcMar>
          </w:tcPr>
          <w:p w14:paraId="4E0D32C1" w14:textId="77777777" w:rsidR="00021CE5" w:rsidRDefault="00000000">
            <w:pPr>
              <w:spacing w:before="30" w:after="30"/>
            </w:pPr>
            <w:r>
              <w:rPr>
                <w:i/>
                <w:iCs/>
                <w:color w:val="444444"/>
                <w:sz w:val="20"/>
                <w:szCs w:val="20"/>
              </w:rPr>
              <w:t>Transition: 'Let's now look at what the paper cannot tell us — the limitations are as important as the contributions.'</w:t>
            </w:r>
          </w:p>
        </w:tc>
      </w:tr>
    </w:tbl>
    <w:p w14:paraId="4E0D32C3" w14:textId="77777777" w:rsidR="00021CE5" w:rsidRDefault="00021CE5">
      <w:pPr>
        <w:spacing w:before="80"/>
      </w:pPr>
    </w:p>
    <w:p w14:paraId="4E0D32C4" w14:textId="77777777" w:rsidR="00021CE5" w:rsidRDefault="00000000">
      <w:pPr>
        <w:pStyle w:val="Heading2"/>
      </w:pPr>
      <w:r>
        <w:t>Slide: Possible Criticisms</w:t>
      </w:r>
    </w:p>
    <w:p w14:paraId="4E0D32C5" w14:textId="77777777" w:rsidR="00021CE5" w:rsidRDefault="00000000">
      <w:pPr>
        <w:spacing w:before="200" w:after="60"/>
      </w:pPr>
      <w:r>
        <w:rPr>
          <w:b/>
          <w:bCs/>
          <w:color w:val="C0392B"/>
        </w:rPr>
        <w:t>Measurement Concerns</w:t>
      </w:r>
    </w:p>
    <w:p w14:paraId="4E0D32C6" w14:textId="77777777" w:rsidR="00021CE5" w:rsidRDefault="00000000">
      <w:pPr>
        <w:pStyle w:val="ListParagraph"/>
        <w:numPr>
          <w:ilvl w:val="0"/>
          <w:numId w:val="3"/>
        </w:numPr>
        <w:spacing w:before="40" w:after="40"/>
      </w:pPr>
      <w:r>
        <w:rPr>
          <w:b/>
          <w:bCs/>
        </w:rPr>
        <w:t>%Uninsured endogeneity</w:t>
      </w:r>
      <w:r>
        <w:t>: banks perceived as risky may attract fewer uninsured depositors through adverse selection. The three-year average partially mitigates this, but residual endogeneity remains. A cleaner instrument would strengthen the causal claim.</w:t>
      </w:r>
    </w:p>
    <w:p w14:paraId="4E0D32C7" w14:textId="77777777" w:rsidR="00021CE5" w:rsidRDefault="00000000">
      <w:pPr>
        <w:pStyle w:val="ListParagraph"/>
        <w:numPr>
          <w:ilvl w:val="0"/>
          <w:numId w:val="3"/>
        </w:numPr>
        <w:spacing w:before="40" w:after="40"/>
      </w:pPr>
      <w:r>
        <w:rPr>
          <w:b/>
          <w:bCs/>
        </w:rPr>
        <w:t>Asset Illiquidity as quality proxy</w:t>
      </w:r>
      <w:r>
        <w:t>: riskier banks may choose to hold illiquid loans precisely because they cannot attract high-quality borrowers. If asset quality and illiquidity are correlated, the coefficient on mismatch may partly reflect credit risk rather than panic risk.</w:t>
      </w:r>
    </w:p>
    <w:p w14:paraId="4E0D32C8" w14:textId="77777777" w:rsidR="00021CE5" w:rsidRDefault="00000000">
      <w:pPr>
        <w:pStyle w:val="ListParagraph"/>
        <w:numPr>
          <w:ilvl w:val="0"/>
          <w:numId w:val="3"/>
        </w:numPr>
        <w:spacing w:before="40" w:after="40"/>
      </w:pPr>
      <w:r>
        <w:rPr>
          <w:b/>
          <w:bCs/>
        </w:rPr>
        <w:t xml:space="preserve">Quarterly frequency </w:t>
      </w:r>
      <w:proofErr w:type="gramStart"/>
      <w:r>
        <w:rPr>
          <w:b/>
          <w:bCs/>
        </w:rPr>
        <w:t>misses</w:t>
      </w:r>
      <w:proofErr w:type="gramEnd"/>
      <w:r>
        <w:rPr>
          <w:b/>
          <w:bCs/>
        </w:rPr>
        <w:t xml:space="preserve"> fast runs</w:t>
      </w:r>
      <w:r>
        <w:t xml:space="preserve">: </w:t>
      </w:r>
      <w:proofErr w:type="spellStart"/>
      <w:r>
        <w:t>SVB</w:t>
      </w:r>
      <w:proofErr w:type="spellEnd"/>
      <w:r>
        <w:t xml:space="preserve"> ran in 48 hours. The two-quarter deposit flow window cannot detect such events. The paper captures persistent outflows, not acute panic episodes.</w:t>
      </w:r>
    </w:p>
    <w:p w14:paraId="4E0D32C9" w14:textId="77777777" w:rsidR="00021CE5" w:rsidRDefault="00000000">
      <w:pPr>
        <w:pStyle w:val="ListParagraph"/>
        <w:numPr>
          <w:ilvl w:val="0"/>
          <w:numId w:val="3"/>
        </w:numPr>
        <w:spacing w:before="40" w:after="40"/>
      </w:pPr>
      <w:r>
        <w:rPr>
          <w:b/>
          <w:bCs/>
        </w:rPr>
        <w:t>No depositor-level data</w:t>
      </w:r>
      <w:r>
        <w:t>: net deposit flows are the sum of inflows (new deposits), outflows (withdrawals), and rate-seeking deposit switching. Without depositor-level data, these cannot be separated. Only the net is observed.</w:t>
      </w:r>
    </w:p>
    <w:p w14:paraId="4E0D32CA" w14:textId="77777777" w:rsidR="00021CE5" w:rsidRDefault="00021CE5">
      <w:pPr>
        <w:spacing w:before="80"/>
      </w:pPr>
    </w:p>
    <w:p w14:paraId="4E0D32CB" w14:textId="77777777" w:rsidR="00021CE5" w:rsidRDefault="00000000">
      <w:pPr>
        <w:spacing w:before="200" w:after="60"/>
      </w:pPr>
      <w:r>
        <w:rPr>
          <w:b/>
          <w:bCs/>
          <w:color w:val="C0392B"/>
        </w:rPr>
        <w:t>Identification Concerns</w:t>
      </w:r>
    </w:p>
    <w:p w14:paraId="4E0D32CC" w14:textId="77777777" w:rsidR="00021CE5" w:rsidRDefault="00000000">
      <w:pPr>
        <w:pStyle w:val="ListParagraph"/>
        <w:numPr>
          <w:ilvl w:val="0"/>
          <w:numId w:val="3"/>
        </w:numPr>
        <w:spacing w:before="40" w:after="40"/>
      </w:pPr>
      <w:r>
        <w:rPr>
          <w:b/>
          <w:bCs/>
        </w:rPr>
        <w:t>Residual ROA informativeness</w:t>
      </w:r>
      <w:r>
        <w:t xml:space="preserve">: the peer capital and matched-sample tests address </w:t>
      </w:r>
      <w:proofErr w:type="gramStart"/>
      <w:r>
        <w:t>this, but</w:t>
      </w:r>
      <w:proofErr w:type="gramEnd"/>
      <w:r>
        <w:t xml:space="preserve"> cannot fully rule out bank-specific </w:t>
      </w:r>
      <w:proofErr w:type="spellStart"/>
      <w:r>
        <w:t>unobservables</w:t>
      </w:r>
      <w:proofErr w:type="spellEnd"/>
      <w:r>
        <w:t xml:space="preserve"> correlated with both mismatch and ROA informativeness.</w:t>
      </w:r>
    </w:p>
    <w:p w14:paraId="4E0D32CD" w14:textId="77777777" w:rsidR="00021CE5" w:rsidRDefault="00000000">
      <w:pPr>
        <w:pStyle w:val="ListParagraph"/>
        <w:numPr>
          <w:ilvl w:val="0"/>
          <w:numId w:val="3"/>
        </w:numPr>
        <w:spacing w:before="40" w:after="40"/>
      </w:pPr>
      <w:r>
        <w:rPr>
          <w:b/>
          <w:bCs/>
        </w:rPr>
        <w:t xml:space="preserve">Customer relationship </w:t>
      </w:r>
      <w:proofErr w:type="gramStart"/>
      <w:r>
        <w:rPr>
          <w:b/>
          <w:bCs/>
        </w:rPr>
        <w:t>confound</w:t>
      </w:r>
      <w:r>
        <w:t>:</w:t>
      </w:r>
      <w:proofErr w:type="gramEnd"/>
      <w:r>
        <w:t xml:space="preserve"> banks with high mismatch might have weaker depositor relationships (shorter tenure, less 'sticky' deposits) independent of any panic mechanism. Lower switching costs could produce the same sensitivity pattern without coordination failure.</w:t>
      </w:r>
    </w:p>
    <w:p w14:paraId="4E0D32CE" w14:textId="77777777" w:rsidR="00021CE5" w:rsidRDefault="00000000">
      <w:pPr>
        <w:pStyle w:val="ListParagraph"/>
        <w:numPr>
          <w:ilvl w:val="0"/>
          <w:numId w:val="3"/>
        </w:numPr>
        <w:spacing w:before="40" w:after="40"/>
      </w:pPr>
      <w:r>
        <w:rPr>
          <w:b/>
          <w:bCs/>
        </w:rPr>
        <w:t>Endogenous mismatch choice</w:t>
      </w:r>
      <w:r>
        <w:t>: banks choose their liability structure. High %Uninsured may signal risk appetite, not just structural fragility. A bank that deliberately attracts more institutional depositors may be different in unobserved ways.</w:t>
      </w:r>
    </w:p>
    <w:p w14:paraId="4E0D32CF" w14:textId="77777777" w:rsidR="00021CE5" w:rsidRDefault="00000000">
      <w:pPr>
        <w:pStyle w:val="ListParagraph"/>
        <w:numPr>
          <w:ilvl w:val="0"/>
          <w:numId w:val="3"/>
        </w:numPr>
        <w:spacing w:before="40" w:after="40"/>
      </w:pPr>
      <w:r>
        <w:rPr>
          <w:b/>
          <w:bCs/>
        </w:rPr>
        <w:t>No general equilibrium</w:t>
      </w:r>
      <w:r>
        <w:t xml:space="preserve">: the paper studies individual bank fragility. Systemic fragility — the feedback loops when many banks are simultaneously </w:t>
      </w:r>
      <w:proofErr w:type="gramStart"/>
      <w:r>
        <w:t>stressed —</w:t>
      </w:r>
      <w:proofErr w:type="gramEnd"/>
      <w:r>
        <w:t xml:space="preserve"> is not modeled or estimated.</w:t>
      </w:r>
    </w:p>
    <w:p w14:paraId="4E0D32D0" w14:textId="77777777" w:rsidR="00021CE5" w:rsidRDefault="00021CE5">
      <w:pPr>
        <w:spacing w:before="80"/>
      </w:pPr>
    </w:p>
    <w:p w14:paraId="4E0D32D1" w14:textId="77777777" w:rsidR="00021CE5" w:rsidRDefault="00000000">
      <w:pPr>
        <w:pStyle w:val="Heading2"/>
      </w:pPr>
      <w:r>
        <w:t>Slide: Extensions and Future Research</w:t>
      </w:r>
    </w:p>
    <w:p w14:paraId="4E0D32D2" w14:textId="77777777" w:rsidR="00021CE5" w:rsidRDefault="00000000">
      <w:pPr>
        <w:spacing w:before="200" w:after="60"/>
      </w:pPr>
      <w:r>
        <w:rPr>
          <w:b/>
          <w:bCs/>
          <w:color w:val="C0392B"/>
        </w:rPr>
        <w:t>Open Empirical Questions</w:t>
      </w:r>
    </w:p>
    <w:p w14:paraId="4E0D32D3" w14:textId="77777777" w:rsidR="00021CE5" w:rsidRDefault="00000000">
      <w:pPr>
        <w:pStyle w:val="ListParagraph"/>
        <w:numPr>
          <w:ilvl w:val="0"/>
          <w:numId w:val="3"/>
        </w:numPr>
        <w:spacing w:before="40" w:after="40"/>
      </w:pPr>
      <w:proofErr w:type="gramStart"/>
      <w:r>
        <w:rPr>
          <w:b/>
          <w:bCs/>
        </w:rPr>
        <w:lastRenderedPageBreak/>
        <w:t>Digital-era</w:t>
      </w:r>
      <w:proofErr w:type="gramEnd"/>
      <w:r>
        <w:rPr>
          <w:b/>
          <w:bCs/>
        </w:rPr>
        <w:t xml:space="preserve"> runs</w:t>
      </w:r>
      <w:r>
        <w:t xml:space="preserve">: </w:t>
      </w:r>
      <w:proofErr w:type="spellStart"/>
      <w:r>
        <w:t>SVB</w:t>
      </w:r>
      <w:proofErr w:type="spellEnd"/>
      <w:r>
        <w:t xml:space="preserve"> collapsed in ~48 hours via mobile banking and Twitter coordination. How does technology compress the run timeline? Quarterly data is inadequate; daily or intraday deposit data would be needed. This is an urgent research gap.</w:t>
      </w:r>
    </w:p>
    <w:p w14:paraId="4E0D32D4" w14:textId="77777777" w:rsidR="00021CE5" w:rsidRDefault="00000000">
      <w:pPr>
        <w:pStyle w:val="ListParagraph"/>
        <w:numPr>
          <w:ilvl w:val="0"/>
          <w:numId w:val="3"/>
        </w:numPr>
        <w:spacing w:before="40" w:after="40"/>
      </w:pPr>
      <w:r>
        <w:rPr>
          <w:b/>
          <w:bCs/>
        </w:rPr>
        <w:t>Depositor heterogeneity</w:t>
      </w:r>
      <w:r>
        <w:t>: the GP model assumes symmetric depositors. In practice, institutional depositors (VC funds, corporations) are highly correlated in their information and coordination capacity. A model with heterogeneous depositors would produce sharper predictions.</w:t>
      </w:r>
    </w:p>
    <w:p w14:paraId="4E0D32D5" w14:textId="77777777" w:rsidR="00021CE5" w:rsidRDefault="00000000">
      <w:pPr>
        <w:pStyle w:val="ListParagraph"/>
        <w:numPr>
          <w:ilvl w:val="0"/>
          <w:numId w:val="3"/>
        </w:numPr>
        <w:spacing w:before="40" w:after="40"/>
      </w:pPr>
      <w:r>
        <w:rPr>
          <w:b/>
          <w:bCs/>
        </w:rPr>
        <w:t>International evidence</w:t>
      </w:r>
      <w:r>
        <w:t>: the paper is US-only. Different deposit insurance regimes, regulatory environments, and bank structures create natural variation for cross-country tests.</w:t>
      </w:r>
    </w:p>
    <w:p w14:paraId="4E0D32D6" w14:textId="77777777" w:rsidR="00021CE5" w:rsidRDefault="00021CE5">
      <w:pPr>
        <w:spacing w:before="60"/>
      </w:pPr>
    </w:p>
    <w:p w14:paraId="4E0D32D7" w14:textId="77777777" w:rsidR="00021CE5" w:rsidRDefault="00000000">
      <w:pPr>
        <w:spacing w:before="200" w:after="60"/>
      </w:pPr>
      <w:r>
        <w:rPr>
          <w:b/>
          <w:bCs/>
          <w:color w:val="C0392B"/>
        </w:rPr>
        <w:t>Open Theory Questions</w:t>
      </w:r>
    </w:p>
    <w:p w14:paraId="4E0D32D8" w14:textId="77777777" w:rsidR="00021CE5" w:rsidRDefault="00000000">
      <w:pPr>
        <w:pStyle w:val="ListParagraph"/>
        <w:numPr>
          <w:ilvl w:val="0"/>
          <w:numId w:val="3"/>
        </w:numPr>
        <w:spacing w:before="40" w:after="40"/>
      </w:pPr>
      <w:r>
        <w:rPr>
          <w:b/>
          <w:bCs/>
        </w:rPr>
        <w:t>Endogenous mismatch</w:t>
      </w:r>
      <w:r>
        <w:t>: if fragility is costly, what determines equilibrium bank mismatch? Can regulation achieve a first-best outcome, or does strategic competition push banks toward excessive fragility?</w:t>
      </w:r>
    </w:p>
    <w:p w14:paraId="4E0D32D9" w14:textId="77777777" w:rsidR="00021CE5" w:rsidRDefault="00000000">
      <w:pPr>
        <w:pStyle w:val="ListParagraph"/>
        <w:numPr>
          <w:ilvl w:val="0"/>
          <w:numId w:val="3"/>
        </w:numPr>
        <w:spacing w:before="40" w:after="40"/>
      </w:pPr>
      <w:r>
        <w:rPr>
          <w:b/>
          <w:bCs/>
        </w:rPr>
        <w:t>Social media and public signals</w:t>
      </w:r>
      <w:r>
        <w:t>: GP assumes private noisy signals. Public coordination via social media introduces a public signal component, potentially changing the uniqueness result and the threshold location.</w:t>
      </w:r>
    </w:p>
    <w:p w14:paraId="4E0D32DA" w14:textId="77777777" w:rsidR="00021CE5" w:rsidRDefault="00000000">
      <w:pPr>
        <w:pStyle w:val="ListParagraph"/>
        <w:numPr>
          <w:ilvl w:val="0"/>
          <w:numId w:val="3"/>
        </w:numPr>
        <w:spacing w:before="40" w:after="40"/>
      </w:pPr>
      <w:r>
        <w:rPr>
          <w:b/>
          <w:bCs/>
        </w:rPr>
        <w:t>Optimal deposit insurance calibration</w:t>
      </w:r>
      <w:r>
        <w:t>: Dávila &amp; Goldstein (2023) provide the theoretical framework. The empirical estimates in this paper give the key parameters for calibrating the optimal coverage limit — this is a direct policy application awaiting implementation.</w:t>
      </w:r>
    </w:p>
    <w:p w14:paraId="4E0D32DB" w14:textId="77777777" w:rsidR="00021CE5" w:rsidRDefault="00021CE5">
      <w:pPr>
        <w:pBdr>
          <w:bottom w:val="single" w:sz="4" w:space="0" w:color="B0C4D8"/>
        </w:pBdr>
        <w:spacing w:before="160" w:after="160"/>
      </w:pPr>
    </w:p>
    <w:p w14:paraId="4E0D32DC" w14:textId="77777777" w:rsidR="00021CE5" w:rsidRDefault="00000000">
      <w:pPr>
        <w:pStyle w:val="Heading1"/>
        <w:pBdr>
          <w:bottom w:val="single" w:sz="8" w:space="4" w:color="C0392B"/>
        </w:pBdr>
        <w:spacing w:before="360" w:after="120"/>
      </w:pPr>
      <w:r>
        <w:t>Conclusion</w:t>
      </w:r>
    </w:p>
    <w:p w14:paraId="4E0D32DD" w14:textId="77777777" w:rsidR="00021CE5" w:rsidRDefault="00000000">
      <w:pPr>
        <w:pStyle w:val="Heading2"/>
      </w:pPr>
      <w:r>
        <w:t>Slide: The Big Picture — Theory Meets Evidence</w:t>
      </w:r>
    </w:p>
    <w:p w14:paraId="4E0D32DE" w14:textId="77777777" w:rsidR="00021CE5" w:rsidRDefault="00000000">
      <w:pPr>
        <w:spacing w:before="60" w:after="80"/>
      </w:pPr>
      <w:r>
        <w:t xml:space="preserve">The paper closes a 40-year gap between theory and evidence. Diamond &amp; Dybvig (1983) established the theoretical possibility of panic-based bank runs. Goldstein &amp; </w:t>
      </w:r>
      <w:proofErr w:type="spellStart"/>
      <w:r>
        <w:t>Pauzner</w:t>
      </w:r>
      <w:proofErr w:type="spellEnd"/>
      <w:r>
        <w:t xml:space="preserve"> (2005) derived the comparative statics: higher liquidity mismatch raises the panic threshold. Chen, Goldstein, Huang &amp; </w:t>
      </w:r>
      <w:proofErr w:type="spellStart"/>
      <w:r>
        <w:t>Vashishtha</w:t>
      </w:r>
      <w:proofErr w:type="spellEnd"/>
      <w:r>
        <w:t xml:space="preserve"> (2024) provide the first large-scale empirical validation, using 22 years of US banking data to show that mismatch predicts panic-driven outflows in the way theory predicts.</w:t>
      </w:r>
    </w:p>
    <w:p w14:paraId="4E0D32DF" w14:textId="77777777" w:rsidR="00021CE5" w:rsidRDefault="00021CE5">
      <w:pPr>
        <w:spacing w:before="60"/>
      </w:pPr>
    </w:p>
    <w:tbl>
      <w:tblPr>
        <w:tblW w:w="9360" w:type="dxa"/>
        <w:tblBorders>
          <w:top w:val="single" w:sz="1" w:space="0" w:color="B0C4D8"/>
          <w:left w:val="single" w:sz="1" w:space="0" w:color="B0C4D8"/>
          <w:bottom w:val="single" w:sz="1" w:space="0" w:color="B0C4D8"/>
          <w:right w:val="single" w:sz="1" w:space="0" w:color="B0C4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1CE5" w14:paraId="4E0D32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3A"/>
            <w:tcMar>
              <w:top w:w="80" w:type="dxa"/>
              <w:left w:w="160" w:type="dxa"/>
              <w:bottom w:w="40" w:type="dxa"/>
              <w:right w:w="160" w:type="dxa"/>
            </w:tcMar>
          </w:tcPr>
          <w:p w14:paraId="4E0D32E0" w14:textId="77777777" w:rsidR="00021CE5" w:rsidRDefault="00000000">
            <w:r>
              <w:rPr>
                <w:b/>
                <w:bCs/>
                <w:color w:val="FFFFFF"/>
                <w:sz w:val="20"/>
                <w:szCs w:val="20"/>
              </w:rPr>
              <w:t>The Three Key Numbers</w:t>
            </w:r>
          </w:p>
        </w:tc>
      </w:tr>
      <w:tr w:rsidR="00021CE5" w14:paraId="4E0D32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E2" w14:textId="77777777" w:rsidR="00021CE5" w:rsidRDefault="00000000">
            <w:pPr>
              <w:spacing w:before="20" w:after="20"/>
            </w:pPr>
            <w:r>
              <w:rPr>
                <w:color w:val="222222"/>
                <w:sz w:val="21"/>
                <w:szCs w:val="21"/>
              </w:rPr>
              <w:t>+34–43%: One standard deviation increase in mismatch is associated with 34–43% higher flow-performance sensitivity of uninsured deposits. This is the sensitivity test result.</w:t>
            </w:r>
          </w:p>
        </w:tc>
      </w:tr>
      <w:tr w:rsidR="00021CE5" w14:paraId="4E0D32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E4" w14:textId="77777777" w:rsidR="00021CE5" w:rsidRDefault="00000000">
            <w:pPr>
              <w:spacing w:before="20" w:after="20"/>
            </w:pPr>
            <w:r>
              <w:rPr>
                <w:color w:val="222222"/>
                <w:sz w:val="21"/>
                <w:szCs w:val="21"/>
              </w:rPr>
              <w:t>7–8×: The effect of mismatch on fragility is 7–8 times larger for systematic shocks than idiosyncratic shocks. This is why banking crises are disproportionately costly.</w:t>
            </w:r>
          </w:p>
        </w:tc>
      </w:tr>
      <w:tr w:rsidR="00021CE5" w14:paraId="4E0D32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E8F5"/>
            <w:tcMar>
              <w:top w:w="50" w:type="dxa"/>
              <w:left w:w="160" w:type="dxa"/>
              <w:bottom w:w="50" w:type="dxa"/>
              <w:right w:w="160" w:type="dxa"/>
            </w:tcMar>
          </w:tcPr>
          <w:p w14:paraId="4E0D32E6" w14:textId="77777777" w:rsidR="00021CE5" w:rsidRDefault="00000000">
            <w:pPr>
              <w:spacing w:before="20" w:after="20"/>
            </w:pPr>
            <w:r>
              <w:rPr>
                <w:color w:val="222222"/>
                <w:sz w:val="21"/>
                <w:szCs w:val="21"/>
              </w:rPr>
              <w:t>−2.8%: One SD more pre-crisis Asset Illiquidity translated into 2.8% lower loan growth during the 2008 crisis — 62% of the average loan growth contraction. This is the real economy channel.</w:t>
            </w:r>
          </w:p>
        </w:tc>
      </w:tr>
    </w:tbl>
    <w:p w14:paraId="4E0D32E8" w14:textId="77777777" w:rsidR="00021CE5" w:rsidRDefault="00021CE5">
      <w:pPr>
        <w:spacing w:before="80"/>
      </w:pPr>
    </w:p>
    <w:p w14:paraId="4E0D32E9" w14:textId="77777777" w:rsidR="00021CE5" w:rsidRDefault="00000000">
      <w:pPr>
        <w:pStyle w:val="Heading2"/>
      </w:pPr>
      <w:r>
        <w:lastRenderedPageBreak/>
        <w:t>Slide: Key Takeaways</w:t>
      </w:r>
    </w:p>
    <w:p w14:paraId="4E0D32EA" w14:textId="77777777" w:rsidR="00021CE5" w:rsidRDefault="00000000">
      <w:pPr>
        <w:spacing w:before="200" w:after="60"/>
      </w:pPr>
      <w:r>
        <w:rPr>
          <w:b/>
          <w:bCs/>
          <w:color w:val="C0392B"/>
        </w:rPr>
        <w:t>Methodological Lessons for PhD Students</w:t>
      </w:r>
    </w:p>
    <w:p w14:paraId="4E0D32EB" w14:textId="77777777" w:rsidR="00021CE5" w:rsidRDefault="00000000">
      <w:pPr>
        <w:pStyle w:val="ListParagraph"/>
        <w:numPr>
          <w:ilvl w:val="0"/>
          <w:numId w:val="2"/>
        </w:numPr>
        <w:spacing w:before="40" w:after="40"/>
      </w:pPr>
      <w:r>
        <w:rPr>
          <w:b/>
          <w:bCs/>
        </w:rPr>
        <w:t>Theory → Empirics</w:t>
      </w:r>
      <w:r>
        <w:t>: the GP model provided the exact interaction term to test (mismatch × performance). Without theory, this would have been an ad hoc specification. With theory, it is a pre-registered prediction.</w:t>
      </w:r>
    </w:p>
    <w:p w14:paraId="4E0D32EC" w14:textId="77777777" w:rsidR="00021CE5" w:rsidRDefault="00000000">
      <w:pPr>
        <w:pStyle w:val="ListParagraph"/>
        <w:numPr>
          <w:ilvl w:val="0"/>
          <w:numId w:val="2"/>
        </w:numPr>
        <w:spacing w:before="40" w:after="40"/>
      </w:pPr>
      <w:r>
        <w:rPr>
          <w:b/>
          <w:bCs/>
        </w:rPr>
        <w:t>Multiple tests for convergence</w:t>
      </w:r>
      <w:r>
        <w:t xml:space="preserve">: the paper runs sensitivity tests, level tests, peer capital tests, matched sample tests, placebo tests, and crisis </w:t>
      </w:r>
      <w:proofErr w:type="spellStart"/>
      <w:r>
        <w:t>DiD</w:t>
      </w:r>
      <w:proofErr w:type="spellEnd"/>
      <w:r>
        <w:t>. No single test is decisive; convergence across all of them is compelling.</w:t>
      </w:r>
    </w:p>
    <w:p w14:paraId="4E0D32ED" w14:textId="77777777" w:rsidR="00021CE5" w:rsidRDefault="00000000">
      <w:pPr>
        <w:pStyle w:val="ListParagraph"/>
        <w:numPr>
          <w:ilvl w:val="0"/>
          <w:numId w:val="2"/>
        </w:numPr>
        <w:spacing w:before="40" w:after="40"/>
      </w:pPr>
      <w:r>
        <w:rPr>
          <w:b/>
          <w:bCs/>
        </w:rPr>
        <w:t>Falsification design</w:t>
      </w:r>
      <w:r>
        <w:t xml:space="preserve">: insured deposits as a placebo </w:t>
      </w:r>
      <w:proofErr w:type="gramStart"/>
      <w:r>
        <w:t>is</w:t>
      </w:r>
      <w:proofErr w:type="gramEnd"/>
      <w:r>
        <w:t xml:space="preserve"> elegant. If the story is wrong, both groups look the same. They do not — insured deposits move in the opposite direction. This is hard to explain without the panic channel.</w:t>
      </w:r>
    </w:p>
    <w:p w14:paraId="4E0D32EE" w14:textId="77777777" w:rsidR="00021CE5" w:rsidRDefault="00000000">
      <w:pPr>
        <w:pStyle w:val="ListParagraph"/>
        <w:numPr>
          <w:ilvl w:val="0"/>
          <w:numId w:val="2"/>
        </w:numPr>
        <w:spacing w:before="40" w:after="40"/>
      </w:pPr>
      <w:r>
        <w:rPr>
          <w:b/>
          <w:bCs/>
        </w:rPr>
        <w:t xml:space="preserve">Match on the </w:t>
      </w:r>
      <w:proofErr w:type="gramStart"/>
      <w:r>
        <w:rPr>
          <w:b/>
          <w:bCs/>
        </w:rPr>
        <w:t>confound</w:t>
      </w:r>
      <w:r>
        <w:t>:</w:t>
      </w:r>
      <w:proofErr w:type="gramEnd"/>
      <w:r>
        <w:t xml:space="preserve"> when asset composition is a concern for %Uninsured, match on asset composition. Simple in principle, powerful in practice.</w:t>
      </w:r>
    </w:p>
    <w:p w14:paraId="4E0D32EF" w14:textId="77777777" w:rsidR="00021CE5" w:rsidRDefault="00000000">
      <w:pPr>
        <w:pStyle w:val="ListParagraph"/>
        <w:numPr>
          <w:ilvl w:val="0"/>
          <w:numId w:val="2"/>
        </w:numPr>
        <w:spacing w:before="40" w:after="40"/>
      </w:pPr>
      <w:r>
        <w:rPr>
          <w:b/>
          <w:bCs/>
        </w:rPr>
        <w:t>Cross-sectional identification</w:t>
      </w:r>
      <w:r>
        <w:t>: when you cannot randomize, use structural variation in the key variable to identify mechanisms. Mismatch is not randomly assigned, but its cross-sectional variation is rich enough to identify the panic channel.</w:t>
      </w:r>
    </w:p>
    <w:p w14:paraId="4E0D32F0" w14:textId="77777777" w:rsidR="00021CE5" w:rsidRDefault="00021CE5">
      <w:pPr>
        <w:spacing w:before="80"/>
      </w:pPr>
    </w:p>
    <w:p w14:paraId="4E0D32F1" w14:textId="77777777" w:rsidR="00021CE5" w:rsidRDefault="00000000">
      <w:pPr>
        <w:pStyle w:val="Heading2"/>
      </w:pPr>
      <w:r>
        <w:t>Slide: Discussion Questions</w:t>
      </w:r>
    </w:p>
    <w:p w14:paraId="4E0D32F2" w14:textId="77777777" w:rsidR="00021CE5" w:rsidRDefault="00000000">
      <w:pPr>
        <w:spacing w:before="200" w:after="60"/>
      </w:pPr>
      <w:r>
        <w:rPr>
          <w:b/>
          <w:bCs/>
          <w:color w:val="C0392B"/>
        </w:rPr>
        <w:t>Guidance for Discussion Leaders</w:t>
      </w:r>
    </w:p>
    <w:p w14:paraId="4E0D32F3" w14:textId="77777777" w:rsidR="00021CE5" w:rsidRDefault="00000000">
      <w:pPr>
        <w:spacing w:before="60" w:after="80"/>
      </w:pPr>
      <w:r>
        <w:t>The six discussion questions are organized into theoretical and empirical categories. Suggested time allocation: 20–25 minutes total, roughly 3–4 minutes per question. Questions 1 and 2 are the deepest theory extensions; Questions 4 and 6 are the most tractable empirical designs.</w:t>
      </w:r>
    </w:p>
    <w:p w14:paraId="4E0D32F4" w14:textId="77777777" w:rsidR="00021CE5" w:rsidRDefault="00021CE5">
      <w:pPr>
        <w:spacing w:before="60"/>
      </w:pPr>
    </w:p>
    <w:p w14:paraId="4E0D32F5" w14:textId="77777777" w:rsidR="00021CE5" w:rsidRDefault="00000000">
      <w:pPr>
        <w:pStyle w:val="ListParagraph"/>
        <w:numPr>
          <w:ilvl w:val="0"/>
          <w:numId w:val="3"/>
        </w:numPr>
        <w:spacing w:before="40" w:after="40"/>
      </w:pPr>
      <w:r>
        <w:rPr>
          <w:b/>
          <w:bCs/>
        </w:rPr>
        <w:t>Q1 (Endogenous mismatch)</w:t>
      </w:r>
      <w:r>
        <w:t>: Leads to discussion of equilibrium bank structure. Key insight: if fragility is costly, banks may choose too much mismatch because they do not fully internalize the systemic externality. This motivates liquidity regulation (</w:t>
      </w:r>
      <w:proofErr w:type="spellStart"/>
      <w:r>
        <w:t>LCR</w:t>
      </w:r>
      <w:proofErr w:type="spellEnd"/>
      <w:r>
        <w:t xml:space="preserve">, </w:t>
      </w:r>
      <w:proofErr w:type="spellStart"/>
      <w:r>
        <w:t>NSFR</w:t>
      </w:r>
      <w:proofErr w:type="spellEnd"/>
      <w:r>
        <w:t>).</w:t>
      </w:r>
    </w:p>
    <w:p w14:paraId="4E0D32F6" w14:textId="77777777" w:rsidR="00021CE5" w:rsidRDefault="00000000">
      <w:pPr>
        <w:pStyle w:val="ListParagraph"/>
        <w:numPr>
          <w:ilvl w:val="0"/>
          <w:numId w:val="3"/>
        </w:numPr>
        <w:spacing w:before="40" w:after="40"/>
      </w:pPr>
      <w:r>
        <w:rPr>
          <w:b/>
          <w:bCs/>
        </w:rPr>
        <w:t>Q2 (</w:t>
      </w:r>
      <w:proofErr w:type="gramStart"/>
      <w:r>
        <w:rPr>
          <w:b/>
          <w:bCs/>
        </w:rPr>
        <w:t>Social media</w:t>
      </w:r>
      <w:proofErr w:type="gramEnd"/>
      <w:r>
        <w:rPr>
          <w:b/>
          <w:bCs/>
        </w:rPr>
        <w:t>)</w:t>
      </w:r>
      <w:r>
        <w:t>: Connects to real-time information and the collapse of the 'private signal' assumption. Public coordination via Twitter potentially makes runs faster and less sensitive to fundamentals.</w:t>
      </w:r>
    </w:p>
    <w:p w14:paraId="4E0D32F7" w14:textId="77777777" w:rsidR="00021CE5" w:rsidRDefault="00000000">
      <w:pPr>
        <w:pStyle w:val="ListParagraph"/>
        <w:numPr>
          <w:ilvl w:val="0"/>
          <w:numId w:val="3"/>
        </w:numPr>
        <w:spacing w:before="40" w:after="40"/>
      </w:pPr>
      <w:r>
        <w:rPr>
          <w:b/>
          <w:bCs/>
        </w:rPr>
        <w:t>Q3 (Institutional depositors)</w:t>
      </w:r>
      <w:r>
        <w:t>: Challenges the symmetric-agent GP model. Institutional depositors have lower coordination costs, faster communication, and may be more rational updaters — which could make the panic threshold harder to define.</w:t>
      </w:r>
    </w:p>
    <w:p w14:paraId="4E0D32F8" w14:textId="77777777" w:rsidR="00021CE5" w:rsidRDefault="00000000">
      <w:pPr>
        <w:pStyle w:val="ListParagraph"/>
        <w:numPr>
          <w:ilvl w:val="0"/>
          <w:numId w:val="3"/>
        </w:numPr>
        <w:spacing w:before="40" w:after="40"/>
      </w:pPr>
      <w:r>
        <w:rPr>
          <w:b/>
          <w:bCs/>
        </w:rPr>
        <w:t>Q4 (High-frequency design)</w:t>
      </w:r>
      <w:r>
        <w:t xml:space="preserve">: Practically very difficult. </w:t>
      </w:r>
      <w:proofErr w:type="gramStart"/>
      <w:r>
        <w:t>Would</w:t>
      </w:r>
      <w:proofErr w:type="gramEnd"/>
      <w:r>
        <w:t xml:space="preserve"> require daily deposit data (only recently becoming available through regulatory reports), intraday identification, and a way to separate rate-induced flows from panic flows.</w:t>
      </w:r>
    </w:p>
    <w:p w14:paraId="4E0D32F9" w14:textId="77777777" w:rsidR="00021CE5" w:rsidRDefault="00000000">
      <w:pPr>
        <w:pStyle w:val="ListParagraph"/>
        <w:numPr>
          <w:ilvl w:val="0"/>
          <w:numId w:val="3"/>
        </w:numPr>
        <w:spacing w:before="40" w:after="40"/>
      </w:pPr>
      <w:r>
        <w:rPr>
          <w:b/>
          <w:bCs/>
        </w:rPr>
        <w:t>Q5 (</w:t>
      </w:r>
      <w:proofErr w:type="gramStart"/>
      <w:r>
        <w:rPr>
          <w:b/>
          <w:bCs/>
        </w:rPr>
        <w:t>Non-bank</w:t>
      </w:r>
      <w:proofErr w:type="gramEnd"/>
      <w:r>
        <w:rPr>
          <w:b/>
          <w:bCs/>
        </w:rPr>
        <w:t xml:space="preserve"> intermediaries)</w:t>
      </w:r>
      <w:r>
        <w:t>: Rich extension. Life insurers face 'policyholder runs'; money market funds faced runs in 2008 and 2020; ETFs face redemption pressure. The analogous mismatch variable would differ by institution type.</w:t>
      </w:r>
    </w:p>
    <w:p w14:paraId="4E0D32FA" w14:textId="77777777" w:rsidR="00021CE5" w:rsidRDefault="00000000">
      <w:pPr>
        <w:pStyle w:val="ListParagraph"/>
        <w:numPr>
          <w:ilvl w:val="0"/>
          <w:numId w:val="3"/>
        </w:numPr>
        <w:spacing w:before="40" w:after="40"/>
      </w:pPr>
      <w:r>
        <w:rPr>
          <w:b/>
          <w:bCs/>
        </w:rPr>
        <w:t>Q6 (</w:t>
      </w:r>
      <w:proofErr w:type="spellStart"/>
      <w:r>
        <w:rPr>
          <w:b/>
          <w:bCs/>
        </w:rPr>
        <w:t>SVB</w:t>
      </w:r>
      <w:proofErr w:type="spellEnd"/>
      <w:r>
        <w:rPr>
          <w:b/>
          <w:bCs/>
        </w:rPr>
        <w:t xml:space="preserve"> daily data)</w:t>
      </w:r>
      <w:r>
        <w:t xml:space="preserve">: The most actionable current research question. </w:t>
      </w:r>
      <w:proofErr w:type="spellStart"/>
      <w:r>
        <w:t>SVB's</w:t>
      </w:r>
      <w:proofErr w:type="spellEnd"/>
      <w:r>
        <w:t xml:space="preserve"> collapse is documented at daily frequency in Federal Reserve reports. Applying the GP framework to test whether the threshold was crossed, and when, would be a high-impact paper.</w:t>
      </w:r>
    </w:p>
    <w:p w14:paraId="4E0D32FB" w14:textId="77777777" w:rsidR="00021CE5" w:rsidRDefault="00021CE5">
      <w:pPr>
        <w:spacing w:before="80"/>
      </w:pPr>
    </w:p>
    <w:p w14:paraId="4E0D32FC" w14:textId="77777777" w:rsidR="00021CE5" w:rsidRDefault="00021CE5">
      <w:pPr>
        <w:pBdr>
          <w:bottom w:val="single" w:sz="4" w:space="0" w:color="B0C4D8"/>
        </w:pBdr>
        <w:spacing w:before="160" w:after="160"/>
      </w:pPr>
    </w:p>
    <w:p w14:paraId="4E0D32FD" w14:textId="77777777" w:rsidR="00021CE5" w:rsidRDefault="00000000">
      <w:pPr>
        <w:pStyle w:val="Heading1"/>
        <w:pBdr>
          <w:bottom w:val="single" w:sz="8" w:space="4" w:color="C0392B"/>
        </w:pBdr>
        <w:spacing w:before="360" w:after="120"/>
      </w:pPr>
      <w:r>
        <w:lastRenderedPageBreak/>
        <w:t>References</w:t>
      </w:r>
    </w:p>
    <w:p w14:paraId="4E0D32FE" w14:textId="77777777" w:rsidR="00021CE5" w:rsidRDefault="00000000">
      <w:pPr>
        <w:spacing w:before="200" w:after="60"/>
      </w:pPr>
      <w:r>
        <w:rPr>
          <w:b/>
          <w:bCs/>
          <w:color w:val="C0392B"/>
        </w:rPr>
        <w:t>Core Papers</w:t>
      </w:r>
    </w:p>
    <w:p w14:paraId="4E0D32FF" w14:textId="77777777" w:rsidR="00021CE5" w:rsidRDefault="00000000">
      <w:pPr>
        <w:pStyle w:val="ListParagraph"/>
        <w:numPr>
          <w:ilvl w:val="0"/>
          <w:numId w:val="3"/>
        </w:numPr>
        <w:spacing w:before="40" w:after="40"/>
      </w:pPr>
      <w:r>
        <w:t>Diamond, D. W. &amp; Dybvig, P. H. (1983). Bank Runs, Deposit Insurance, and Liquidity. Journal of Political Economy, 91(3), 401–419.</w:t>
      </w:r>
    </w:p>
    <w:p w14:paraId="4E0D3300" w14:textId="77777777" w:rsidR="00021CE5" w:rsidRDefault="00000000">
      <w:pPr>
        <w:pStyle w:val="ListParagraph"/>
        <w:numPr>
          <w:ilvl w:val="0"/>
          <w:numId w:val="3"/>
        </w:numPr>
        <w:spacing w:before="40" w:after="40"/>
      </w:pPr>
      <w:r>
        <w:t>Morris, S. &amp; Shin, H. S. (2000). Rethinking Multiple Equilibria in Macroeconomic Modeling. NBER Macroeconomics Annual, 15, 139–161.</w:t>
      </w:r>
    </w:p>
    <w:p w14:paraId="4E0D3301" w14:textId="77777777" w:rsidR="00021CE5" w:rsidRDefault="00000000">
      <w:pPr>
        <w:pStyle w:val="ListParagraph"/>
        <w:numPr>
          <w:ilvl w:val="0"/>
          <w:numId w:val="3"/>
        </w:numPr>
        <w:spacing w:before="40" w:after="40"/>
      </w:pPr>
      <w:r>
        <w:t xml:space="preserve">Goldstein, I. &amp; </w:t>
      </w:r>
      <w:proofErr w:type="spellStart"/>
      <w:r>
        <w:t>Pauzner</w:t>
      </w:r>
      <w:proofErr w:type="spellEnd"/>
      <w:r>
        <w:t>, A. (2005). Demand Deposit Contracts and the Probability of Bank Runs. Journal of Finance, 60(3), 1293–1327.</w:t>
      </w:r>
    </w:p>
    <w:p w14:paraId="4E0D3302" w14:textId="77777777" w:rsidR="00021CE5" w:rsidRDefault="00000000">
      <w:pPr>
        <w:pStyle w:val="ListParagraph"/>
        <w:numPr>
          <w:ilvl w:val="0"/>
          <w:numId w:val="3"/>
        </w:numPr>
        <w:spacing w:before="40" w:after="40"/>
      </w:pPr>
      <w:r>
        <w:t>Chen, Q., Goldstein, I. &amp; Jiang, W. (2010). Payoff Complementarities and Financial Fragility: Evidence from Mutual Fund Outflows. Journal of Financial Economics, 97(2), 239–262.</w:t>
      </w:r>
    </w:p>
    <w:p w14:paraId="4E0D3303" w14:textId="77777777" w:rsidR="00021CE5" w:rsidRDefault="00000000">
      <w:pPr>
        <w:pStyle w:val="ListParagraph"/>
        <w:numPr>
          <w:ilvl w:val="0"/>
          <w:numId w:val="3"/>
        </w:numPr>
        <w:spacing w:before="40" w:after="40"/>
      </w:pPr>
      <w:r>
        <w:t>Berger, A. N. &amp; Bouwman, C. H. S. (2009). Bank Liquidity Creation. Review of Financial Studies, 22(9), 3779–3837.</w:t>
      </w:r>
    </w:p>
    <w:p w14:paraId="4E0D3304" w14:textId="77777777" w:rsidR="00021CE5" w:rsidRDefault="00021CE5">
      <w:pPr>
        <w:spacing w:before="40"/>
      </w:pPr>
    </w:p>
    <w:p w14:paraId="4E0D3305" w14:textId="77777777" w:rsidR="00021CE5" w:rsidRDefault="00000000">
      <w:pPr>
        <w:spacing w:before="200" w:after="60"/>
      </w:pPr>
      <w:r>
        <w:rPr>
          <w:b/>
          <w:bCs/>
          <w:color w:val="C0392B"/>
        </w:rPr>
        <w:t>Main Paper</w:t>
      </w:r>
    </w:p>
    <w:p w14:paraId="4E0D3306" w14:textId="77777777" w:rsidR="00021CE5" w:rsidRDefault="00000000">
      <w:pPr>
        <w:pStyle w:val="ListParagraph"/>
        <w:numPr>
          <w:ilvl w:val="0"/>
          <w:numId w:val="3"/>
        </w:numPr>
        <w:spacing w:before="40" w:after="40"/>
      </w:pPr>
      <w:r>
        <w:t xml:space="preserve">Chen, Q., Goldstein, I., Huang, Z. &amp; </w:t>
      </w:r>
      <w:proofErr w:type="spellStart"/>
      <w:r>
        <w:t>Vashishtha</w:t>
      </w:r>
      <w:proofErr w:type="spellEnd"/>
      <w:r>
        <w:t>, R. (2024). Liquidity Transformation and Fragility in the U.S. Banking Sector. Journal of Finance, 79(6), 3983–4036.</w:t>
      </w:r>
    </w:p>
    <w:p w14:paraId="4E0D3307" w14:textId="77777777" w:rsidR="00021CE5" w:rsidRDefault="00021CE5">
      <w:pPr>
        <w:spacing w:before="40"/>
      </w:pPr>
    </w:p>
    <w:p w14:paraId="4E0D3308" w14:textId="77777777" w:rsidR="00021CE5" w:rsidRDefault="00000000">
      <w:pPr>
        <w:spacing w:before="200" w:after="60"/>
      </w:pPr>
      <w:proofErr w:type="spellStart"/>
      <w:r>
        <w:rPr>
          <w:b/>
          <w:bCs/>
          <w:color w:val="C0392B"/>
        </w:rPr>
        <w:t>SVB</w:t>
      </w:r>
      <w:proofErr w:type="spellEnd"/>
      <w:r>
        <w:rPr>
          <w:b/>
          <w:bCs/>
          <w:color w:val="C0392B"/>
        </w:rPr>
        <w:t xml:space="preserve"> and Recent Crises</w:t>
      </w:r>
    </w:p>
    <w:p w14:paraId="4E0D3309" w14:textId="77777777" w:rsidR="00021CE5" w:rsidRDefault="00000000">
      <w:pPr>
        <w:pStyle w:val="ListParagraph"/>
        <w:numPr>
          <w:ilvl w:val="0"/>
          <w:numId w:val="3"/>
        </w:numPr>
        <w:spacing w:before="40" w:after="40"/>
      </w:pPr>
      <w:r>
        <w:t xml:space="preserve">Jiang, E. X., </w:t>
      </w:r>
      <w:proofErr w:type="spellStart"/>
      <w:r>
        <w:t>Matvos</w:t>
      </w:r>
      <w:proofErr w:type="spellEnd"/>
      <w:r>
        <w:t>, G., Piskorski, T. &amp; Seru, A. (2023). Monetary Tightening and U.S. Bank Fragility in 2023: Mark-to-Market Losses and Uninsured Depositor Runs. NBER Working Paper 31048.</w:t>
      </w:r>
    </w:p>
    <w:p w14:paraId="4E0D330A" w14:textId="77777777" w:rsidR="00021CE5" w:rsidRDefault="00000000">
      <w:pPr>
        <w:pStyle w:val="ListParagraph"/>
        <w:numPr>
          <w:ilvl w:val="0"/>
          <w:numId w:val="3"/>
        </w:numPr>
        <w:spacing w:before="40" w:after="40"/>
      </w:pPr>
      <w:r>
        <w:t>Goldstein, I. (2013). Empirical Literature on Financial Crises: Fundamentals vs. Panic. In The Evidence and Impact of Financial Globalization (pp. 523–534). Elsevier.</w:t>
      </w:r>
    </w:p>
    <w:p w14:paraId="4E0D330B" w14:textId="77777777" w:rsidR="00021CE5" w:rsidRDefault="00021CE5">
      <w:pPr>
        <w:spacing w:before="40"/>
      </w:pPr>
    </w:p>
    <w:p w14:paraId="4E0D330C" w14:textId="77777777" w:rsidR="00021CE5" w:rsidRDefault="00000000">
      <w:pPr>
        <w:spacing w:before="200" w:after="60"/>
      </w:pPr>
      <w:r>
        <w:rPr>
          <w:b/>
          <w:bCs/>
          <w:color w:val="C0392B"/>
        </w:rPr>
        <w:t>Policy and Extensions</w:t>
      </w:r>
    </w:p>
    <w:p w14:paraId="4E0D330D" w14:textId="77777777" w:rsidR="00021CE5" w:rsidRDefault="00000000">
      <w:pPr>
        <w:pStyle w:val="ListParagraph"/>
        <w:numPr>
          <w:ilvl w:val="0"/>
          <w:numId w:val="3"/>
        </w:numPr>
        <w:spacing w:before="40" w:after="40"/>
      </w:pPr>
      <w:r>
        <w:t>Dávila, E. &amp; Goldstein, I. (2023). Optimal Deposit Insurance. Journal of Political Economy, 131(1), 1–51.</w:t>
      </w:r>
    </w:p>
    <w:p w14:paraId="4E0D330E" w14:textId="77777777" w:rsidR="00021CE5" w:rsidRDefault="00000000">
      <w:pPr>
        <w:pStyle w:val="ListParagraph"/>
        <w:numPr>
          <w:ilvl w:val="0"/>
          <w:numId w:val="3"/>
        </w:numPr>
        <w:spacing w:before="40" w:after="40"/>
      </w:pPr>
      <w:r>
        <w:t>Keister, T. (2016). Bailouts and Financial Fragility. Review of Economic Studies, 83(2), 704–736.</w:t>
      </w:r>
    </w:p>
    <w:p w14:paraId="4E0D330F" w14:textId="77777777" w:rsidR="00021CE5" w:rsidRDefault="00000000">
      <w:pPr>
        <w:pStyle w:val="ListParagraph"/>
        <w:numPr>
          <w:ilvl w:val="0"/>
          <w:numId w:val="3"/>
        </w:numPr>
        <w:spacing w:before="40" w:after="40"/>
      </w:pPr>
      <w:r>
        <w:t xml:space="preserve">Granja, J., </w:t>
      </w:r>
      <w:proofErr w:type="spellStart"/>
      <w:r>
        <w:t>Matvos</w:t>
      </w:r>
      <w:proofErr w:type="spellEnd"/>
      <w:r>
        <w:t>, G. &amp; Seru, A. (2017). Selling Failed Banks. Journal of Finance, 72(4), 1723–1784.</w:t>
      </w:r>
    </w:p>
    <w:p w14:paraId="4E0D3310" w14:textId="77777777" w:rsidR="00021CE5" w:rsidRDefault="00000000">
      <w:pPr>
        <w:pStyle w:val="ListParagraph"/>
        <w:numPr>
          <w:ilvl w:val="0"/>
          <w:numId w:val="3"/>
        </w:numPr>
        <w:spacing w:before="40" w:after="40"/>
      </w:pPr>
      <w:r>
        <w:t xml:space="preserve">Shleifer, A. &amp; </w:t>
      </w:r>
      <w:proofErr w:type="spellStart"/>
      <w:r>
        <w:t>Vishny</w:t>
      </w:r>
      <w:proofErr w:type="spellEnd"/>
      <w:r>
        <w:t>, R. W. (1992). Liquidation Values and Debt Capacity: A Market Equilibrium Approach. Journal of Finance, 47(4), 1343–1366.</w:t>
      </w:r>
    </w:p>
    <w:sectPr w:rsidR="00021C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16CA" w14:textId="77777777" w:rsidR="00606F03" w:rsidRDefault="00606F03">
      <w:r>
        <w:separator/>
      </w:r>
    </w:p>
  </w:endnote>
  <w:endnote w:type="continuationSeparator" w:id="0">
    <w:p w14:paraId="0E55A659" w14:textId="77777777" w:rsidR="00606F03" w:rsidRDefault="00606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3312" w14:textId="5093DCAA" w:rsidR="00021CE5" w:rsidRDefault="00000000">
    <w:pPr>
      <w:pBdr>
        <w:top w:val="single" w:sz="4" w:space="0" w:color="B0C4D8"/>
      </w:pBdr>
      <w:spacing w:before="80"/>
    </w:pPr>
    <w:r>
      <w:rPr>
        <w:color w:val="777777"/>
        <w:sz w:val="18"/>
        <w:szCs w:val="18"/>
      </w:rPr>
      <w:t xml:space="preserve">PhD Seminar in Banking &amp; </w:t>
    </w:r>
    <w:proofErr w:type="gramStart"/>
    <w:r>
      <w:rPr>
        <w:color w:val="777777"/>
        <w:sz w:val="18"/>
        <w:szCs w:val="18"/>
      </w:rPr>
      <w:t>Finance  |</w:t>
    </w:r>
    <w:proofErr w:type="gramEnd"/>
    <w:r>
      <w:rPr>
        <w:color w:val="777777"/>
        <w:sz w:val="18"/>
        <w:szCs w:val="18"/>
      </w:rPr>
      <w:t xml:space="preserve">  </w:t>
    </w:r>
    <w:r>
      <w:rPr>
        <w:color w:val="777777"/>
        <w:sz w:val="18"/>
        <w:szCs w:val="18"/>
      </w:rPr>
      <w:fldChar w:fldCharType="begin"/>
    </w:r>
    <w:r>
      <w:rPr>
        <w:color w:val="777777"/>
        <w:sz w:val="18"/>
        <w:szCs w:val="18"/>
      </w:rPr>
      <w:instrText>PAGE</w:instrText>
    </w:r>
    <w:r>
      <w:rPr>
        <w:color w:val="777777"/>
        <w:sz w:val="18"/>
        <w:szCs w:val="18"/>
      </w:rPr>
      <w:fldChar w:fldCharType="separate"/>
    </w:r>
    <w:r w:rsidR="00D450C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45163" w14:textId="77777777" w:rsidR="00606F03" w:rsidRDefault="00606F03">
      <w:r>
        <w:separator/>
      </w:r>
    </w:p>
  </w:footnote>
  <w:footnote w:type="continuationSeparator" w:id="0">
    <w:p w14:paraId="34531CA8" w14:textId="77777777" w:rsidR="00606F03" w:rsidRDefault="00606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3311" w14:textId="77777777" w:rsidR="00021CE5" w:rsidRDefault="00000000">
    <w:pPr>
      <w:pBdr>
        <w:bottom w:val="single" w:sz="4" w:space="0" w:color="B0C4D8"/>
      </w:pBdr>
      <w:spacing w:after="80"/>
    </w:pPr>
    <w:r>
      <w:rPr>
        <w:color w:val="777777"/>
        <w:sz w:val="18"/>
        <w:szCs w:val="18"/>
      </w:rPr>
      <w:t xml:space="preserve">Lecture Notes: Liquidity Transformation &amp; Bank </w:t>
    </w:r>
    <w:proofErr w:type="gramStart"/>
    <w:r>
      <w:rPr>
        <w:color w:val="777777"/>
        <w:sz w:val="18"/>
        <w:szCs w:val="18"/>
      </w:rPr>
      <w:t>Fragility  |</w:t>
    </w:r>
    <w:proofErr w:type="gramEnd"/>
    <w:r>
      <w:rPr>
        <w:color w:val="777777"/>
        <w:sz w:val="18"/>
        <w:szCs w:val="18"/>
      </w:rPr>
      <w:t xml:space="preserve">  Chen et al.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0C00"/>
    <w:multiLevelType w:val="hybridMultilevel"/>
    <w:tmpl w:val="3DC2A358"/>
    <w:lvl w:ilvl="0" w:tplc="062C41C4">
      <w:start w:val="1"/>
      <w:numFmt w:val="decimal"/>
      <w:lvlText w:val="%1."/>
      <w:lvlJc w:val="left"/>
      <w:pPr>
        <w:ind w:left="720" w:hanging="360"/>
      </w:pPr>
    </w:lvl>
    <w:lvl w:ilvl="1" w:tplc="871A50FA">
      <w:numFmt w:val="decimal"/>
      <w:lvlText w:val=""/>
      <w:lvlJc w:val="left"/>
    </w:lvl>
    <w:lvl w:ilvl="2" w:tplc="DD244E3C">
      <w:numFmt w:val="decimal"/>
      <w:lvlText w:val=""/>
      <w:lvlJc w:val="left"/>
    </w:lvl>
    <w:lvl w:ilvl="3" w:tplc="C150A4F6">
      <w:numFmt w:val="decimal"/>
      <w:lvlText w:val=""/>
      <w:lvlJc w:val="left"/>
    </w:lvl>
    <w:lvl w:ilvl="4" w:tplc="051AFA3A">
      <w:numFmt w:val="decimal"/>
      <w:lvlText w:val=""/>
      <w:lvlJc w:val="left"/>
    </w:lvl>
    <w:lvl w:ilvl="5" w:tplc="05FCCDE0">
      <w:numFmt w:val="decimal"/>
      <w:lvlText w:val=""/>
      <w:lvlJc w:val="left"/>
    </w:lvl>
    <w:lvl w:ilvl="6" w:tplc="983E2FB8">
      <w:numFmt w:val="decimal"/>
      <w:lvlText w:val=""/>
      <w:lvlJc w:val="left"/>
    </w:lvl>
    <w:lvl w:ilvl="7" w:tplc="0776A49E">
      <w:numFmt w:val="decimal"/>
      <w:lvlText w:val=""/>
      <w:lvlJc w:val="left"/>
    </w:lvl>
    <w:lvl w:ilvl="8" w:tplc="BB5A1342">
      <w:numFmt w:val="decimal"/>
      <w:lvlText w:val=""/>
      <w:lvlJc w:val="left"/>
    </w:lvl>
  </w:abstractNum>
  <w:abstractNum w:abstractNumId="1" w15:restartNumberingAfterBreak="0">
    <w:nsid w:val="2D553F8E"/>
    <w:multiLevelType w:val="hybridMultilevel"/>
    <w:tmpl w:val="DF348830"/>
    <w:lvl w:ilvl="0" w:tplc="44409806">
      <w:start w:val="1"/>
      <w:numFmt w:val="bullet"/>
      <w:lvlText w:val="•"/>
      <w:lvlJc w:val="left"/>
      <w:pPr>
        <w:ind w:left="720" w:hanging="360"/>
      </w:pPr>
    </w:lvl>
    <w:lvl w:ilvl="1" w:tplc="C430DF32">
      <w:start w:val="1"/>
      <w:numFmt w:val="bullet"/>
      <w:lvlText w:val="–"/>
      <w:lvlJc w:val="left"/>
      <w:pPr>
        <w:ind w:left="1080" w:hanging="360"/>
      </w:pPr>
    </w:lvl>
    <w:lvl w:ilvl="2" w:tplc="3872ED58">
      <w:numFmt w:val="decimal"/>
      <w:lvlText w:val=""/>
      <w:lvlJc w:val="left"/>
    </w:lvl>
    <w:lvl w:ilvl="3" w:tplc="D4F8B2CE">
      <w:numFmt w:val="decimal"/>
      <w:lvlText w:val=""/>
      <w:lvlJc w:val="left"/>
    </w:lvl>
    <w:lvl w:ilvl="4" w:tplc="17486794">
      <w:numFmt w:val="decimal"/>
      <w:lvlText w:val=""/>
      <w:lvlJc w:val="left"/>
    </w:lvl>
    <w:lvl w:ilvl="5" w:tplc="1458C928">
      <w:numFmt w:val="decimal"/>
      <w:lvlText w:val=""/>
      <w:lvlJc w:val="left"/>
    </w:lvl>
    <w:lvl w:ilvl="6" w:tplc="ADA2B738">
      <w:numFmt w:val="decimal"/>
      <w:lvlText w:val=""/>
      <w:lvlJc w:val="left"/>
    </w:lvl>
    <w:lvl w:ilvl="7" w:tplc="86503BDA">
      <w:numFmt w:val="decimal"/>
      <w:lvlText w:val=""/>
      <w:lvlJc w:val="left"/>
    </w:lvl>
    <w:lvl w:ilvl="8" w:tplc="76260B8A">
      <w:numFmt w:val="decimal"/>
      <w:lvlText w:val=""/>
      <w:lvlJc w:val="left"/>
    </w:lvl>
  </w:abstractNum>
  <w:abstractNum w:abstractNumId="2" w15:restartNumberingAfterBreak="0">
    <w:nsid w:val="6B1730CC"/>
    <w:multiLevelType w:val="hybridMultilevel"/>
    <w:tmpl w:val="97423BCA"/>
    <w:lvl w:ilvl="0" w:tplc="17206FE8">
      <w:start w:val="1"/>
      <w:numFmt w:val="bullet"/>
      <w:lvlText w:val="●"/>
      <w:lvlJc w:val="left"/>
      <w:pPr>
        <w:ind w:left="720" w:hanging="360"/>
      </w:pPr>
    </w:lvl>
    <w:lvl w:ilvl="1" w:tplc="7AF696DE">
      <w:start w:val="1"/>
      <w:numFmt w:val="bullet"/>
      <w:lvlText w:val="○"/>
      <w:lvlJc w:val="left"/>
      <w:pPr>
        <w:ind w:left="1440" w:hanging="360"/>
      </w:pPr>
    </w:lvl>
    <w:lvl w:ilvl="2" w:tplc="6F44E816">
      <w:start w:val="1"/>
      <w:numFmt w:val="bullet"/>
      <w:lvlText w:val="■"/>
      <w:lvlJc w:val="left"/>
      <w:pPr>
        <w:ind w:left="2160" w:hanging="360"/>
      </w:pPr>
    </w:lvl>
    <w:lvl w:ilvl="3" w:tplc="3B12AFDE">
      <w:start w:val="1"/>
      <w:numFmt w:val="bullet"/>
      <w:lvlText w:val="●"/>
      <w:lvlJc w:val="left"/>
      <w:pPr>
        <w:ind w:left="2880" w:hanging="360"/>
      </w:pPr>
    </w:lvl>
    <w:lvl w:ilvl="4" w:tplc="5B3EC5AA">
      <w:start w:val="1"/>
      <w:numFmt w:val="bullet"/>
      <w:lvlText w:val="○"/>
      <w:lvlJc w:val="left"/>
      <w:pPr>
        <w:ind w:left="3600" w:hanging="360"/>
      </w:pPr>
    </w:lvl>
    <w:lvl w:ilvl="5" w:tplc="AA503114">
      <w:start w:val="1"/>
      <w:numFmt w:val="bullet"/>
      <w:lvlText w:val="■"/>
      <w:lvlJc w:val="left"/>
      <w:pPr>
        <w:ind w:left="4320" w:hanging="360"/>
      </w:pPr>
    </w:lvl>
    <w:lvl w:ilvl="6" w:tplc="34A2A02A">
      <w:start w:val="1"/>
      <w:numFmt w:val="bullet"/>
      <w:lvlText w:val="●"/>
      <w:lvlJc w:val="left"/>
      <w:pPr>
        <w:ind w:left="5040" w:hanging="360"/>
      </w:pPr>
    </w:lvl>
    <w:lvl w:ilvl="7" w:tplc="DBD03EE6">
      <w:start w:val="1"/>
      <w:numFmt w:val="bullet"/>
      <w:lvlText w:val="●"/>
      <w:lvlJc w:val="left"/>
      <w:pPr>
        <w:ind w:left="5760" w:hanging="360"/>
      </w:pPr>
    </w:lvl>
    <w:lvl w:ilvl="8" w:tplc="4D0C1C0E">
      <w:start w:val="1"/>
      <w:numFmt w:val="bullet"/>
      <w:lvlText w:val="●"/>
      <w:lvlJc w:val="left"/>
      <w:pPr>
        <w:ind w:left="6480" w:hanging="360"/>
      </w:pPr>
    </w:lvl>
  </w:abstractNum>
  <w:num w:numId="1" w16cid:durableId="491877838">
    <w:abstractNumId w:val="2"/>
    <w:lvlOverride w:ilvl="0">
      <w:startOverride w:val="1"/>
    </w:lvlOverride>
  </w:num>
  <w:num w:numId="2" w16cid:durableId="1822188836">
    <w:abstractNumId w:val="0"/>
    <w:lvlOverride w:ilvl="0">
      <w:startOverride w:val="1"/>
    </w:lvlOverride>
  </w:num>
  <w:num w:numId="3" w16cid:durableId="983194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CE5"/>
    <w:rsid w:val="00021CE5"/>
    <w:rsid w:val="00045864"/>
    <w:rsid w:val="00606F03"/>
    <w:rsid w:val="00941C86"/>
    <w:rsid w:val="00D45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30DF"/>
  <w15:docId w15:val="{2E6BA536-3FFF-4823-936D-84E19E18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2A3A"/>
      <w:sz w:val="32"/>
      <w:szCs w:val="32"/>
    </w:rPr>
  </w:style>
  <w:style w:type="paragraph" w:styleId="Heading2">
    <w:name w:val="heading 2"/>
    <w:uiPriority w:val="9"/>
    <w:unhideWhenUsed/>
    <w:qFormat/>
    <w:pPr>
      <w:spacing w:before="280" w:after="80"/>
      <w:outlineLvl w:val="1"/>
    </w:pPr>
    <w:rPr>
      <w:b/>
      <w:bCs/>
      <w:color w:val="1A2A3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6101</Words>
  <Characters>34854</Characters>
  <Application>Microsoft Office Word</Application>
  <DocSecurity>0</DocSecurity>
  <Lines>723</Lines>
  <Paragraphs>333</Paragraphs>
  <ScaleCrop>false</ScaleCrop>
  <Company/>
  <LinksUpToDate>false</LinksUpToDate>
  <CharactersWithSpaces>40712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Gajendra Choudhary</cp:lastModifiedBy>
  <cp:revision>3</cp:revision>
  <cp:lastPrinted>2026-02-24T23:39:00Z</cp:lastPrinted>
  <dcterms:created xsi:type="dcterms:W3CDTF">2026-02-24T23:37:00Z</dcterms:created>
  <dcterms:modified xsi:type="dcterms:W3CDTF">2026-02-24T23:39:00Z</dcterms:modified>
</cp:coreProperties>
</file>