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Pharmaceutical Market &amp; Prescription Analytics</w:t>
      </w:r>
    </w:p>
    <w:p>
      <w:pPr>
        <w:pStyle w:val="Heading1"/>
      </w:pPr>
      <w:r>
        <w:t>Project Overview</w:t>
      </w:r>
    </w:p>
    <w:p>
      <w:r>
        <w:t>This project serves as a comprehensive Decision Analytics case study. The primary objective was to analyze the official UK government/NHS data to understand prescription volumes, expenditure, and geographic distribution across England, and to derive commercial recommendations for pharmaceutical stakeholders.</w:t>
      </w:r>
    </w:p>
    <w:p>
      <w:pPr>
        <w:pStyle w:val="Heading1"/>
      </w:pPr>
      <w:r>
        <w:t>1. Data Description</w:t>
      </w:r>
    </w:p>
    <w:p>
      <w:r>
        <w:t>The dataset utilized is the NHS Prescription Cost Analysis (PCA) monthly data for July 2026. It contains over 533,087 records (rows) of medicine dispensing in the community. The data is structured as a CSV file and contains granular information such as:</w:t>
      </w:r>
    </w:p>
    <w:p>
      <w:pPr>
        <w:pStyle w:val="ListBullet"/>
      </w:pPr>
      <w:r>
        <w:rPr>
          <w:b/>
        </w:rPr>
        <w:t xml:space="preserve">BNF_PRESENTATION_NAME: </w:t>
      </w:r>
      <w:r>
        <w:t>The specific product/medicine prescribed.</w:t>
      </w:r>
    </w:p>
    <w:p>
      <w:pPr>
        <w:pStyle w:val="ListBullet"/>
      </w:pPr>
      <w:r>
        <w:rPr>
          <w:b/>
        </w:rPr>
        <w:t xml:space="preserve">BNF_CHAPTER: </w:t>
      </w:r>
      <w:r>
        <w:t>The therapeutic category.</w:t>
      </w:r>
    </w:p>
    <w:p>
      <w:pPr>
        <w:pStyle w:val="ListBullet"/>
      </w:pPr>
      <w:r>
        <w:rPr>
          <w:b/>
        </w:rPr>
        <w:t xml:space="preserve">ITEMS &amp; TOTAL_QUANTITY: </w:t>
      </w:r>
      <w:r>
        <w:t>Volume indicators.</w:t>
      </w:r>
    </w:p>
    <w:p>
      <w:pPr>
        <w:pStyle w:val="ListBullet"/>
      </w:pPr>
      <w:r>
        <w:rPr>
          <w:b/>
        </w:rPr>
        <w:t xml:space="preserve">NIC (Net Ingredient Cost): </w:t>
      </w:r>
      <w:r>
        <w:t>The expenditure/cost metric.</w:t>
      </w:r>
    </w:p>
    <w:p>
      <w:pPr>
        <w:pStyle w:val="ListBullet"/>
      </w:pPr>
      <w:r>
        <w:rPr>
          <w:b/>
        </w:rPr>
        <w:t xml:space="preserve">ICB_CODE: </w:t>
      </w:r>
      <w:r>
        <w:t>Integrated Care Board code for regional mapping.</w:t>
      </w:r>
    </w:p>
    <w:p>
      <w:pPr>
        <w:pStyle w:val="Heading1"/>
      </w:pPr>
      <w:r>
        <w:t>2. Tools Used</w:t>
      </w:r>
    </w:p>
    <w:p>
      <w:r>
        <w:rPr>
          <w:b/>
        </w:rPr>
        <w:t xml:space="preserve">Python: </w:t>
      </w:r>
      <w:r>
        <w:t>For data processing, aggregation, and analysis.</w:t>
        <w:br/>
      </w:r>
      <w:r>
        <w:rPr>
          <w:b/>
        </w:rPr>
        <w:t xml:space="preserve">Pandas &amp; NumPy: </w:t>
      </w:r>
      <w:r>
        <w:t>Used to load, clean, group, and analyze the 5.5+ lakh records efficiently.</w:t>
        <w:br/>
      </w:r>
      <w:r>
        <w:rPr>
          <w:b/>
        </w:rPr>
        <w:t xml:space="preserve">Matplotlib &amp; Seaborn: </w:t>
      </w:r>
      <w:r>
        <w:t>Employed to generate high-quality data visualizations.</w:t>
        <w:br/>
      </w:r>
      <w:r>
        <w:rPr>
          <w:b/>
        </w:rPr>
        <w:t xml:space="preserve">SQL: </w:t>
      </w:r>
      <w:r>
        <w:t>Scripts created to simulate database queries for data retrieval.</w:t>
        <w:br/>
      </w:r>
      <w:r>
        <w:rPr>
          <w:b/>
        </w:rPr>
        <w:t xml:space="preserve">python-pptx: </w:t>
      </w:r>
      <w:r>
        <w:t>Used to programmatically auto-generate the executive PowerPoint presentation.</w:t>
        <w:br/>
      </w:r>
      <w:r>
        <w:rPr>
          <w:b/>
        </w:rPr>
        <w:t xml:space="preserve">python-docx: </w:t>
      </w:r>
      <w:r>
        <w:t>Used to generate this final comprehensive Word report.</w:t>
      </w:r>
    </w:p>
    <w:p>
      <w:pPr>
        <w:pStyle w:val="Heading1"/>
      </w:pPr>
      <w:r>
        <w:t>3. Methodology &amp; Work Done</w:t>
      </w:r>
    </w:p>
    <w:p>
      <w:r>
        <w:t>1. Data Setup &amp; Cleaning: The raw CSV was loaded into a Pandas DataFrame. Missing values and structural issues were handled, and categorical columns were formatted correctly.</w:t>
      </w:r>
    </w:p>
    <w:p>
      <w:r>
        <w:t>2. Exploratory Data Analysis (EDA): Groupby operations were performed to calculate the highest volume chapters, the most expensive therapeutic categories, top individual products by cost, and regional expenditure across various ICB codes.</w:t>
      </w:r>
    </w:p>
    <w:p>
      <w:r>
        <w:t>3. Visualization Generation: Four distinct charts were exported into the 'figures' directory to visually represent the findings.</w:t>
      </w:r>
    </w:p>
    <w:p>
      <w:r>
        <w:t>4. Case Study Presentation: An executive PPTX was created automatically to present findings to stakeholders.</w:t>
      </w:r>
    </w:p>
    <w:p>
      <w:pPr>
        <w:pStyle w:val="Heading1"/>
      </w:pPr>
      <w:r>
        <w:t>4. Findings and Final Recommendations</w:t>
      </w:r>
    </w:p>
    <w:p>
      <w:r>
        <w:t>Based on the data analysis, clear strategic decisions can be formulated:</w:t>
      </w:r>
    </w:p>
    <w:p>
      <w:pPr>
        <w:pStyle w:val="Heading2"/>
      </w:pPr>
      <w:r>
        <w:t>Strategic Investments (What to Choose):</w:t>
      </w:r>
    </w:p>
    <w:p>
      <w:pPr>
        <w:pStyle w:val="ListBullet"/>
      </w:pPr>
      <w:r>
        <w:t>- Focus marketing and supply chain resources on high-expenditure therapeutic categories like 'Endocrine System'.</w:t>
        <w:br/>
        <w:t>- Target the highest-spending ICB regions for pilot programs or specialized commercial deployments.</w:t>
      </w:r>
    </w:p>
    <w:p>
      <w:pPr>
        <w:pStyle w:val="Heading2"/>
      </w:pPr>
      <w:r>
        <w:t>Areas to De-prioritize (What NOT to Choose):</w:t>
      </w:r>
    </w:p>
    <w:p>
      <w:pPr>
        <w:pStyle w:val="ListBullet"/>
      </w:pPr>
      <w:r>
        <w:t>- Avoid over-investing in high-volume but low-cost generic areas where the return on investment (ROI) is minimal.</w:t>
        <w:br/>
        <w:t>- Reduce commercial field force presence in bottom-quartile ICBs where expenditure does not justify the operational cost.</w:t>
      </w:r>
    </w:p>
    <w:p>
      <w:pPr>
        <w:pStyle w:val="Heading1"/>
      </w:pPr>
      <w:r>
        <w:t>Appendix: Example Visualization</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market_cost_by_chapter.png"/>
                    <pic:cNvPicPr/>
                  </pic:nvPicPr>
                  <pic:blipFill>
                    <a:blip r:embed="rId9"/>
                    <a:stretch>
                      <a:fillRect/>
                    </a:stretch>
                  </pic:blipFill>
                  <pic:spPr>
                    <a:xfrm>
                      <a:off x="0" y="0"/>
                      <a:ext cx="5486400" cy="32918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