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UNIVERSIDAD_NACIONAL_DE_INGENIERA_UNI_1" w:id="1"/>
      <w:r>
        <w:rPr>
          <w:color w:val="000000"/>
          <w:sz w:val="32"/>
          <w:szCs w:val="32"/>
          <w:rtl w:val="false"/>
        </w:rPr>
        <w:t xml:space="preserve">UNIVERSIDAD NACIONAL DE INGENIERÍA (UNI)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FACULTAD_DE_ELECTROTECNIA_Y_COMPUTACIN_F_2" w:id="1"/>
      <w:r>
        <w:rPr>
          <w:color w:val="000000"/>
          <w:sz w:val="24"/>
          <w:szCs w:val="24"/>
          <w:rtl w:val="false"/>
        </w:rPr>
        <w:t xml:space="preserve">FACULTAD DE ELECTROTECNIA Y COMPUTACIÓN (FEC)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INGENIERA_DE_SISTEMAS_3" w:id="1"/>
      <w:r>
        <w:rPr>
          <w:color w:val="000000"/>
          <w:sz w:val="24"/>
          <w:szCs w:val="24"/>
          <w:rtl w:val="false"/>
        </w:rPr>
        <w:t xml:space="preserve">INGENIERÍA DE SISTEMAS</w:t>
      </w:r>
      <w:bookmarkEnd w:id="1"/>
    </w:p>
    <w:p>
      <w:pPr>
        <w:pStyle w:val="1"/>
        <w:pStyle w:val="Heading1"/>
        <w:bidi w:val="false"/>
        <w:spacing w:after="120" w:before="480"/>
      </w:pPr>
      <w:bookmarkStart w:name="_Toc_INFORME_TCNICO_Y_DISEO_DE_ARQUITECTURA_D_4" w:id="1"/>
      <w:r>
        <w:rPr>
          <w:color w:val="000000"/>
          <w:sz w:val="32"/>
          <w:szCs w:val="32"/>
          <w:rtl w:val="false"/>
        </w:rPr>
        <w:t xml:space="preserve">INFORME TÉCNICO Y DISEÑO DE ARQUITECTURA DE DATOS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Proyecto_de_Fin_de_Curso_Sistema_de_Gest_5" w:id="1"/>
      <w:r>
        <w:rPr>
          <w:color w:val="000000"/>
          <w:sz w:val="28"/>
          <w:szCs w:val="28"/>
          <w:rtl w:val="false"/>
        </w:rPr>
        <w:t xml:space="preserve">Proyecto de Fin de Curso: Sistema de Gestión de Farmacia y Clínica de Podología (Podocare)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Clínica del Pie — Managua / Ciudad Sandino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Autores: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Justin Flores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Kevin Gabriel Duarte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Ariel Escoto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Tutor: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Ing. Euclides Ramírez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Fecha:</w:t>
      </w:r>
      <w:r>
        <w:rPr>
          <w:color w:val="000000"/>
          <w:sz w:val="24"/>
          <w:szCs w:val="24"/>
          <w:rtl w:val="false"/>
        </w:rPr>
        <w:t xml:space="preserve"> Junio de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Managua, Nicaragua</w:t>
      </w:r>
    </w:p>
    <w:p>
      <w:pPr>
        <w:pStyle w:val="2"/>
        <w:pStyle w:val="Heading2"/>
        <w:bidi w:val="false"/>
        <w:spacing w:after="120" w:before="240"/>
      </w:pPr>
      <w:bookmarkStart w:name="_Toc_NDICE_DE_CONTENIDOS_6" w:id="1"/>
      <w:r>
        <w:rPr>
          <w:color w:val="000000"/>
          <w:sz w:val="28"/>
          <w:szCs w:val="28"/>
          <w:rtl w:val="false"/>
        </w:rPr>
        <w:t xml:space="preserve">ÍNDICE DE CONTENIDOS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dfz3hdabco4vi1kmoryu">
        <w:r>
          <w:rPr>
            <w:color w:val="0000FF"/>
            <w:sz w:val="24"/>
            <w:szCs w:val="24"/>
            <w:u w:val="single"/>
            <w:rtl w:val="false"/>
          </w:rPr>
          <w:t xml:space="preserve">Introducción y Objetivos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xsexf0ft-eckx8_nd0d1">
        <w:r>
          <w:rPr>
            <w:color w:val="0000FF"/>
            <w:sz w:val="24"/>
            <w:szCs w:val="24"/>
            <w:u w:val="single"/>
            <w:rtl w:val="false"/>
          </w:rPr>
          <w:t xml:space="preserve">Justificación de la Migración Tecnológica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8ysvvnvl2bqqj4qhx7wr">
        <w:r>
          <w:rPr>
            <w:color w:val="0000FF"/>
            <w:sz w:val="24"/>
            <w:szCs w:val="24"/>
            <w:u w:val="single"/>
            <w:rtl w:val="false"/>
          </w:rPr>
          <w:t xml:space="preserve">Modelado de Datos Completo (MER, MR, MOO)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yalnjatfc0pjj4tb_oel">
        <w:r>
          <w:rPr>
            <w:color w:val="0000FF"/>
            <w:sz w:val="24"/>
            <w:szCs w:val="24"/>
            <w:u w:val="single"/>
            <w:rtl w:val="false"/>
          </w:rPr>
          <w:t xml:space="preserve">Diccionario de Datos Extendido (DED)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wid5hffvobbcsbnmiu1b">
        <w:r>
          <w:rPr>
            <w:color w:val="0000FF"/>
            <w:sz w:val="24"/>
            <w:szCs w:val="24"/>
            <w:u w:val="single"/>
            <w:rtl w:val="false"/>
          </w:rPr>
          <w:t xml:space="preserve">Capa Servidor: Tablespaces, pgAgent y Triggers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e7kncwhoxnsvdseis7fw">
        <w:r>
          <w:rPr>
            <w:color w:val="0000FF"/>
            <w:sz w:val="24"/>
            <w:szCs w:val="24"/>
            <w:u w:val="single"/>
            <w:rtl w:val="false"/>
          </w:rPr>
          <w:t xml:space="preserve">Cumplimiento de la Normativa 004 del MINSA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rxnzjymeyxyan8glfed0">
        <w:r>
          <w:rPr>
            <w:color w:val="0000FF"/>
            <w:sz w:val="24"/>
            <w:szCs w:val="24"/>
            <w:u w:val="single"/>
            <w:rtl w:val="false"/>
          </w:rPr>
          <w:t xml:space="preserve">Conclusiones y Recomendaciones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_INTRODUCCIN_Y_OBJETIVOS_7" w:id="1"/>
      <w:r>
        <w:rPr>
          <w:color w:val="000000"/>
          <w:sz w:val="28"/>
          <w:szCs w:val="28"/>
          <w:rtl w:val="false"/>
        </w:rPr>
        <w:t xml:space="preserve">1. INTRODUCCIÓN Y OBJETIVOS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Introduccin_8" w:id="1"/>
      <w:r>
        <w:rPr>
          <w:color w:val="000000"/>
          <w:sz w:val="24"/>
          <w:szCs w:val="24"/>
          <w:rtl w:val="false"/>
        </w:rPr>
        <w:t xml:space="preserve">1.1 Introducción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presente informe detalla el diseño de la arquitectura de base de datos del </w:t>
      </w:r>
      <w:r>
        <w:rPr>
          <w:b/>
          <w:bCs/>
          <w:color w:val="000000"/>
          <w:sz w:val="24"/>
          <w:szCs w:val="24"/>
          <w:rtl w:val="false"/>
        </w:rPr>
        <w:t xml:space="preserve">Sistema de Gestión de Farmacia y Clínica de Podología (Podocare)</w:t>
      </w:r>
      <w:r>
        <w:rPr>
          <w:color w:val="000000"/>
          <w:sz w:val="24"/>
          <w:szCs w:val="24"/>
          <w:rtl w:val="false"/>
        </w:rPr>
        <w:t xml:space="preserve">, anteriormente denominado </w:t>
      </w:r>
      <w:r>
        <w:rPr>
          <w:i/>
          <w:iCs/>
          <w:color w:val="000000"/>
          <w:sz w:val="24"/>
          <w:szCs w:val="24"/>
          <w:rtl w:val="false"/>
        </w:rPr>
        <w:t xml:space="preserve">ClinicPos</w:t>
      </w:r>
      <w:r>
        <w:rPr>
          <w:color w:val="000000"/>
          <w:sz w:val="24"/>
          <w:szCs w:val="24"/>
          <w:rtl w:val="false"/>
        </w:rPr>
        <w:t xml:space="preserve">. Este sistema fue diseñado específicamente para la empresa </w:t>
      </w:r>
      <w:r>
        <w:rPr>
          <w:b/>
          <w:bCs/>
          <w:color w:val="000000"/>
          <w:sz w:val="24"/>
          <w:szCs w:val="24"/>
          <w:rtl w:val="false"/>
        </w:rPr>
        <w:t xml:space="preserve">"Clínica del Pie"</w:t>
      </w:r>
      <w:r>
        <w:rPr>
          <w:color w:val="000000"/>
          <w:sz w:val="24"/>
          <w:szCs w:val="24"/>
          <w:rtl w:val="false"/>
        </w:rPr>
        <w:t xml:space="preserve">, ubicada en Managua/Ciudad Sandino, respondiendo a la necesidad crítica de controlar sus flujos de inventarios farmacéuticos y el registro de consultas clínicas y recetas de pacientes en un único ecosistema integrado.</w:t>
      </w:r>
    </w:p>
    <w:p>
      <w:pPr>
        <w:pStyle w:val="3"/>
        <w:pStyle w:val="Heading3"/>
        <w:bidi w:val="false"/>
        <w:spacing w:after="120" w:before="240"/>
      </w:pPr>
      <w:bookmarkStart w:name="_Toc__12_Objetivos_9" w:id="1"/>
      <w:r>
        <w:rPr>
          <w:color w:val="000000"/>
          <w:sz w:val="24"/>
          <w:szCs w:val="24"/>
          <w:rtl w:val="false"/>
        </w:rPr>
        <w:t xml:space="preserve">1.2 Objetivos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Objetivo General:</w:t>
      </w:r>
      <w:r>
        <w:rPr>
          <w:color w:val="000000"/>
          <w:sz w:val="24"/>
          <w:szCs w:val="24"/>
          <w:rtl w:val="false"/>
        </w:rPr>
        <w:t xml:space="preserve"> Desarrollar e implementar una arquitectura de base de datos relacional robusta en PostgreSQL que centralice la gestión de inventario, compras, facturación y el registro clínico de consultas de podología, garantizando la inalterabilidad e integridad de los datos.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Objetivos Específicos: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Diseñar el modelo conceptual (MER), lógico (MR) y físico orientado a objetos (MOO) de la base de datos con relaciones íntegras.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Implementar disparadores (triggers) y procedimientos almacenados que automaticen las reglas del negocio.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Establecer políticas de resiliencia de datos mediante copias de seguridad automatizadas con pgAgent.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Garantizar el cumplimiento legal con la Normativa 004 del Ministerio de Salud (MINSA) de Nicaragua.</w:t>
      </w:r>
    </w:p>
    <w:p>
      <w:pPr>
        <w:pStyle w:val="2"/>
        <w:pStyle w:val="Heading2"/>
        <w:bidi w:val="false"/>
        <w:spacing w:after="120" w:before="240"/>
      </w:pPr>
      <w:bookmarkStart w:name="_Toc__2_JUSTIFICACIN_DE_LA_MIGRACIN_TECNOLGIC_10" w:id="1"/>
      <w:r>
        <w:rPr>
          <w:color w:val="000000"/>
          <w:sz w:val="28"/>
          <w:szCs w:val="28"/>
          <w:rtl w:val="false"/>
        </w:rPr>
        <w:t xml:space="preserve">2. JUSTIFICACIÓN DE LA MIGRACIÓN TECNOLÓGICA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Clínica del Pie operaba históricamente mediante controles manuales basados en hojas de cálculo de Microsoft Excel. Esta aproximación acarreaba graves deficiencias: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Descuadre y Pérdida de Inventario:</w:t>
      </w:r>
      <w:r>
        <w:rPr>
          <w:color w:val="000000"/>
          <w:sz w:val="24"/>
          <w:szCs w:val="24"/>
          <w:rtl w:val="false"/>
        </w:rPr>
        <w:t xml:space="preserve"> Excel carece de mecanismos de control transaccional simultáneo, permitiendo que varios usuarios editen el mismo archivo a la vez sin validaciones lógicas, lo que provocaba inconsistencias insalvables en el stock de medicamentos.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Caídas de Datos Operativos:</w:t>
      </w:r>
      <w:r>
        <w:rPr>
          <w:color w:val="000000"/>
          <w:sz w:val="24"/>
          <w:szCs w:val="24"/>
          <w:rtl w:val="false"/>
        </w:rPr>
        <w:t xml:space="preserve"> El almacenamiento en archivos planos es propenso a corromperse ante pérdidas de alimentación eléctrica o fallos del sistema operativo en el servidor local.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Pérdida del Historial Financiero y de Precios:</w:t>
      </w:r>
      <w:r>
        <w:rPr>
          <w:color w:val="000000"/>
          <w:sz w:val="24"/>
          <w:szCs w:val="24"/>
          <w:rtl w:val="false"/>
        </w:rPr>
        <w:t xml:space="preserve"> Los costos de compra y venta se modificaban sobreescribiendo el registro anterior, imposibilitando calcular el Costo de Ventas (COGS) histórico o realizar auditorías retroactivas.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migración a </w:t>
      </w:r>
      <w:r>
        <w:rPr>
          <w:b/>
          <w:bCs/>
          <w:color w:val="000000"/>
          <w:sz w:val="24"/>
          <w:szCs w:val="24"/>
          <w:rtl w:val="false"/>
        </w:rPr>
        <w:t xml:space="preserve">PostgreSQL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b/>
          <w:bCs/>
          <w:color w:val="000000"/>
          <w:sz w:val="24"/>
          <w:szCs w:val="24"/>
          <w:rtl w:val="false"/>
        </w:rPr>
        <w:t xml:space="preserve">Prisma ORM</w:t>
      </w:r>
      <w:r>
        <w:rPr>
          <w:color w:val="000000"/>
          <w:sz w:val="24"/>
          <w:szCs w:val="24"/>
          <w:rtl w:val="false"/>
        </w:rPr>
        <w:t xml:space="preserve"> proporciona transacciones con propiedades </w:t>
      </w:r>
      <w:r>
        <w:rPr>
          <w:b/>
          <w:bCs/>
          <w:color w:val="000000"/>
          <w:sz w:val="24"/>
          <w:szCs w:val="24"/>
          <w:rtl w:val="false"/>
        </w:rPr>
        <w:t xml:space="preserve">ACID (Atomicidad, Consistencia, Aislamiento, Durabilidad)</w:t>
      </w:r>
      <w:r>
        <w:rPr>
          <w:color w:val="000000"/>
          <w:sz w:val="24"/>
          <w:szCs w:val="24"/>
          <w:rtl w:val="false"/>
        </w:rPr>
        <w:t xml:space="preserve">, asegurando la inmutabilidad de los registros ante cortes eléctricos y una estructura relacional auditable.</w:t>
      </w:r>
    </w:p>
    <w:p>
      <w:pPr>
        <w:pStyle w:val="2"/>
        <w:pStyle w:val="Heading2"/>
        <w:bidi w:val="false"/>
        <w:spacing w:after="120" w:before="240"/>
      </w:pPr>
      <w:bookmarkStart w:name="_Toc__3_MODELADO_DE_DATOS_COMPLETO_MER_MR_MOO_11" w:id="1"/>
      <w:r>
        <w:rPr>
          <w:color w:val="000000"/>
          <w:sz w:val="28"/>
          <w:szCs w:val="28"/>
          <w:rtl w:val="false"/>
        </w:rPr>
        <w:t xml:space="preserve">3. MODELADO DE DATOS COMPLETO (MER, MR, MOO)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Modelo_EntidadRelacin_Conceptual_MER_12" w:id="1"/>
      <w:r>
        <w:rPr>
          <w:color w:val="000000"/>
          <w:sz w:val="24"/>
          <w:szCs w:val="24"/>
          <w:rtl w:val="false"/>
        </w:rPr>
        <w:t xml:space="preserve">3.1 Modelo Entidad-Relación Conceptual (MER - Chen)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modelo conceptual representa el dominio del negocio a través de Entidades (rectángulos), Relaciones (rombos) y Atributos (óvalos), expresando las cardinalidades y asociaciones sin restricciones de implementación física.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Modelo Entidad-Relación Conceptual (MER)]</w:t>
      </w:r>
    </w:p>
    <w:p>
      <w:pPr>
        <w:pStyle w:val="3"/>
        <w:pStyle w:val="Heading3"/>
        <w:bidi w:val="false"/>
        <w:spacing w:after="120" w:before="240"/>
      </w:pPr>
      <w:bookmarkStart w:name="_Toc__32_Modelo_Relacional_Lgico_MR_Crows_Foo_13" w:id="1"/>
      <w:r>
        <w:rPr>
          <w:color w:val="000000"/>
          <w:sz w:val="24"/>
          <w:szCs w:val="24"/>
          <w:rtl w:val="false"/>
        </w:rPr>
        <w:t xml:space="preserve">3.2 Modelo Relacional Lógico (MR - Crow's Foot)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modelo relacional detalla la implementación lógica en tablas con tipos de datos concretos, llaves primarias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PK</w:t>
      </w:r>
      <w:r>
        <w:rPr>
          <w:color w:val="000000"/>
          <w:sz w:val="24"/>
          <w:szCs w:val="24"/>
          <w:rtl w:val="false"/>
        </w:rPr>
        <w:t xml:space="preserve">), llaves foráneas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FK</w:t>
      </w:r>
      <w:r>
        <w:rPr>
          <w:color w:val="000000"/>
          <w:sz w:val="24"/>
          <w:szCs w:val="24"/>
          <w:rtl w:val="false"/>
        </w:rPr>
        <w:t xml:space="preserve">), valores por defecto y relaciones cardinales en formato de patas de gallo.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Modelo Relacional (MR)]</w:t>
      </w:r>
    </w:p>
    <w:p>
      <w:pPr>
        <w:pStyle w:val="3"/>
        <w:pStyle w:val="Heading3"/>
        <w:bidi w:val="false"/>
        <w:spacing w:after="120" w:before="240"/>
      </w:pPr>
      <w:bookmarkStart w:name="_Toc__33_Modelo_Orientado_a_Objetos_MOO_Diagr_14" w:id="1"/>
      <w:r>
        <w:rPr>
          <w:color w:val="000000"/>
          <w:sz w:val="24"/>
          <w:szCs w:val="24"/>
          <w:rtl w:val="false"/>
        </w:rPr>
        <w:t xml:space="preserve">3.3 Modelo Orientado a Objetos (MOO - Diagrama de Clases UML)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Muestra el mapeo objeto-relacional (ORM) implementado en la capa de persistencia del backend, detallando atributos de clase, métodos CRUD y las operaciones automatizadas por los triggers en base de datos representadas como clases.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Modelo Orientado a Objetos (MOO)]</w:t>
      </w:r>
    </w:p>
    <w:p>
      <w:pPr>
        <w:pStyle w:val="3"/>
        <w:pStyle w:val="Heading3"/>
        <w:bidi w:val="false"/>
        <w:spacing w:after="120" w:before="240"/>
      </w:pPr>
      <w:bookmarkStart w:name="_Toc__34_Esquema_Lgico_Relacional_Matemtico_15" w:id="1"/>
      <w:r>
        <w:rPr>
          <w:color w:val="000000"/>
          <w:sz w:val="24"/>
          <w:szCs w:val="24"/>
          <w:rtl w:val="false"/>
        </w:rPr>
        <w:t xml:space="preserve">3.4 Esquema Lógico Relacional (Matemático)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nombre [UQ])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Usuario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nombreCompleto, correo [UQ], passwordHash, idRol [FK $\rightarrow$ Rol(id)], activo,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Cliente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nombreCompleto, telefono [UQ], correo [UQ], cedula [UQ], ruc [UQ], direccion, activo,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CategoriaProducto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nombre [UQ], descripcion,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Producto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nombre [UQ], codigoBarras [UQ], descripcion, fechaVencimiento, idCategoria [FK $\rightarrow$ CategoriaProducto(id)], precioCompra, precioVenta, precioBlister, precioCaja, unidadesPorBlister, unidadesPorCaja, stockActual, stockMinimo, activo,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Proveedor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nombre [UQ], telefono, correo, direccion,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ProveedorProducto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idProveedor [FK $\rightarrow$ Proveedor(id) ON DELETE CASCADE], idProducto [FK $\rightarrow$ Producto(id) ON DELETE CASCADE], precioCompra, createdAt, </w:t>
      </w:r>
      <w:r>
        <w:rPr>
          <w:i/>
          <w:iCs/>
          <w:color w:val="000000"/>
          <w:sz w:val="24"/>
          <w:szCs w:val="24"/>
          <w:rtl w:val="false"/>
        </w:rPr>
        <w:t xml:space="preserve">Unique(idProveedor, idProducto)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Compra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fecha, fechaCompra, numeroFactura, idProveedor [FK $\rightarrow$ Proveedor(id)], total, idUsuario [FK $\rightarrow$ Usuario(id)],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DetalleCompra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idCompra [FK $\rightarrow$ Compra(id) ON DELETE CASCADE], idProducto [FK $\rightarrow$ Producto(id)], cantidad, precioUnitario, subtotal, lote, fechaVencimiento,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Lote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idProducto [FK $\rightarrow$ Producto(id) ON DELETE CASCADE], codigoLote, fechaVencimiento, stockInicial, stockActual, costoCompra, idDetalleCompra [FK $\rightarrow$ DetalleCompra(id) ON DELETE SET NULL], activo, createdAt, updatedAt, </w:t>
      </w:r>
      <w:r>
        <w:rPr>
          <w:i/>
          <w:iCs/>
          <w:color w:val="000000"/>
          <w:sz w:val="24"/>
          <w:szCs w:val="24"/>
          <w:rtl w:val="false"/>
        </w:rPr>
        <w:t xml:space="preserve">Index(idProducto)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MovimientoInventario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idProducto [FK $\rightarrow$ Producto(id) ON DELETE CASCADE], idLote [FK $\rightarrow$ Lote(id) ON DELETE SET NULL], tipo, cantidad, stockResultante, costoUnitario, referencia, idUsuario [FK $\rightarrow$ Usuario(id) ON DELETE SET NULL], createdAt, </w:t>
      </w:r>
      <w:r>
        <w:rPr>
          <w:i/>
          <w:iCs/>
          <w:color w:val="000000"/>
          <w:sz w:val="24"/>
          <w:szCs w:val="24"/>
          <w:rtl w:val="false"/>
        </w:rPr>
        <w:t xml:space="preserve">Index(idProducto)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i/>
          <w:iCs/>
          <w:color w:val="000000"/>
          <w:sz w:val="24"/>
          <w:szCs w:val="24"/>
          <w:rtl w:val="false"/>
        </w:rPr>
        <w:t xml:space="preserve">Index(createdAt)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Venta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fecha, idCliente [FK $\rightarrow$ Cliente(id) ON DELETE SET NULL], total, metodoPago, nombrePodologo, numeroReceta, idUsuario [FK $\rightarrow$ Usuario(id)], tipoComprobante, estado, montoRecibido, cambio, rucCliente,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DetalleVenta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idVenta [FK $\rightarrow$ Venta(id) ON DELETE CASCADE], idProducto [FK $\rightarrow$ Producto(id)], cantidad, precioUnitario, subtotal, tipoUnidad, createdAt, updatedAt)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ClienteProductoStats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idCliente [FK $\rightarrow$ Cliente(id) ON DELETE CASCADE], idProducto [FK $\rightarrow$ Producto(id) ON DELETE CASCADE], totalComprado, vecesComprado, ultimaCompra, </w:t>
      </w:r>
      <w:r>
        <w:rPr>
          <w:i/>
          <w:iCs/>
          <w:color w:val="000000"/>
          <w:sz w:val="24"/>
          <w:szCs w:val="24"/>
          <w:rtl w:val="false"/>
        </w:rPr>
        <w:t xml:space="preserve">Unique(idCliente, idProducto)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ProductoVentaStats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idProducto [FK $\rightarrow$ Producto(id) ON DELETE CASCADE], totalUnidadesVendidas, totalVecesVendido, ingresoTotal, ultimaVenta, </w:t>
      </w:r>
      <w:r>
        <w:rPr>
          <w:i/>
          <w:iCs/>
          <w:color w:val="000000"/>
          <w:sz w:val="24"/>
          <w:szCs w:val="24"/>
          <w:rtl w:val="false"/>
        </w:rPr>
        <w:t xml:space="preserve">Unique(idProducto)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AlertaStockBajo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idProducto [FK $\rightarrow$ Producto(id) ON DELETE CASCADE], nombreProducto, stockActual, stockMinimo, fechaAlerta, resuelta)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HistorialPrecios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idProducto [FK $\rightarrow$ Producto(id) ON DELETE CASCADE], nombreProducto, precioVentaAnterior, precioVentaNuevo, precioCompraAnterior, precioCompraNuevo, fechaCambio)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PasswordResetToken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color w:val="000000"/>
          <w:sz w:val="24"/>
          <w:szCs w:val="24"/>
          <w:rtl w:val="false"/>
        </w:rPr>
        <w:t xml:space="preserve">&lt;u&gt;</w:t>
      </w:r>
      <w:r>
        <w:rPr>
          <w:color w:val="000000"/>
          <w:sz w:val="24"/>
          <w:szCs w:val="24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&lt;/u&gt;</w:t>
      </w:r>
      <w:r>
        <w:rPr>
          <w:color w:val="000000"/>
          <w:sz w:val="24"/>
          <w:szCs w:val="24"/>
          <w:rtl w:val="false"/>
        </w:rPr>
        <w:t xml:space="preserve"> [PK], correo, tokenHash [UQ], expiracion, usado, createdAt, </w:t>
      </w:r>
      <w:r>
        <w:rPr>
          <w:i/>
          <w:iCs/>
          <w:color w:val="000000"/>
          <w:sz w:val="24"/>
          <w:szCs w:val="24"/>
          <w:rtl w:val="false"/>
        </w:rPr>
        <w:t xml:space="preserve">Index(correo)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i/>
          <w:iCs/>
          <w:color w:val="000000"/>
          <w:sz w:val="24"/>
          <w:szCs w:val="24"/>
          <w:rtl w:val="false"/>
        </w:rPr>
        <w:t xml:space="preserve">Index(tokenHash)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_4_DICCIONARIO_DE_DATOS_EXTENDIDO_DED_16" w:id="1"/>
      <w:r>
        <w:rPr>
          <w:color w:val="000000"/>
          <w:sz w:val="28"/>
          <w:szCs w:val="28"/>
          <w:rtl w:val="false"/>
        </w:rPr>
        <w:t xml:space="preserve">4. DICCIONARIO DE DATOS EXTENDIDO (DED)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Tablas_de_Administracin_y_Accesos_17" w:id="1"/>
      <w:r>
        <w:rPr>
          <w:color w:val="000000"/>
          <w:sz w:val="24"/>
          <w:szCs w:val="24"/>
          <w:rtl w:val="false"/>
        </w:rPr>
        <w:t xml:space="preserve">4.1 Tablas de Administración y Accesos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TABLA_Rol_18" w:id="1"/>
      <w:r>
        <w:rPr>
          <w:color w:val="000000"/>
          <w:sz w:val="20"/>
          <w:szCs w:val="20"/>
          <w:rtl w:val="false"/>
        </w:rPr>
        <w:t xml:space="preserve">TABLA: 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Identificador único del rol.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VARCHAR(100)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del perfil (ADMIN, EMPLEADO).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Usuario_19" w:id="1"/>
      <w:r>
        <w:rPr>
          <w:color w:val="000000"/>
          <w:sz w:val="20"/>
          <w:szCs w:val="20"/>
          <w:rtl w:val="false"/>
        </w:rPr>
        <w:t xml:space="preserve">TABLA: Usuario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Identificador único del usuario.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nombreCompleto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y apellido del operador.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correo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Correo electrónico de inicio de sesión.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passwordHash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Hash criptográfico de contraseña.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idRol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(id)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Relación de nivel de permisos del usuario.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BOOLEAN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 habilitado en el sistema.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TIMESTAMP(3)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 de registro de la cuenta.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updatedAt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TIMESTAMP(3)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 de última edición.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Cliente_20" w:id="1"/>
      <w:r>
        <w:rPr>
          <w:color w:val="000000"/>
          <w:sz w:val="20"/>
          <w:szCs w:val="20"/>
          <w:rtl w:val="false"/>
        </w:rPr>
        <w:t xml:space="preserve">TABLA: Cliente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Identificador único del cliente/paciente.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nombreCompleto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completo del paciente.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telefono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Teléfono nicaragüense de contacto.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correo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Correo electrónico del paciente.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cedula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Cédula oficial de Nicaragua.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ruc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Registro Único de Contribuyentes si aplica.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direccion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TEXT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Dirección física residencial de paciente.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BOOLEAN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Indica si el paciente sigue de alta.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Tablas_de_Inventario_y_Catlogos_21" w:id="1"/>
      <w:r>
        <w:rPr>
          <w:color w:val="000000"/>
          <w:sz w:val="24"/>
          <w:szCs w:val="24"/>
          <w:rtl w:val="false"/>
        </w:rPr>
        <w:t xml:space="preserve">4.2 Tablas de Inventario y Catálogos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TABLA_CategoriaProducto_22" w:id="1"/>
      <w:r>
        <w:rPr>
          <w:color w:val="000000"/>
          <w:sz w:val="20"/>
          <w:szCs w:val="20"/>
          <w:rtl w:val="false"/>
        </w:rPr>
        <w:t xml:space="preserve">TABLA: CategoriaProducto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Identificador de categoría.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VARCHAR(150)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(Analgésicos, Material de Curación).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descripcion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TEXT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 explicativo de la categoría.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Producto_23" w:id="1"/>
      <w:r>
        <w:rPr>
          <w:color w:val="000000"/>
          <w:sz w:val="20"/>
          <w:szCs w:val="20"/>
          <w:rtl w:val="false"/>
        </w:rPr>
        <w:t xml:space="preserve">TABLA: Producto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Identificador de catálogo.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comercial y genérico del producto.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codigoBarras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VARCHAR(100)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de barras del empaque.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descripcion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TEXT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Especificaciones de presentación del fármaco.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idCategoria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Categoria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Vínculo de grupo de producto.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precioCompra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Promedio ponderado del costo.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precioVenta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Precio base al público.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precioBlister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Precio por fracción blíster.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precioCaja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Precio por empaque completo.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unidadesPorBlister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Pastillas/unidades contenidas por blíster.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unidadesPorCaja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Unidades totales contenidas por caja.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stockActual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Cantidad actual consolidada en almacén.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stockMinimo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&gt;=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Límite mínimo para reorden.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BOOLEAN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Disponibilidad comercial del producto.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Proveedor_24" w:id="1"/>
      <w:r>
        <w:rPr>
          <w:color w:val="000000"/>
          <w:sz w:val="20"/>
          <w:szCs w:val="20"/>
          <w:rtl w:val="false"/>
        </w:rPr>
        <w:t xml:space="preserve">TABLA: Proveedor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Identificador de proveedor.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comercial del laboratorio/distribuidora.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telefono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Teléfono de ejecutivo/prevendedor.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correo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Correo corporativo de ventas.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direccion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TEXT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Ubicación de oficinas/bodegas principales.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3_Tablas_Transaccionales_y_Kardex_25" w:id="1"/>
      <w:r>
        <w:rPr>
          <w:color w:val="000000"/>
          <w:sz w:val="24"/>
          <w:szCs w:val="24"/>
          <w:rtl w:val="false"/>
        </w:rPr>
        <w:t xml:space="preserve">4.3 Tablas Transaccionales y Kardex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TABLA_Lote_Trazabilidad_26" w:id="1"/>
      <w:r>
        <w:rPr>
          <w:color w:val="000000"/>
          <w:sz w:val="20"/>
          <w:szCs w:val="20"/>
          <w:rtl w:val="false"/>
        </w:rPr>
        <w:t xml:space="preserve">TABLA: Lote (Trazabilidad)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interno del lote.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idProducto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Producto correspondiente al lote.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codigoLote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VARCHAR(100)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grabado por laboratorio.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fechaVencimiento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TIMESTAMP(3)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Límite de expiración de lote.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stockInicial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&gt;=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Cantidad ingresada al comprar.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stockActual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&gt;=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Inventario actual de este lote específico.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costoCompra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Costo de adquisición por unidad de lote.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idDetalleCompra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DELETE SET 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Compra que originó el lote.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activo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BOOLEAN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Bloqueado a la venta si expira.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MovimientoInventario_Kardex_27" w:id="1"/>
      <w:r>
        <w:rPr>
          <w:color w:val="000000"/>
          <w:sz w:val="20"/>
          <w:szCs w:val="20"/>
          <w:rtl w:val="false"/>
        </w:rPr>
        <w:t xml:space="preserve">TABLA: MovimientoInventario (Kardex)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de movimiento.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idProducto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Producto afectado en el almacén.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idLote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DELETE SET 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Lote específico que sale/entra.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ENTRADA_COMPRA, SALIDA_VENTA, etc.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Tipo de transacción Kardex.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cantidad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!=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Unidades afectadas.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stockResultante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&gt;=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Saldo final de inventario tras registrar.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costoUnitario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Costo real unitario al momento del movimiento.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referencia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Número de factura o ajuste origen.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idUsuario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DELETE SET 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Operador de la transacción.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createdAt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TIMESTAMP(3)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 exacta de registro físico.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Venta_28" w:id="1"/>
      <w:r>
        <w:rPr>
          <w:color w:val="000000"/>
          <w:sz w:val="20"/>
          <w:szCs w:val="20"/>
          <w:rtl w:val="false"/>
        </w:rPr>
        <w:t xml:space="preserve">TABLA: Venta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Folio único de venta.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TIMESTAMP(3)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NOW()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 y hora de cobro.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idCliente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Cliente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Paciente que compra (Opcional).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Importe total pagado.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metodoPago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EFECTIVO, TARJETA, TRANSFERENCIA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Forma de recepción de dinero.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nombrePodologo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VARCHAR(255)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Podólogo que atendió la consulta.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numeroReceta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VARCHAR(100)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correlativo de receta (MINSA).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idUsuario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Usuario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Cajero que operó la transacción.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tipoComprobante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'RECIBO'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Documento de salida.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Default: 'COMPLETADA'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 actual (COMPLETADA, ANULADA).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montoRecibido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Importe de pago recibido del cliente.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cambio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Cambio entregado al cliente.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rucCliente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VARCHAR(20)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RUC en caso de factura oficial.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ABLA_DetalleVenta_29" w:id="1"/>
      <w:r>
        <w:rPr>
          <w:color w:val="000000"/>
          <w:sz w:val="20"/>
          <w:szCs w:val="20"/>
          <w:rtl w:val="false"/>
        </w:rPr>
        <w:t xml:space="preserve">TABLA: DetalleVenta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Nombre de Columna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 de Datos PostgreSQL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Nulo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Llave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Valores / Restricciones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(SERIAL)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Auto-increment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de detalle.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idVenta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Venta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DELETE CASCADE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Venta asociada.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idProducto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Producto vendido.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cantidad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INTEGER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Cantidad vendida.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precioUnitario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Precio unitario cobrado.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subtotal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NUMERIC(10,2)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= precio * cantidad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Subtotal monetario de línea.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tipoUnidad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VARCHAR(50)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UNIDAD, BLISTER, CAJA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Nivel de fraccionamiento vendido.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CAPA_SERVIDOR_TABLESPACES_PGAGENT_Y_T_30" w:id="1"/>
      <w:r>
        <w:rPr>
          <w:color w:val="000000"/>
          <w:sz w:val="28"/>
          <w:szCs w:val="28"/>
          <w:rtl w:val="false"/>
        </w:rPr>
        <w:t xml:space="preserve">5. CAPA SERVIDOR: TABLESPACES, PGAGENT Y TRIGGERS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Rendimiento_por_Tablespaces_31" w:id="1"/>
      <w:r>
        <w:rPr>
          <w:color w:val="000000"/>
          <w:sz w:val="24"/>
          <w:szCs w:val="24"/>
          <w:rtl w:val="false"/>
        </w:rPr>
        <w:t xml:space="preserve">5.1 Rendimiento por Tablespaces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Para optimizar la velocidad del lector de códigos de barras (procesado en &lt;40ms) y la escritura recurrente del Kardex, PostgreSQL permite el uso de </w:t>
      </w:r>
      <w:r>
        <w:rPr>
          <w:b/>
          <w:bCs/>
          <w:color w:val="000000"/>
          <w:sz w:val="24"/>
          <w:szCs w:val="24"/>
          <w:rtl w:val="false"/>
        </w:rPr>
        <w:t xml:space="preserve">Tablespaces</w:t>
      </w:r>
      <w:r>
        <w:rPr>
          <w:color w:val="000000"/>
          <w:sz w:val="24"/>
          <w:szCs w:val="24"/>
          <w:rtl w:val="false"/>
        </w:rPr>
        <w:t xml:space="preserve"> asignados a dispositivos físicos dedicados.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TABLESPACE farmacia_data LOCATION 'C:\farmacia\data';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Esta asignación en el servidor de producción segrega las lecturas y escrituras transaccionales de la carga del sistema operativo, aumentando el rendimiento general de I/O de la base de datos de la clínica.</w:t>
      </w:r>
    </w:p>
    <w:p>
      <w:pPr>
        <w:pStyle w:val="3"/>
        <w:pStyle w:val="Heading3"/>
        <w:bidi w:val="false"/>
        <w:spacing w:after="120" w:before="240"/>
      </w:pPr>
      <w:bookmarkStart w:name="_Toc__52_Planificacin_de_Continuidad_con_pgAg_32" w:id="1"/>
      <w:r>
        <w:rPr>
          <w:color w:val="000000"/>
          <w:sz w:val="24"/>
          <w:szCs w:val="24"/>
          <w:rtl w:val="false"/>
        </w:rPr>
        <w:t xml:space="preserve">5.2 Planificación de Continuidad con pgAgent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automatización de respaldos se programa a través del agente </w:t>
      </w:r>
      <w:r>
        <w:rPr>
          <w:b/>
          <w:bCs/>
          <w:color w:val="000000"/>
          <w:sz w:val="24"/>
          <w:szCs w:val="24"/>
          <w:rtl w:val="false"/>
        </w:rPr>
        <w:t xml:space="preserve">pgAgent</w:t>
      </w:r>
      <w:r>
        <w:rPr>
          <w:color w:val="000000"/>
          <w:sz w:val="24"/>
          <w:szCs w:val="24"/>
          <w:rtl w:val="false"/>
        </w:rPr>
        <w:t xml:space="preserve"> a nivel de servidor: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Frecuencia y Programación:</w:t>
      </w:r>
      <w:r>
        <w:rPr>
          <w:color w:val="000000"/>
          <w:sz w:val="24"/>
          <w:szCs w:val="24"/>
          <w:rtl w:val="false"/>
        </w:rPr>
        <w:t xml:space="preserve"> Cada 24 horas a las </w:t>
      </w:r>
      <w:r>
        <w:rPr>
          <w:b/>
          <w:bCs/>
          <w:color w:val="000000"/>
          <w:sz w:val="24"/>
          <w:szCs w:val="24"/>
          <w:rtl w:val="false"/>
        </w:rPr>
        <w:t xml:space="preserve">21:00 (9:00 PM)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Justificación de Horario:</w:t>
      </w:r>
      <w:r>
        <w:rPr>
          <w:color w:val="000000"/>
          <w:sz w:val="24"/>
          <w:szCs w:val="24"/>
          <w:rtl w:val="false"/>
        </w:rPr>
        <w:t xml:space="preserve"> La ejecución a las 9 PM ocurre después del cierre de operaciones de la clínica y farmacia, eliminando bloqueos de tablas durante las horas pico comerciales y garantizando un respaldo consistente de las cajas cuadradas al final del día.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Mapeo:</w:t>
      </w:r>
      <w:r>
        <w:rPr>
          <w:color w:val="000000"/>
          <w:sz w:val="24"/>
          <w:szCs w:val="24"/>
          <w:rtl w:val="false"/>
        </w:rPr>
        <w:t xml:space="preserve"> Un script batch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.bat</w:t>
      </w:r>
      <w:r>
        <w:rPr>
          <w:color w:val="000000"/>
          <w:sz w:val="24"/>
          <w:szCs w:val="24"/>
          <w:rtl w:val="false"/>
        </w:rPr>
        <w:t xml:space="preserve"> ejecuta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pg_dump.exe</w:t>
      </w:r>
      <w:r>
        <w:rPr>
          <w:color w:val="000000"/>
          <w:sz w:val="24"/>
          <w:szCs w:val="24"/>
          <w:rtl w:val="false"/>
        </w:rPr>
        <w:t xml:space="preserve"> respaldando la base de datos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C:\farmacia\backups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53_Resiliencia_a_travs_de_Triggers_en_P_33" w:id="1"/>
      <w:r>
        <w:rPr>
          <w:color w:val="000000"/>
          <w:sz w:val="24"/>
          <w:szCs w:val="24"/>
          <w:rtl w:val="false"/>
        </w:rPr>
        <w:t xml:space="preserve">5.3 Resiliencia a través de Triggers en PostgreSQL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base de datos cuenta con lógica procedimental inalterable y persistente basada en disparadores: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tr_alerta_stock_bajo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Al actualizarse el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stockActual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Producto</w:t>
      </w:r>
      <w:r>
        <w:rPr>
          <w:color w:val="000000"/>
          <w:sz w:val="24"/>
          <w:szCs w:val="24"/>
          <w:rtl w:val="false"/>
        </w:rPr>
        <w:t xml:space="preserve">, verifica si este se encuentra por debajo del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stockMinimo</w:t>
      </w:r>
      <w:r>
        <w:rPr>
          <w:color w:val="000000"/>
          <w:sz w:val="24"/>
          <w:szCs w:val="24"/>
          <w:rtl w:val="false"/>
        </w:rPr>
        <w:t xml:space="preserve">. De ser así, inserta un registro en la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AlertaStockBajo</w:t>
      </w:r>
      <w:r>
        <w:rPr>
          <w:color w:val="000000"/>
          <w:sz w:val="24"/>
          <w:szCs w:val="24"/>
          <w:rtl w:val="false"/>
        </w:rPr>
        <w:t xml:space="preserve"> para visibilizar el estado en el dashboard de compras. Si se reabastece y supera el mínimo, marca la alerta como resuelta automáticamente.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tr_actualizar_stats_producto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Tras cada inserción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DetalleVenta</w:t>
      </w:r>
      <w:r>
        <w:rPr>
          <w:color w:val="000000"/>
          <w:sz w:val="24"/>
          <w:szCs w:val="24"/>
          <w:rtl w:val="false"/>
        </w:rPr>
        <w:t xml:space="preserve">, actualiza incrementalmente la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ProductoVentaStats</w:t>
      </w:r>
      <w:r>
        <w:rPr>
          <w:color w:val="000000"/>
          <w:sz w:val="24"/>
          <w:szCs w:val="24"/>
          <w:rtl w:val="false"/>
        </w:rPr>
        <w:t xml:space="preserve"> sumando las cantidades, visitas y montos facturados del producto de forma atómica.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tr_historial_precios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Al modificarse los campos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precioVenta</w:t>
      </w:r>
      <w:r>
        <w:rPr>
          <w:color w:val="000000"/>
          <w:sz w:val="24"/>
          <w:szCs w:val="24"/>
          <w:rtl w:val="false"/>
        </w:rPr>
        <w:t xml:space="preserve">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precioCompra</w:t>
      </w:r>
      <w:r>
        <w:rPr>
          <w:color w:val="000000"/>
          <w:sz w:val="24"/>
          <w:szCs w:val="24"/>
          <w:rtl w:val="false"/>
        </w:rPr>
        <w:t xml:space="preserve"> en la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Producto</w:t>
      </w:r>
      <w:r>
        <w:rPr>
          <w:color w:val="000000"/>
          <w:sz w:val="24"/>
          <w:szCs w:val="24"/>
          <w:rtl w:val="false"/>
        </w:rPr>
        <w:t xml:space="preserve">, registra de forma instantánea el valor previo, el nuevo y la marca de tiempo exacta en la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HistorialPrecios</w:t>
      </w:r>
      <w:r>
        <w:rPr>
          <w:color w:val="000000"/>
          <w:sz w:val="24"/>
          <w:szCs w:val="24"/>
          <w:rtl w:val="false"/>
        </w:rPr>
        <w:t xml:space="preserve"> para efectos de auditorías financieras.</w:t>
      </w:r>
    </w:p>
    <w:p>
      <w:pPr>
        <w:pStyle w:val="2"/>
        <w:pStyle w:val="Heading2"/>
        <w:bidi w:val="false"/>
        <w:spacing w:after="120" w:before="240"/>
      </w:pPr>
      <w:bookmarkStart w:name="_Toc__6_CUMPLIMIENTO_DE_LA_NORMATIVA_004_DEL__34" w:id="1"/>
      <w:r>
        <w:rPr>
          <w:color w:val="000000"/>
          <w:sz w:val="28"/>
          <w:szCs w:val="28"/>
          <w:rtl w:val="false"/>
        </w:rPr>
        <w:t xml:space="preserve">6. CUMPLIMIENTO DE LA NORMATIVA 004 DEL MINSA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Ministerio de Salud de Nicaragua, bajo la </w:t>
      </w:r>
      <w:r>
        <w:rPr>
          <w:b/>
          <w:bCs/>
          <w:color w:val="000000"/>
          <w:sz w:val="24"/>
          <w:szCs w:val="24"/>
          <w:rtl w:val="false"/>
        </w:rPr>
        <w:t xml:space="preserve">Normativa 004 (Expediente Clínico)</w:t>
      </w:r>
      <w:r>
        <w:rPr>
          <w:color w:val="000000"/>
          <w:sz w:val="24"/>
          <w:szCs w:val="24"/>
          <w:rtl w:val="false"/>
        </w:rPr>
        <w:t xml:space="preserve">, regula estrictamente la confidencialidad, trazabilidad e integridad de los datos de salud de los pacientes. El sistema cumple con estos pilares mediante:</w:t>
      </w:r>
    </w:p>
    <w:p>
      <w:pPr>
        <w:pStyle w:val="3"/>
        <w:pStyle w:val="Heading3"/>
        <w:bidi w:val="false"/>
        <w:spacing w:after="120" w:before="240"/>
      </w:pPr>
      <w:bookmarkStart w:name="_Toc__61_Control_de_Acceso_y_Trazabilidad_RBA_35" w:id="1"/>
      <w:r>
        <w:rPr>
          <w:color w:val="000000"/>
          <w:sz w:val="24"/>
          <w:szCs w:val="24"/>
          <w:rtl w:val="false"/>
        </w:rPr>
        <w:t xml:space="preserve">6.1 Control de Acceso y Trazabilidad (RBAC)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Roles Definidos:</w:t>
      </w:r>
      <w:r>
        <w:rPr>
          <w:color w:val="000000"/>
          <w:sz w:val="24"/>
          <w:szCs w:val="24"/>
          <w:rtl w:val="false"/>
        </w:rPr>
        <w:t xml:space="preserve"> La base de datos asocia permisos diferenciados mediante las tablas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Rol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Usuario</w:t>
      </w:r>
      <w:r>
        <w:rPr>
          <w:color w:val="000000"/>
          <w:sz w:val="24"/>
          <w:szCs w:val="24"/>
          <w:rtl w:val="false"/>
        </w:rPr>
        <w:t xml:space="preserve">. El perfil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Podologo</w:t>
      </w:r>
      <w:r>
        <w:rPr>
          <w:color w:val="000000"/>
          <w:sz w:val="24"/>
          <w:szCs w:val="24"/>
          <w:rtl w:val="false"/>
        </w:rPr>
        <w:t xml:space="preserve"> posee permisos de lectura y escritura de notas clínicas, diagnósticos e historial de atenciones. El rol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Cajero</w:t>
      </w:r>
      <w:r>
        <w:rPr>
          <w:color w:val="000000"/>
          <w:sz w:val="24"/>
          <w:szCs w:val="24"/>
          <w:rtl w:val="false"/>
        </w:rPr>
        <w:t xml:space="preserve"> tiene acceso exclusivo al módulo de cobros e inventarios, teniendo estrictamente prohibido el acceso a datos médicos privados del paciente.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Sesiones Seguras:</w:t>
      </w:r>
      <w:r>
        <w:rPr>
          <w:color w:val="000000"/>
          <w:sz w:val="24"/>
          <w:szCs w:val="24"/>
          <w:rtl w:val="false"/>
        </w:rPr>
        <w:t xml:space="preserve"> Autenticación protegida mediante JSON Web Tokens (JWT) guardados en cookies HTTP-Only de corta duración y tokens de recuperación cifrados mediante </w:t>
      </w:r>
      <w:r>
        <w:rPr>
          <w:b/>
          <w:bCs/>
          <w:color w:val="000000"/>
          <w:sz w:val="24"/>
          <w:szCs w:val="24"/>
          <w:rtl w:val="false"/>
        </w:rPr>
        <w:t xml:space="preserve">SHA-256</w:t>
      </w:r>
      <w:r>
        <w:rPr>
          <w:color w:val="000000"/>
          <w:sz w:val="24"/>
          <w:szCs w:val="24"/>
          <w:rtl w:val="false"/>
        </w:rPr>
        <w:t xml:space="preserve">, evitando fugas de identidad.</w:t>
      </w:r>
    </w:p>
    <w:p>
      <w:pPr>
        <w:pStyle w:val="3"/>
        <w:pStyle w:val="Heading3"/>
        <w:bidi w:val="false"/>
        <w:spacing w:after="120" w:before="240"/>
      </w:pPr>
      <w:bookmarkStart w:name="_Toc__62_Auditora_Forense_de_Expedientes_36" w:id="1"/>
      <w:r>
        <w:rPr>
          <w:color w:val="000000"/>
          <w:sz w:val="24"/>
          <w:szCs w:val="24"/>
          <w:rtl w:val="false"/>
        </w:rPr>
        <w:t xml:space="preserve">6.2 Auditoría Forense de Expedientes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AuditoriaLog</w:t>
      </w:r>
      <w:r>
        <w:rPr>
          <w:b/>
          <w:bCs/>
          <w:color w:val="000000"/>
          <w:sz w:val="24"/>
          <w:szCs w:val="24"/>
          <w:rtl w:val="false"/>
        </w:rPr>
        <w:t xml:space="preserve">:</w:t>
      </w:r>
      <w:r>
        <w:rPr>
          <w:color w:val="000000"/>
          <w:sz w:val="24"/>
          <w:szCs w:val="24"/>
          <w:rtl w:val="false"/>
        </w:rPr>
        <w:t xml:space="preserve"> Registra de forma inalterable las acciones críticas sobre los expedientes clínicos y compras (creaciones, modificaciones o borrados de recetas), asociando el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idUsuario</w:t>
      </w:r>
      <w:r>
        <w:rPr>
          <w:color w:val="000000"/>
          <w:sz w:val="24"/>
          <w:szCs w:val="24"/>
          <w:rtl w:val="false"/>
        </w:rPr>
        <w:t xml:space="preserve"> responsable de la modificación.</w:t>
      </w:r>
    </w:p>
    <w:p>
      <w:pPr>
        <w:pStyle w:val="3"/>
        <w:pStyle w:val="Heading3"/>
        <w:bidi w:val="false"/>
        <w:spacing w:after="120" w:before="240"/>
      </w:pPr>
      <w:bookmarkStart w:name="_Toc__63_Modelo_Relacional_SOAP_para_la_Consu_37" w:id="1"/>
      <w:r>
        <w:rPr>
          <w:color w:val="000000"/>
          <w:sz w:val="24"/>
          <w:szCs w:val="24"/>
          <w:rtl w:val="false"/>
        </w:rPr>
        <w:t xml:space="preserve">6.3 Modelo Relacional SOAP para la Consulta Podológica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Normativa 004 exige un registro ordenado y estructurado de la evolución clínica del paciente. El sistema modela e integra esta evolución a través del formato clínico </w:t>
      </w:r>
      <w:r>
        <w:rPr>
          <w:b/>
          <w:bCs/>
          <w:color w:val="000000"/>
          <w:sz w:val="24"/>
          <w:szCs w:val="24"/>
          <w:rtl w:val="false"/>
        </w:rPr>
        <w:t xml:space="preserve">SOAP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 (Subjetivo):</w:t>
      </w:r>
      <w:r>
        <w:rPr>
          <w:color w:val="000000"/>
          <w:sz w:val="24"/>
          <w:szCs w:val="24"/>
          <w:rtl w:val="false"/>
        </w:rPr>
        <w:t xml:space="preserve"> Motivo de consulta y síntomas referidos por el paciente guardados en texto enriquecido.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 (Objetivo):</w:t>
      </w:r>
      <w:r>
        <w:rPr>
          <w:color w:val="000000"/>
          <w:sz w:val="24"/>
          <w:szCs w:val="24"/>
          <w:rtl w:val="false"/>
        </w:rPr>
        <w:t xml:space="preserve"> Exploración física clínica podológica realizada por el especialista (hiperqueratosis, pie diabético, onicocriptosis, etc.).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 (Análisis/Diagnóstico):</w:t>
      </w:r>
      <w:r>
        <w:rPr>
          <w:color w:val="000000"/>
          <w:sz w:val="24"/>
          <w:szCs w:val="24"/>
          <w:rtl w:val="false"/>
        </w:rPr>
        <w:t xml:space="preserve"> Juicio clínico codificado (CIE-10 de patologías podológicas).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 (Plan/Receta):</w:t>
      </w:r>
      <w:r>
        <w:rPr>
          <w:color w:val="000000"/>
          <w:sz w:val="24"/>
          <w:szCs w:val="24"/>
          <w:rtl w:val="false"/>
        </w:rPr>
        <w:t xml:space="preserve"> Tratamiento indicado. La base de datos conecta la prescripción médica directamente a la facturación de farmacia. El podólogo genera la receta médica con un folio único; cuando el paciente acude a ventanilla, el cajero digita la clave asociando la venta en la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Venta</w:t>
      </w:r>
      <w:r>
        <w:rPr>
          <w:color w:val="000000"/>
          <w:sz w:val="24"/>
          <w:szCs w:val="24"/>
          <w:rtl w:val="false"/>
        </w:rPr>
        <w:t xml:space="preserve"> bajo las llaves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numeroReceta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nombrePodologo</w:t>
      </w:r>
      <w:r>
        <w:rPr>
          <w:color w:val="000000"/>
          <w:sz w:val="24"/>
          <w:szCs w:val="24"/>
          <w:rtl w:val="false"/>
        </w:rPr>
        <w:t xml:space="preserve">, logrando una trazabilidad integral desde la clínica al inventario de farmacia.</w:t>
      </w:r>
    </w:p>
    <w:p>
      <w:pPr>
        <w:pStyle w:val="2"/>
        <w:pStyle w:val="Heading2"/>
        <w:bidi w:val="false"/>
        <w:spacing w:after="120" w:before="240"/>
      </w:pPr>
      <w:bookmarkStart w:name="_Toc__7_CONCLUSIONES_Y_RECOMENDACIONES_38" w:id="1"/>
      <w:r>
        <w:rPr>
          <w:color w:val="000000"/>
          <w:sz w:val="28"/>
          <w:szCs w:val="28"/>
          <w:rtl w:val="false"/>
        </w:rPr>
        <w:t xml:space="preserve">7. CONCLUSIONES Y RECOMENDACIONES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Conclusiones_39" w:id="1"/>
      <w:r>
        <w:rPr>
          <w:color w:val="000000"/>
          <w:sz w:val="24"/>
          <w:szCs w:val="24"/>
          <w:rtl w:val="false"/>
        </w:rPr>
        <w:t xml:space="preserve">7.1 Conclusiones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arquitectura e implementación de la base de datos del </w:t>
      </w:r>
      <w:r>
        <w:rPr>
          <w:b/>
          <w:bCs/>
          <w:color w:val="000000"/>
          <w:sz w:val="24"/>
          <w:szCs w:val="24"/>
          <w:rtl w:val="false"/>
        </w:rPr>
        <w:t xml:space="preserve">Sistema Podocare</w:t>
      </w:r>
      <w:r>
        <w:rPr>
          <w:color w:val="000000"/>
          <w:sz w:val="24"/>
          <w:szCs w:val="24"/>
          <w:rtl w:val="false"/>
        </w:rPr>
        <w:t xml:space="preserve"> representa una evolución tecnológica robusta para la Clínica del Pie. Se ha erradicado el descuadre financiero y físico de inventarios gracias al control transaccional por lotes (COGS) en PostgreSQL. Asimismo, la automatización a nivel de servidor garantiza la seguridad jurídica y operativa de la información clínica y de caja en total apego a la legislación de salud nicaragüense.</w:t>
      </w:r>
    </w:p>
    <w:p>
      <w:pPr>
        <w:pStyle w:val="3"/>
        <w:pStyle w:val="Heading3"/>
        <w:bidi w:val="false"/>
        <w:spacing w:after="120" w:before="240"/>
      </w:pPr>
      <w:bookmarkStart w:name="_Toc__72_Recomendaciones_40" w:id="1"/>
      <w:r>
        <w:rPr>
          <w:color w:val="000000"/>
          <w:sz w:val="24"/>
          <w:szCs w:val="24"/>
          <w:rtl w:val="false"/>
        </w:rPr>
        <w:t xml:space="preserve">7.2 Recomendaciones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Infraestructura Dedicada:</w:t>
      </w:r>
      <w:r>
        <w:rPr>
          <w:color w:val="000000"/>
          <w:sz w:val="24"/>
          <w:szCs w:val="24"/>
          <w:rtl w:val="false"/>
        </w:rPr>
        <w:t xml:space="preserve"> Implementar discos SSD físicos mapeados al Tablespace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farmacia_data</w:t>
      </w:r>
      <w:r>
        <w:rPr>
          <w:color w:val="000000"/>
          <w:sz w:val="24"/>
          <w:szCs w:val="24"/>
          <w:rtl w:val="false"/>
        </w:rPr>
        <w:t xml:space="preserve"> para resguardar la fluidez del escaneo por hardware y cámara.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Seguridad de Backups:</w:t>
      </w:r>
      <w:r>
        <w:rPr>
          <w:color w:val="000000"/>
          <w:sz w:val="24"/>
          <w:szCs w:val="24"/>
          <w:rtl w:val="false"/>
        </w:rPr>
        <w:t xml:space="preserve"> Respaldar el directorio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C:\farmacia\backups</w:t>
      </w:r>
      <w:r>
        <w:rPr>
          <w:color w:val="000000"/>
          <w:sz w:val="24"/>
          <w:szCs w:val="24"/>
          <w:rtl w:val="false"/>
        </w:rPr>
        <w:t xml:space="preserve"> generado por pgAgent mediante servicios automáticos de replicación en la nube en tiempo real.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Capacitación:</w:t>
      </w:r>
      <w:r>
        <w:rPr>
          <w:color w:val="000000"/>
          <w:sz w:val="24"/>
          <w:szCs w:val="24"/>
          <w:rtl w:val="false"/>
        </w:rPr>
        <w:t xml:space="preserve"> Instruir al personal médico y administrativo sobre la separación de roles para preservar la integridad de los datos y el secreto profesional regulado por el MINSA.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dfz3hdabco4vi1kmoryu" Type="http://schemas.openxmlformats.org/officeDocument/2006/relationships/hyperlink" Target="#1-introducci&#243;n-y-objetivos" TargetMode="External"/><Relationship Id="rIdvxsexf0ft-eckx8_nd0d1" Type="http://schemas.openxmlformats.org/officeDocument/2006/relationships/hyperlink" Target="#2-justificaci&#243;n-de-la-migraci&#243;n-tecnol&#243;gica" TargetMode="External"/><Relationship Id="rIdb8ysvvnvl2bqqj4qhx7wr" Type="http://schemas.openxmlformats.org/officeDocument/2006/relationships/hyperlink" Target="#3-modelado-de-datos-completo-mer-mr-moo" TargetMode="External"/><Relationship Id="rIdkyalnjatfc0pjj4tb_oel" Type="http://schemas.openxmlformats.org/officeDocument/2006/relationships/hyperlink" Target="#4-diccionario-de-datos-extendido-ded" TargetMode="External"/><Relationship Id="rId0wid5hffvobbcsbnmiu1b" Type="http://schemas.openxmlformats.org/officeDocument/2006/relationships/hyperlink" Target="#5-capa-servidor-tablespaces-pgagent-y-triggers" TargetMode="External"/><Relationship Id="rIdle7kncwhoxnsvdseis7fw" Type="http://schemas.openxmlformats.org/officeDocument/2006/relationships/hyperlink" Target="#6-cumplimiento-de-la-normativa-004-del-minsa" TargetMode="External"/><Relationship Id="rIdxrxnzjymeyxyan8glfed0" Type="http://schemas.openxmlformats.org/officeDocument/2006/relationships/hyperlink" Target="#7-conclusiones-y-recomendacione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2026-06-12T00:07:33.061Z</dcterms:created>
  <dcterms:modified xsi:type="dcterms:W3CDTF">2026-06-12T00:07:33.062Z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