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spacing w:after="280"/>
        <w:jc w:val="center"/>
      </w:pPr>
      <w:r>
        <w:rPr>
          <w:rFonts w:ascii="Calibri" w:hAnsi="Calibri"/>
          <w:b/>
          <w:color w:val="1F7A5A"/>
          <w:sz w:val="26"/>
        </w:rPr>
        <w:t>FARMAPOS</w:t>
      </w:r>
    </w:p>
    <w:p>
      <w:pPr>
        <w:pStyle w:val="Title"/>
        <w:jc w:val="center"/>
      </w:pPr>
      <w:r>
        <w:t>Reporte técnico de mejoras</w:t>
      </w:r>
    </w:p>
    <w:p>
      <w:pPr>
        <w:pStyle w:val="Subtitle"/>
        <w:jc w:val="center"/>
      </w:pPr>
      <w:r>
        <w:t>Operación farmacéutica, atención clínica y análisis gerencial con Extreme Programming</w:t>
      </w:r>
    </w:p>
    <w:p>
      <w:pPr>
        <w:spacing w:before="720"/>
        <w:jc w:val="center"/>
      </w:pPr>
      <w:r>
        <w:rPr>
          <w:rFonts w:ascii="Calibri" w:hAnsi="Calibri"/>
          <w:b/>
          <w:color w:val="1F4D78"/>
          <w:sz w:val="24"/>
        </w:rPr>
        <w:t>Ingeniería de Software I</w:t>
      </w:r>
    </w:p>
    <w:p>
      <w:pPr>
        <w:jc w:val="center"/>
      </w:pPr>
      <w:r>
        <w:rPr>
          <w:rFonts w:ascii="Calibri" w:hAnsi="Calibri"/>
          <w:b w:val="0"/>
          <w:color w:val="5B6573"/>
          <w:sz w:val="21"/>
        </w:rPr>
        <w:t>Fecha: 7 de agosto de 2026</w:t>
      </w:r>
    </w:p>
    <w:p>
      <w:pPr>
        <w:jc w:val="center"/>
      </w:pPr>
      <w:r>
        <w:rPr>
          <w:rFonts w:ascii="Calibri" w:hAnsi="Calibri"/>
          <w:b w:val="0"/>
          <w:color w:val="5B6573"/>
          <w:sz w:val="21"/>
        </w:rPr>
        <w:t>Autor disponible en el repositorio: Gakilol</w:t>
      </w:r>
    </w:p>
    <w:p>
      <w:pPr>
        <w:spacing w:before="1900"/>
        <w:jc w:val="center"/>
      </w:pPr>
      <w:r>
        <w:rPr>
          <w:rFonts w:ascii="Calibri" w:hAnsi="Calibri"/>
          <w:b/>
          <w:color w:val="1F7A5A"/>
          <w:sz w:val="20"/>
        </w:rPr>
        <w:t>Next.js · TypeScript · Prisma · PostgreSQL/Neon · Vercel</w:t>
      </w:r>
    </w:p>
    <w:p>
      <w:r>
        <w:br w:type="page"/>
      </w:r>
    </w:p>
    <w:p>
      <w:pPr>
        <w:pStyle w:val="Heading1"/>
        <w:keepNext/>
      </w:pPr>
      <w:r>
        <w:t>Resumen ejecutivo</w:t>
      </w:r>
    </w:p>
    <w:p>
      <w:pPr>
        <w:shd w:fill="EEF6F2"/>
        <w:spacing w:before="80" w:after="240"/>
        <w:ind w:left="216" w:right="216"/>
      </w:pPr>
      <w:r>
        <w:rPr>
          <w:rFonts w:ascii="Calibri" w:hAnsi="Calibri"/>
          <w:b/>
          <w:color w:val="1F7A5A"/>
          <w:sz w:val="22"/>
        </w:rPr>
        <w:t xml:space="preserve">Resultado: </w:t>
      </w:r>
      <w:r>
        <w:t>se completaron nueve incrementos funcionales integrados a la arquitectura existente: FEFO auditable, recordatorios por rol, caja, receta parcial y segura, resumen temporal del paciente, compras explicables, dashboard gerencial, IA operativa resiliente y reportes ejecutivos optimizados.</w:t>
      </w:r>
    </w:p>
    <w:p>
      <w:r>
        <w:t>El trabajo conservó el modelo serverless y el control de acceso existente. Las operaciones que cambian inventario, receta o caja se ejecutan en transacciones Prisma; las consultas analíticas usan agregaciones, límites y paginación para reducir lecturas y transferencia desde Neon.</w:t>
      </w:r>
    </w:p>
    <w:tbl>
      <w:tblPr>
        <w:tblStyle w:val="TableGrid"/>
        <w:jc w:val="left"/>
        <w:tblLook w:firstColumn="1" w:firstRow="1" w:lastColumn="0" w:lastRow="0" w:noHBand="0" w:noVBand="1" w:val="04A0"/>
        <w:tblW w:w="9360" w:type="dxa"/>
        <w:tblInd w:w="120" w:type="dxa"/>
        <w:tblLayout w:type="fixed"/>
      </w:tblPr>
      <w:tblGrid>
        <w:gridCol w:w="1450"/>
        <w:gridCol w:w="3350"/>
        <w:gridCol w:w="4560"/>
      </w:tblGrid>
      <w:tr>
        <w:trPr>
          <w:tblHeader w:val="true"/>
        </w:trPr>
        <w:tc>
          <w:tcPr>
            <w:tcW w:type="dxa" w:w="1450"/>
            <w:shd w:fill="F2F4F7"/>
            <w:vAlign w:val="center"/>
            <w:tcMar>
              <w:top w:w="100" w:type="dxa"/>
              <w:start w:w="120" w:type="dxa"/>
              <w:bottom w:w="100" w:type="dxa"/>
              <w:end w:w="120" w:type="dxa"/>
            </w:tcMar>
          </w:tcPr>
          <w:p>
            <w:r>
              <w:rPr>
                <w:rFonts w:ascii="Calibri" w:hAnsi="Calibri"/>
                <w:b/>
                <w:color w:val="1F4D78"/>
                <w:sz w:val="18"/>
              </w:rPr>
              <w:t>Área</w:t>
            </w:r>
          </w:p>
        </w:tc>
        <w:tc>
          <w:tcPr>
            <w:tcW w:type="dxa" w:w="3350"/>
            <w:shd w:fill="F2F4F7"/>
            <w:vAlign w:val="center"/>
            <w:tcMar>
              <w:top w:w="100" w:type="dxa"/>
              <w:start w:w="120" w:type="dxa"/>
              <w:bottom w:w="100" w:type="dxa"/>
              <w:end w:w="120" w:type="dxa"/>
            </w:tcMar>
          </w:tcPr>
          <w:p>
            <w:r>
              <w:rPr>
                <w:rFonts w:ascii="Calibri" w:hAnsi="Calibri"/>
                <w:b/>
                <w:color w:val="1F4D78"/>
                <w:sz w:val="18"/>
              </w:rPr>
              <w:t>Incremento entregado</w:t>
            </w:r>
          </w:p>
        </w:tc>
        <w:tc>
          <w:tcPr>
            <w:tcW w:type="dxa" w:w="4560"/>
            <w:shd w:fill="F2F4F7"/>
            <w:vAlign w:val="center"/>
            <w:tcMar>
              <w:top w:w="100" w:type="dxa"/>
              <w:start w:w="120" w:type="dxa"/>
              <w:bottom w:w="100" w:type="dxa"/>
              <w:end w:w="120" w:type="dxa"/>
            </w:tcMar>
          </w:tcPr>
          <w:p>
            <w:r>
              <w:rPr>
                <w:rFonts w:ascii="Calibri" w:hAnsi="Calibri"/>
                <w:b/>
                <w:color w:val="1F4D78"/>
                <w:sz w:val="18"/>
              </w:rPr>
              <w:t>Resultado verificable</w:t>
            </w:r>
          </w:p>
        </w:tc>
      </w:tr>
      <w:tr>
        <w:tc>
          <w:tcPr>
            <w:tcW w:type="dxa" w:w="1450"/>
            <w:vAlign w:val="center"/>
            <w:tcMar>
              <w:top w:w="100" w:type="dxa"/>
              <w:start w:w="120" w:type="dxa"/>
              <w:bottom w:w="100" w:type="dxa"/>
              <w:end w:w="120" w:type="dxa"/>
            </w:tcMar>
          </w:tcPr>
          <w:p>
            <w:pPr>
              <w:spacing w:after="0" w:line="252" w:lineRule="auto"/>
            </w:pPr>
            <w:r>
              <w:rPr>
                <w:rFonts w:ascii="Calibri" w:hAnsi="Calibri"/>
                <w:b w:val="0"/>
                <w:color w:val="1F2937"/>
                <w:sz w:val="17"/>
              </w:rPr>
              <w:t>Farmacia</w:t>
            </w:r>
          </w:p>
        </w:tc>
        <w:tc>
          <w:tcPr>
            <w:tcW w:type="dxa" w:w="3350"/>
            <w:vAlign w:val="center"/>
            <w:tcMar>
              <w:top w:w="100" w:type="dxa"/>
              <w:start w:w="120" w:type="dxa"/>
              <w:bottom w:w="100" w:type="dxa"/>
              <w:end w:w="120" w:type="dxa"/>
            </w:tcMar>
          </w:tcPr>
          <w:p>
            <w:pPr>
              <w:spacing w:after="0" w:line="252" w:lineRule="auto"/>
            </w:pPr>
            <w:r>
              <w:rPr>
                <w:rFonts w:ascii="Calibri" w:hAnsi="Calibri"/>
                <w:b w:val="0"/>
                <w:color w:val="1F2937"/>
                <w:sz w:val="17"/>
              </w:rPr>
              <w:t>FEFO y excepción administrativa</w:t>
            </w:r>
          </w:p>
        </w:tc>
        <w:tc>
          <w:tcPr>
            <w:tcW w:type="dxa" w:w="4560"/>
            <w:vAlign w:val="center"/>
            <w:tcMar>
              <w:top w:w="100" w:type="dxa"/>
              <w:start w:w="120" w:type="dxa"/>
              <w:bottom w:w="100" w:type="dxa"/>
              <w:end w:w="120" w:type="dxa"/>
            </w:tcMar>
          </w:tcPr>
          <w:p>
            <w:pPr>
              <w:spacing w:after="0" w:line="252" w:lineRule="auto"/>
            </w:pPr>
            <w:r>
              <w:rPr>
                <w:rFonts w:ascii="Calibri" w:hAnsi="Calibri"/>
                <w:b w:val="0"/>
                <w:color w:val="1F2937"/>
                <w:sz w:val="17"/>
              </w:rPr>
              <w:t>Lotes vencidos excluidos; trazabilidad DetalleVentaLote; cambio auditado</w:t>
            </w:r>
          </w:p>
        </w:tc>
      </w:tr>
      <w:tr>
        <w:tc>
          <w:tcPr>
            <w:tcW w:type="dxa" w:w="1450"/>
            <w:vAlign w:val="center"/>
            <w:tcMar>
              <w:top w:w="100" w:type="dxa"/>
              <w:start w:w="120" w:type="dxa"/>
              <w:bottom w:w="100" w:type="dxa"/>
              <w:end w:w="120" w:type="dxa"/>
            </w:tcMar>
          </w:tcPr>
          <w:p>
            <w:pPr>
              <w:spacing w:after="0" w:line="252" w:lineRule="auto"/>
            </w:pPr>
            <w:r>
              <w:rPr>
                <w:rFonts w:ascii="Calibri" w:hAnsi="Calibri"/>
                <w:b w:val="0"/>
                <w:color w:val="1F2937"/>
                <w:sz w:val="17"/>
              </w:rPr>
              <w:t>Operación</w:t>
            </w:r>
          </w:p>
        </w:tc>
        <w:tc>
          <w:tcPr>
            <w:tcW w:type="dxa" w:w="3350"/>
            <w:vAlign w:val="center"/>
            <w:tcMar>
              <w:top w:w="100" w:type="dxa"/>
              <w:start w:w="120" w:type="dxa"/>
              <w:bottom w:w="100" w:type="dxa"/>
              <w:end w:w="120" w:type="dxa"/>
            </w:tcMar>
          </w:tcPr>
          <w:p>
            <w:pPr>
              <w:spacing w:after="0" w:line="252" w:lineRule="auto"/>
            </w:pPr>
            <w:r>
              <w:rPr>
                <w:rFonts w:ascii="Calibri" w:hAnsi="Calibri"/>
                <w:b w:val="0"/>
                <w:color w:val="1F2937"/>
                <w:sz w:val="17"/>
              </w:rPr>
              <w:t>Recordatorios y caja</w:t>
            </w:r>
          </w:p>
        </w:tc>
        <w:tc>
          <w:tcPr>
            <w:tcW w:type="dxa" w:w="4560"/>
            <w:vAlign w:val="center"/>
            <w:tcMar>
              <w:top w:w="100" w:type="dxa"/>
              <w:start w:w="120" w:type="dxa"/>
              <w:bottom w:w="100" w:type="dxa"/>
              <w:end w:w="120" w:type="dxa"/>
            </w:tcMar>
          </w:tcPr>
          <w:p>
            <w:pPr>
              <w:spacing w:after="0" w:line="252" w:lineRule="auto"/>
            </w:pPr>
            <w:r>
              <w:rPr>
                <w:rFonts w:ascii="Calibri" w:hAnsi="Calibri"/>
                <w:b w:val="0"/>
                <w:color w:val="1F2937"/>
                <w:sz w:val="17"/>
              </w:rPr>
              <w:t>Alertas internas por rol; apertura, movimientos, cierre y resolución</w:t>
            </w:r>
          </w:p>
        </w:tc>
      </w:tr>
      <w:tr>
        <w:tc>
          <w:tcPr>
            <w:tcW w:type="dxa" w:w="1450"/>
            <w:vAlign w:val="center"/>
            <w:tcMar>
              <w:top w:w="100" w:type="dxa"/>
              <w:start w:w="120" w:type="dxa"/>
              <w:bottom w:w="100" w:type="dxa"/>
              <w:end w:w="120" w:type="dxa"/>
            </w:tcMar>
          </w:tcPr>
          <w:p>
            <w:pPr>
              <w:spacing w:after="0" w:line="252" w:lineRule="auto"/>
            </w:pPr>
            <w:r>
              <w:rPr>
                <w:rFonts w:ascii="Calibri" w:hAnsi="Calibri"/>
                <w:b w:val="0"/>
                <w:color w:val="1F2937"/>
                <w:sz w:val="17"/>
              </w:rPr>
              <w:t>Clínica</w:t>
            </w:r>
          </w:p>
        </w:tc>
        <w:tc>
          <w:tcPr>
            <w:tcW w:type="dxa" w:w="3350"/>
            <w:vAlign w:val="center"/>
            <w:tcMar>
              <w:top w:w="100" w:type="dxa"/>
              <w:start w:w="120" w:type="dxa"/>
              <w:bottom w:w="100" w:type="dxa"/>
              <w:end w:w="120" w:type="dxa"/>
            </w:tcMar>
          </w:tcPr>
          <w:p>
            <w:pPr>
              <w:spacing w:after="0" w:line="252" w:lineRule="auto"/>
            </w:pPr>
            <w:r>
              <w:rPr>
                <w:rFonts w:ascii="Calibri" w:hAnsi="Calibri"/>
                <w:b w:val="0"/>
                <w:color w:val="1F2937"/>
                <w:sz w:val="17"/>
              </w:rPr>
              <w:t>Receta y privacidad</w:t>
            </w:r>
          </w:p>
        </w:tc>
        <w:tc>
          <w:tcPr>
            <w:tcW w:type="dxa" w:w="4560"/>
            <w:vAlign w:val="center"/>
            <w:tcMar>
              <w:top w:w="100" w:type="dxa"/>
              <w:start w:w="120" w:type="dxa"/>
              <w:bottom w:w="100" w:type="dxa"/>
              <w:end w:w="120" w:type="dxa"/>
            </w:tcMar>
          </w:tcPr>
          <w:p>
            <w:pPr>
              <w:spacing w:after="0" w:line="252" w:lineRule="auto"/>
            </w:pPr>
            <w:r>
              <w:rPr>
                <w:rFonts w:ascii="Calibri" w:hAnsi="Calibri"/>
                <w:b w:val="0"/>
                <w:color w:val="1F2937"/>
                <w:sz w:val="17"/>
              </w:rPr>
              <w:t>Ocho estados; surtido parcial; alergias; enlace temporal con hash</w:t>
            </w:r>
          </w:p>
        </w:tc>
      </w:tr>
      <w:tr>
        <w:tc>
          <w:tcPr>
            <w:tcW w:type="dxa" w:w="1450"/>
            <w:vAlign w:val="center"/>
            <w:tcMar>
              <w:top w:w="100" w:type="dxa"/>
              <w:start w:w="120" w:type="dxa"/>
              <w:bottom w:w="100" w:type="dxa"/>
              <w:end w:w="120" w:type="dxa"/>
            </w:tcMar>
          </w:tcPr>
          <w:p>
            <w:pPr>
              <w:spacing w:after="0" w:line="252" w:lineRule="auto"/>
            </w:pPr>
            <w:r>
              <w:rPr>
                <w:rFonts w:ascii="Calibri" w:hAnsi="Calibri"/>
                <w:b w:val="0"/>
                <w:color w:val="1F2937"/>
                <w:sz w:val="17"/>
              </w:rPr>
              <w:t>Gestión</w:t>
            </w:r>
          </w:p>
        </w:tc>
        <w:tc>
          <w:tcPr>
            <w:tcW w:type="dxa" w:w="3350"/>
            <w:vAlign w:val="center"/>
            <w:tcMar>
              <w:top w:w="100" w:type="dxa"/>
              <w:start w:w="120" w:type="dxa"/>
              <w:bottom w:w="100" w:type="dxa"/>
              <w:end w:w="120" w:type="dxa"/>
            </w:tcMar>
          </w:tcPr>
          <w:p>
            <w:pPr>
              <w:spacing w:after="0" w:line="252" w:lineRule="auto"/>
            </w:pPr>
            <w:r>
              <w:rPr>
                <w:rFonts w:ascii="Calibri" w:hAnsi="Calibri"/>
                <w:b w:val="0"/>
                <w:color w:val="1F2937"/>
                <w:sz w:val="17"/>
              </w:rPr>
              <w:t>Compras y KPIs</w:t>
            </w:r>
          </w:p>
        </w:tc>
        <w:tc>
          <w:tcPr>
            <w:tcW w:type="dxa" w:w="4560"/>
            <w:vAlign w:val="center"/>
            <w:tcMar>
              <w:top w:w="100" w:type="dxa"/>
              <w:start w:w="120" w:type="dxa"/>
              <w:bottom w:w="100" w:type="dxa"/>
              <w:end w:w="120" w:type="dxa"/>
            </w:tcMar>
          </w:tcPr>
          <w:p>
            <w:pPr>
              <w:spacing w:after="0" w:line="252" w:lineRule="auto"/>
            </w:pPr>
            <w:r>
              <w:rPr>
                <w:rFonts w:ascii="Calibri" w:hAnsi="Calibri"/>
                <w:b w:val="0"/>
                <w:color w:val="1F2937"/>
                <w:sz w:val="17"/>
              </w:rPr>
              <w:t>Sugerencias explicables; costo de proveedor; agregaciones gerenciales</w:t>
            </w:r>
          </w:p>
        </w:tc>
      </w:tr>
      <w:tr>
        <w:tc>
          <w:tcPr>
            <w:tcW w:type="dxa" w:w="1450"/>
            <w:vAlign w:val="center"/>
            <w:tcMar>
              <w:top w:w="100" w:type="dxa"/>
              <w:start w:w="120" w:type="dxa"/>
              <w:bottom w:w="100" w:type="dxa"/>
              <w:end w:w="120" w:type="dxa"/>
            </w:tcMar>
          </w:tcPr>
          <w:p>
            <w:pPr>
              <w:spacing w:after="0" w:line="252" w:lineRule="auto"/>
            </w:pPr>
            <w:r>
              <w:rPr>
                <w:rFonts w:ascii="Calibri" w:hAnsi="Calibri"/>
                <w:b w:val="0"/>
                <w:color w:val="1F2937"/>
                <w:sz w:val="17"/>
              </w:rPr>
              <w:t>Inteligencia</w:t>
            </w:r>
          </w:p>
        </w:tc>
        <w:tc>
          <w:tcPr>
            <w:tcW w:type="dxa" w:w="3350"/>
            <w:vAlign w:val="center"/>
            <w:tcMar>
              <w:top w:w="100" w:type="dxa"/>
              <w:start w:w="120" w:type="dxa"/>
              <w:bottom w:w="100" w:type="dxa"/>
              <w:end w:w="120" w:type="dxa"/>
            </w:tcMar>
          </w:tcPr>
          <w:p>
            <w:pPr>
              <w:spacing w:after="0" w:line="252" w:lineRule="auto"/>
            </w:pPr>
            <w:r>
              <w:rPr>
                <w:rFonts w:ascii="Calibri" w:hAnsi="Calibri"/>
                <w:b w:val="0"/>
                <w:color w:val="1F2937"/>
                <w:sz w:val="17"/>
              </w:rPr>
              <w:t>IA operativa por rol</w:t>
            </w:r>
          </w:p>
        </w:tc>
        <w:tc>
          <w:tcPr>
            <w:tcW w:type="dxa" w:w="4560"/>
            <w:vAlign w:val="center"/>
            <w:tcMar>
              <w:top w:w="100" w:type="dxa"/>
              <w:start w:w="120" w:type="dxa"/>
              <w:bottom w:w="100" w:type="dxa"/>
              <w:end w:w="120" w:type="dxa"/>
            </w:tcMar>
          </w:tcPr>
          <w:p>
            <w:pPr>
              <w:spacing w:after="0" w:line="252" w:lineRule="auto"/>
            </w:pPr>
            <w:r>
              <w:rPr>
                <w:rFonts w:ascii="Calibri" w:hAnsi="Calibri"/>
                <w:b w:val="0"/>
                <w:color w:val="1F2937"/>
                <w:sz w:val="17"/>
              </w:rPr>
              <w:t>Motor local determinista; Vertex AI opcional; 50 pruebas de permisos y seguridad</w:t>
            </w:r>
          </w:p>
        </w:tc>
      </w:tr>
      <w:tr>
        <w:tc>
          <w:tcPr>
            <w:tcW w:type="dxa" w:w="1450"/>
            <w:vAlign w:val="center"/>
            <w:tcMar>
              <w:top w:w="100" w:type="dxa"/>
              <w:start w:w="120" w:type="dxa"/>
              <w:bottom w:w="100" w:type="dxa"/>
              <w:end w:w="120" w:type="dxa"/>
            </w:tcMar>
          </w:tcPr>
          <w:p>
            <w:pPr>
              <w:spacing w:after="0" w:line="252" w:lineRule="auto"/>
            </w:pPr>
            <w:r>
              <w:rPr>
                <w:rFonts w:ascii="Calibri" w:hAnsi="Calibri"/>
                <w:b w:val="0"/>
                <w:color w:val="1F2937"/>
                <w:sz w:val="17"/>
              </w:rPr>
              <w:t>Analítica</w:t>
            </w:r>
          </w:p>
        </w:tc>
        <w:tc>
          <w:tcPr>
            <w:tcW w:type="dxa" w:w="3350"/>
            <w:vAlign w:val="center"/>
            <w:tcMar>
              <w:top w:w="100" w:type="dxa"/>
              <w:start w:w="120" w:type="dxa"/>
              <w:bottom w:w="100" w:type="dxa"/>
              <w:end w:w="120" w:type="dxa"/>
            </w:tcMar>
          </w:tcPr>
          <w:p>
            <w:pPr>
              <w:spacing w:after="0" w:line="252" w:lineRule="auto"/>
            </w:pPr>
            <w:r>
              <w:rPr>
                <w:rFonts w:ascii="Calibri" w:hAnsi="Calibri"/>
                <w:b w:val="0"/>
                <w:color w:val="1F2937"/>
                <w:sz w:val="17"/>
              </w:rPr>
              <w:t>Reportes ejecutivos</w:t>
            </w:r>
          </w:p>
        </w:tc>
        <w:tc>
          <w:tcPr>
            <w:tcW w:type="dxa" w:w="4560"/>
            <w:vAlign w:val="center"/>
            <w:tcMar>
              <w:top w:w="100" w:type="dxa"/>
              <w:start w:w="120" w:type="dxa"/>
              <w:bottom w:w="100" w:type="dxa"/>
              <w:end w:w="120" w:type="dxa"/>
            </w:tcMar>
          </w:tcPr>
          <w:p>
            <w:pPr>
              <w:spacing w:after="0" w:line="252" w:lineRule="auto"/>
            </w:pPr>
            <w:r>
              <w:rPr>
                <w:rFonts w:ascii="Calibri" w:hAnsi="Calibri"/>
                <w:b w:val="0"/>
                <w:color w:val="1F2937"/>
                <w:sz w:val="17"/>
              </w:rPr>
              <w:t>Una carga inicial; seis KPIs; detalle bajo demanda; exportación completa</w:t>
            </w:r>
          </w:p>
        </w:tc>
      </w:tr>
    </w:tbl>
    <w:p>
      <w:pPr>
        <w:spacing w:after="40"/>
      </w:pPr>
    </w:p>
    <w:p>
      <w:pPr>
        <w:pStyle w:val="Heading1"/>
        <w:keepNext/>
      </w:pPr>
      <w:r>
        <w:t>1. Introducción y objetivo</w:t>
      </w:r>
    </w:p>
    <w:p>
      <w:r>
        <w:t>FarmaPOS es un sistema web integrado para farmacia y clínica podológica. El objetivo de esta iteración fue elevar la seguridad operativa, la continuidad del flujo clínico y la capacidad de decisión sin introducir servicios pagados ni procesos persistentes incompatibles con Vercel y Neon en sus modalidades gratuitas.</w:t>
      </w:r>
    </w:p>
    <w:p>
      <w:r>
        <w:t>La prioridad se definió por valor directo: prevenir dispensación insegura, mantener trazabilidad, controlar efectivo, reducir recetas pendientes, facilitar acceso limitado al paciente y convertir datos existentes en decisiones de compra y gestión.</w:t>
      </w:r>
    </w:p>
    <w:p>
      <w:pPr>
        <w:pStyle w:val="Heading1"/>
        <w:keepNext/>
      </w:pPr>
      <w:r>
        <w:t>2. Diagnóstico inicial</w:t>
      </w:r>
    </w:p>
    <w:p>
      <w:pPr>
        <w:pStyle w:val="ListBullet"/>
        <w:spacing w:after="120" w:line="280" w:lineRule="auto"/>
        <w:ind w:left="720" w:hanging="360"/>
      </w:pPr>
      <w:r>
        <w:t>Fortalezas: ventas transaccionales, inventario por lotes, kardex, auditoría, RBAC, clínica SOAP, recetas con cantidades facturadas, reportes y recomendaciones internas.</w:t>
      </w:r>
    </w:p>
    <w:p>
      <w:pPr>
        <w:pStyle w:val="ListBullet"/>
        <w:spacing w:after="120" w:line="280" w:lineRule="auto"/>
        <w:ind w:left="720" w:hanging="360"/>
      </w:pPr>
      <w:r>
        <w:t>Brecha FEFO: la deducción ya ordenaba lotes, pero la regla estaba embebida en el endpoint y la interfaz hablaba de FIFO; no existía excepción administrativa explícita.</w:t>
      </w:r>
    </w:p>
    <w:p>
      <w:pPr>
        <w:pStyle w:val="ListBullet"/>
        <w:spacing w:after="120" w:line="280" w:lineRule="auto"/>
        <w:ind w:left="720" w:hanging="360"/>
      </w:pPr>
      <w:r>
        <w:t>Brecha operativa: no existía sesión de caja ni conciliación de movimientos y ventas por método de pago.</w:t>
      </w:r>
    </w:p>
    <w:p>
      <w:pPr>
        <w:pStyle w:val="ListBullet"/>
        <w:spacing w:after="120" w:line="280" w:lineRule="auto"/>
        <w:ind w:left="720" w:hanging="360"/>
      </w:pPr>
      <w:r>
        <w:t>Brecha clínica: faltaban EN_PREPARACION y LISTA, vínculo relacional Venta-Receta, confirmación de alergias y acceso compartible con aislamiento por paciente.</w:t>
      </w:r>
    </w:p>
    <w:p>
      <w:pPr>
        <w:pStyle w:val="ListBullet"/>
        <w:spacing w:after="120" w:line="280" w:lineRule="auto"/>
        <w:ind w:left="720" w:hanging="360"/>
      </w:pPr>
      <w:r>
        <w:t>Brecha analítica: el dashboard inicial cargaba ventas y productos completos al navegador; algunas recomendaciones realizaban consultas por producto.</w:t>
      </w:r>
    </w:p>
    <w:p>
      <w:pPr>
        <w:pStyle w:val="ListBullet"/>
        <w:spacing w:after="120" w:line="280" w:lineRule="auto"/>
        <w:ind w:left="720" w:hanging="360"/>
      </w:pPr>
      <w:r>
        <w:t>Riesgo preexistente documentado: los adjuntos de exámenes se escriben en uploads/ mediante fs; ese mecanismo no es almacenamiento durable en Vercel y no fue ampliado.</w:t>
      </w:r>
    </w:p>
    <w:p>
      <w:pPr>
        <w:pStyle w:val="Heading1"/>
        <w:keepNext/>
      </w:pPr>
      <w:r>
        <w:t>3. Comparación con sistemas referentes</w:t>
      </w:r>
    </w:p>
    <w:p>
      <w:r>
        <w:t>La comparación es funcional, no contractual. Se revisaron páginas oficiales disponibles el 7 de agosto de 2026 para identificar patrones transferibles a un proyecto académico de bajo costo.</w:t>
      </w:r>
    </w:p>
    <w:tbl>
      <w:tblPr>
        <w:tblStyle w:val="TableGrid"/>
        <w:jc w:val="left"/>
        <w:tblLook w:firstColumn="1" w:firstRow="1" w:lastColumn="0" w:lastRow="0" w:noHBand="0" w:noVBand="1" w:val="04A0"/>
        <w:tblW w:w="9360" w:type="dxa"/>
        <w:tblInd w:w="120" w:type="dxa"/>
        <w:tblLayout w:type="fixed"/>
      </w:tblPr>
      <w:tblGrid>
        <w:gridCol w:w="1350"/>
        <w:gridCol w:w="4000"/>
        <w:gridCol w:w="4010"/>
      </w:tblGrid>
      <w:tr>
        <w:trPr>
          <w:tblHeader w:val="true"/>
        </w:trPr>
        <w:tc>
          <w:tcPr>
            <w:tcW w:type="dxa" w:w="1350"/>
            <w:shd w:fill="F2F4F7"/>
            <w:vAlign w:val="center"/>
            <w:tcMar>
              <w:top w:w="100" w:type="dxa"/>
              <w:start w:w="120" w:type="dxa"/>
              <w:bottom w:w="100" w:type="dxa"/>
              <w:end w:w="120" w:type="dxa"/>
            </w:tcMar>
          </w:tcPr>
          <w:p>
            <w:r>
              <w:rPr>
                <w:rFonts w:ascii="Calibri" w:hAnsi="Calibri"/>
                <w:b/>
                <w:color w:val="1F4D78"/>
                <w:sz w:val="18"/>
              </w:rPr>
              <w:t>Referente</w:t>
            </w:r>
          </w:p>
        </w:tc>
        <w:tc>
          <w:tcPr>
            <w:tcW w:type="dxa" w:w="4000"/>
            <w:shd w:fill="F2F4F7"/>
            <w:vAlign w:val="center"/>
            <w:tcMar>
              <w:top w:w="100" w:type="dxa"/>
              <w:start w:w="120" w:type="dxa"/>
              <w:bottom w:w="100" w:type="dxa"/>
              <w:end w:w="120" w:type="dxa"/>
            </w:tcMar>
          </w:tcPr>
          <w:p>
            <w:r>
              <w:rPr>
                <w:rFonts w:ascii="Calibri" w:hAnsi="Calibri"/>
                <w:b/>
                <w:color w:val="1F4D78"/>
                <w:sz w:val="18"/>
              </w:rPr>
              <w:t>Patrón observado</w:t>
            </w:r>
          </w:p>
        </w:tc>
        <w:tc>
          <w:tcPr>
            <w:tcW w:type="dxa" w:w="4010"/>
            <w:shd w:fill="F2F4F7"/>
            <w:vAlign w:val="center"/>
            <w:tcMar>
              <w:top w:w="100" w:type="dxa"/>
              <w:start w:w="120" w:type="dxa"/>
              <w:bottom w:w="100" w:type="dxa"/>
              <w:end w:w="120" w:type="dxa"/>
            </w:tcMar>
          </w:tcPr>
          <w:p>
            <w:r>
              <w:rPr>
                <w:rFonts w:ascii="Calibri" w:hAnsi="Calibri"/>
                <w:b/>
                <w:color w:val="1F4D78"/>
                <w:sz w:val="18"/>
              </w:rPr>
              <w:t>Aplicación en FarmaPOS</w:t>
            </w:r>
          </w:p>
        </w:tc>
      </w:tr>
      <w:tr>
        <w:tc>
          <w:tcPr>
            <w:tcW w:type="dxa" w:w="1350"/>
            <w:vAlign w:val="center"/>
            <w:tcMar>
              <w:top w:w="100" w:type="dxa"/>
              <w:start w:w="120" w:type="dxa"/>
              <w:bottom w:w="100" w:type="dxa"/>
              <w:end w:w="120" w:type="dxa"/>
            </w:tcMar>
          </w:tcPr>
          <w:p>
            <w:pPr>
              <w:spacing w:after="0" w:line="252" w:lineRule="auto"/>
            </w:pPr>
            <w:r>
              <w:rPr>
                <w:rFonts w:ascii="Calibri" w:hAnsi="Calibri"/>
                <w:b w:val="0"/>
                <w:color w:val="1F2937"/>
                <w:sz w:val="17"/>
              </w:rPr>
              <w:t>PioneerRx</w:t>
            </w:r>
          </w:p>
        </w:tc>
        <w:tc>
          <w:tcPr>
            <w:tcW w:type="dxa" w:w="4000"/>
            <w:vAlign w:val="center"/>
            <w:tcMar>
              <w:top w:w="100" w:type="dxa"/>
              <w:start w:w="120" w:type="dxa"/>
              <w:bottom w:w="100" w:type="dxa"/>
              <w:end w:w="120" w:type="dxa"/>
            </w:tcMar>
          </w:tcPr>
          <w:p>
            <w:pPr>
              <w:spacing w:after="0" w:line="252" w:lineRule="auto"/>
            </w:pPr>
            <w:r>
              <w:rPr>
                <w:rFonts w:ascii="Calibri" w:hAnsi="Calibri"/>
                <w:b w:val="0"/>
                <w:color w:val="1F2937"/>
                <w:sz w:val="17"/>
              </w:rPr>
              <w:t>Inventarios múltiples, recomendación de pedidos y detección de artículos sin uso.</w:t>
            </w:r>
          </w:p>
        </w:tc>
        <w:tc>
          <w:tcPr>
            <w:tcW w:type="dxa" w:w="4010"/>
            <w:vAlign w:val="center"/>
            <w:tcMar>
              <w:top w:w="100" w:type="dxa"/>
              <w:start w:w="120" w:type="dxa"/>
              <w:bottom w:w="100" w:type="dxa"/>
              <w:end w:w="120" w:type="dxa"/>
            </w:tcMar>
          </w:tcPr>
          <w:p>
            <w:pPr>
              <w:spacing w:after="0" w:line="252" w:lineRule="auto"/>
            </w:pPr>
            <w:r>
              <w:rPr>
                <w:rFonts w:ascii="Calibri" w:hAnsi="Calibri"/>
                <w:b w:val="0"/>
                <w:color w:val="1F2937"/>
                <w:sz w:val="17"/>
              </w:rPr>
              <w:t>Compras explicables e inventario inmovilizado, sin integración comercial.</w:t>
            </w:r>
          </w:p>
        </w:tc>
      </w:tr>
      <w:tr>
        <w:tc>
          <w:tcPr>
            <w:tcW w:type="dxa" w:w="1350"/>
            <w:vAlign w:val="center"/>
            <w:tcMar>
              <w:top w:w="100" w:type="dxa"/>
              <w:start w:w="120" w:type="dxa"/>
              <w:bottom w:w="100" w:type="dxa"/>
              <w:end w:w="120" w:type="dxa"/>
            </w:tcMar>
          </w:tcPr>
          <w:p>
            <w:pPr>
              <w:spacing w:after="0" w:line="252" w:lineRule="auto"/>
            </w:pPr>
            <w:r>
              <w:rPr>
                <w:rFonts w:ascii="Calibri" w:hAnsi="Calibri"/>
                <w:b w:val="0"/>
                <w:color w:val="1F2937"/>
                <w:sz w:val="17"/>
              </w:rPr>
              <w:t>PrimeRx</w:t>
            </w:r>
          </w:p>
        </w:tc>
        <w:tc>
          <w:tcPr>
            <w:tcW w:type="dxa" w:w="4000"/>
            <w:vAlign w:val="center"/>
            <w:tcMar>
              <w:top w:w="100" w:type="dxa"/>
              <w:start w:w="120" w:type="dxa"/>
              <w:bottom w:w="100" w:type="dxa"/>
              <w:end w:w="120" w:type="dxa"/>
            </w:tcMar>
          </w:tcPr>
          <w:p>
            <w:pPr>
              <w:spacing w:after="0" w:line="252" w:lineRule="auto"/>
            </w:pPr>
            <w:r>
              <w:rPr>
                <w:rFonts w:ascii="Calibri" w:hAnsi="Calibri"/>
                <w:b w:val="0"/>
                <w:color w:val="1F2937"/>
                <w:sz w:val="17"/>
              </w:rPr>
              <w:t>Inventario en tiempo real, reposición, costos y fechas de expiración.</w:t>
            </w:r>
          </w:p>
        </w:tc>
        <w:tc>
          <w:tcPr>
            <w:tcW w:type="dxa" w:w="4010"/>
            <w:vAlign w:val="center"/>
            <w:tcMar>
              <w:top w:w="100" w:type="dxa"/>
              <w:start w:w="120" w:type="dxa"/>
              <w:bottom w:w="100" w:type="dxa"/>
              <w:end w:w="120" w:type="dxa"/>
            </w:tcMar>
          </w:tcPr>
          <w:p>
            <w:pPr>
              <w:spacing w:after="0" w:line="252" w:lineRule="auto"/>
            </w:pPr>
            <w:r>
              <w:rPr>
                <w:rFonts w:ascii="Calibri" w:hAnsi="Calibri"/>
                <w:b w:val="0"/>
                <w:color w:val="1F2937"/>
                <w:sz w:val="17"/>
              </w:rPr>
              <w:t>Demanda de 30 días, stock útil, vencimientos y último costo registrado.</w:t>
            </w:r>
          </w:p>
        </w:tc>
      </w:tr>
      <w:tr>
        <w:tc>
          <w:tcPr>
            <w:tcW w:type="dxa" w:w="1350"/>
            <w:vAlign w:val="center"/>
            <w:tcMar>
              <w:top w:w="100" w:type="dxa"/>
              <w:start w:w="120" w:type="dxa"/>
              <w:bottom w:w="100" w:type="dxa"/>
              <w:end w:w="120" w:type="dxa"/>
            </w:tcMar>
          </w:tcPr>
          <w:p>
            <w:pPr>
              <w:spacing w:after="0" w:line="252" w:lineRule="auto"/>
            </w:pPr>
            <w:r>
              <w:rPr>
                <w:rFonts w:ascii="Calibri" w:hAnsi="Calibri"/>
                <w:b w:val="0"/>
                <w:color w:val="1F2937"/>
                <w:sz w:val="17"/>
              </w:rPr>
              <w:t>BestRx</w:t>
            </w:r>
          </w:p>
        </w:tc>
        <w:tc>
          <w:tcPr>
            <w:tcW w:type="dxa" w:w="4000"/>
            <w:vAlign w:val="center"/>
            <w:tcMar>
              <w:top w:w="100" w:type="dxa"/>
              <w:start w:w="120" w:type="dxa"/>
              <w:bottom w:w="100" w:type="dxa"/>
              <w:end w:w="120" w:type="dxa"/>
            </w:tcMar>
          </w:tcPr>
          <w:p>
            <w:pPr>
              <w:spacing w:after="0" w:line="252" w:lineRule="auto"/>
            </w:pPr>
            <w:r>
              <w:rPr>
                <w:rFonts w:ascii="Calibri" w:hAnsi="Calibri"/>
                <w:b w:val="0"/>
                <w:color w:val="1F2937"/>
                <w:sz w:val="17"/>
              </w:rPr>
              <w:t>Recetas, inventario, mensajería, reportes, permisos y auditoría integrados.</w:t>
            </w:r>
          </w:p>
        </w:tc>
        <w:tc>
          <w:tcPr>
            <w:tcW w:type="dxa" w:w="4010"/>
            <w:vAlign w:val="center"/>
            <w:tcMar>
              <w:top w:w="100" w:type="dxa"/>
              <w:start w:w="120" w:type="dxa"/>
              <w:bottom w:w="100" w:type="dxa"/>
              <w:end w:w="120" w:type="dxa"/>
            </w:tcMar>
          </w:tcPr>
          <w:p>
            <w:pPr>
              <w:spacing w:after="0" w:line="252" w:lineRule="auto"/>
            </w:pPr>
            <w:r>
              <w:rPr>
                <w:rFonts w:ascii="Calibri" w:hAnsi="Calibri"/>
                <w:b w:val="0"/>
                <w:color w:val="1F2937"/>
                <w:sz w:val="17"/>
              </w:rPr>
              <w:t>Flujo unificado con RBAC y auditoría; mensajería queda sólo diseñada.</w:t>
            </w:r>
          </w:p>
        </w:tc>
      </w:tr>
      <w:tr>
        <w:tc>
          <w:tcPr>
            <w:tcW w:type="dxa" w:w="1350"/>
            <w:vAlign w:val="center"/>
            <w:tcMar>
              <w:top w:w="100" w:type="dxa"/>
              <w:start w:w="120" w:type="dxa"/>
              <w:bottom w:w="100" w:type="dxa"/>
              <w:end w:w="120" w:type="dxa"/>
            </w:tcMar>
          </w:tcPr>
          <w:p>
            <w:pPr>
              <w:spacing w:after="0" w:line="252" w:lineRule="auto"/>
            </w:pPr>
            <w:r>
              <w:rPr>
                <w:rFonts w:ascii="Calibri" w:hAnsi="Calibri"/>
                <w:b w:val="0"/>
                <w:color w:val="1F2937"/>
                <w:sz w:val="17"/>
              </w:rPr>
              <w:t>Odoo</w:t>
            </w:r>
          </w:p>
        </w:tc>
        <w:tc>
          <w:tcPr>
            <w:tcW w:type="dxa" w:w="4000"/>
            <w:vAlign w:val="center"/>
            <w:tcMar>
              <w:top w:w="100" w:type="dxa"/>
              <w:start w:w="120" w:type="dxa"/>
              <w:bottom w:w="100" w:type="dxa"/>
              <w:end w:w="120" w:type="dxa"/>
            </w:tcMar>
          </w:tcPr>
          <w:p>
            <w:pPr>
              <w:spacing w:after="0" w:line="252" w:lineRule="auto"/>
            </w:pPr>
            <w:r>
              <w:rPr>
                <w:rFonts w:ascii="Calibri" w:hAnsi="Calibri"/>
                <w:b w:val="0"/>
                <w:color w:val="1F2937"/>
                <w:sz w:val="17"/>
              </w:rPr>
              <w:t>Trazabilidad por lote, fechas de expiración y estrategia FEFO que divide una salida entre lotes.</w:t>
            </w:r>
          </w:p>
        </w:tc>
        <w:tc>
          <w:tcPr>
            <w:tcW w:type="dxa" w:w="4010"/>
            <w:vAlign w:val="center"/>
            <w:tcMar>
              <w:top w:w="100" w:type="dxa"/>
              <w:start w:w="120" w:type="dxa"/>
              <w:bottom w:w="100" w:type="dxa"/>
              <w:end w:w="120" w:type="dxa"/>
            </w:tcMar>
          </w:tcPr>
          <w:p>
            <w:pPr>
              <w:spacing w:after="0" w:line="252" w:lineRule="auto"/>
            </w:pPr>
            <w:r>
              <w:rPr>
                <w:rFonts w:ascii="Calibri" w:hAnsi="Calibri"/>
                <w:b w:val="0"/>
                <w:color w:val="1F2937"/>
                <w:sz w:val="17"/>
              </w:rPr>
              <w:t>Asignación FEFO reutilizable con reparto y selección excepcional auditada.</w:t>
            </w:r>
          </w:p>
        </w:tc>
      </w:tr>
      <w:tr>
        <w:tc>
          <w:tcPr>
            <w:tcW w:type="dxa" w:w="1350"/>
            <w:vAlign w:val="center"/>
            <w:tcMar>
              <w:top w:w="100" w:type="dxa"/>
              <w:start w:w="120" w:type="dxa"/>
              <w:bottom w:w="100" w:type="dxa"/>
              <w:end w:w="120" w:type="dxa"/>
            </w:tcMar>
          </w:tcPr>
          <w:p>
            <w:pPr>
              <w:spacing w:after="0" w:line="252" w:lineRule="auto"/>
            </w:pPr>
            <w:r>
              <w:rPr>
                <w:rFonts w:ascii="Calibri" w:hAnsi="Calibri"/>
                <w:b w:val="0"/>
                <w:color w:val="1F2937"/>
                <w:sz w:val="17"/>
              </w:rPr>
              <w:t>Portales clínicos</w:t>
            </w:r>
          </w:p>
        </w:tc>
        <w:tc>
          <w:tcPr>
            <w:tcW w:type="dxa" w:w="4000"/>
            <w:vAlign w:val="center"/>
            <w:tcMar>
              <w:top w:w="100" w:type="dxa"/>
              <w:start w:w="120" w:type="dxa"/>
              <w:bottom w:w="100" w:type="dxa"/>
              <w:end w:w="120" w:type="dxa"/>
            </w:tcMar>
          </w:tcPr>
          <w:p>
            <w:pPr>
              <w:spacing w:after="0" w:line="252" w:lineRule="auto"/>
            </w:pPr>
            <w:r>
              <w:rPr>
                <w:rFonts w:ascii="Calibri" w:hAnsi="Calibri"/>
                <w:b w:val="0"/>
                <w:color w:val="1F2937"/>
                <w:sz w:val="17"/>
              </w:rPr>
              <w:t>Acceso del paciente limitado por identidad, alcance y vigencia.</w:t>
            </w:r>
          </w:p>
        </w:tc>
        <w:tc>
          <w:tcPr>
            <w:tcW w:type="dxa" w:w="4010"/>
            <w:vAlign w:val="center"/>
            <w:tcMar>
              <w:top w:w="100" w:type="dxa"/>
              <w:start w:w="120" w:type="dxa"/>
              <w:bottom w:w="100" w:type="dxa"/>
              <w:end w:w="120" w:type="dxa"/>
            </w:tcMar>
          </w:tcPr>
          <w:p>
            <w:pPr>
              <w:spacing w:after="0" w:line="252" w:lineRule="auto"/>
            </w:pPr>
            <w:r>
              <w:rPr>
                <w:rFonts w:ascii="Calibri" w:hAnsi="Calibri"/>
                <w:b w:val="0"/>
                <w:color w:val="1F2937"/>
                <w:sz w:val="17"/>
              </w:rPr>
              <w:t>Resumen de citas, recetas y resultados autorizados con token aleatorio temporal.</w:t>
            </w:r>
          </w:p>
        </w:tc>
      </w:tr>
    </w:tbl>
    <w:p>
      <w:pPr>
        <w:spacing w:after="40"/>
      </w:pPr>
    </w:p>
    <w:p>
      <w:pPr>
        <w:spacing w:after="80"/>
      </w:pPr>
      <w:r>
        <w:rPr>
          <w:rFonts w:ascii="Calibri" w:hAnsi="Calibri"/>
          <w:b/>
          <w:color w:val="5B6573"/>
          <w:sz w:val="18"/>
        </w:rPr>
        <w:t xml:space="preserve">PioneerRx: </w:t>
      </w:r>
      <w:r>
        <w:rPr>
          <w:rFonts w:ascii="Calibri" w:hAnsi="Calibri"/>
          <w:b w:val="0"/>
          <w:color w:val="2E74B5"/>
          <w:sz w:val="18"/>
        </w:rPr>
        <w:t>https://www.pioneerrx.com/pharmacy-software</w:t>
      </w:r>
    </w:p>
    <w:p>
      <w:pPr>
        <w:spacing w:after="80"/>
      </w:pPr>
      <w:r>
        <w:rPr>
          <w:rFonts w:ascii="Calibri" w:hAnsi="Calibri"/>
          <w:b/>
          <w:color w:val="5B6573"/>
          <w:sz w:val="18"/>
        </w:rPr>
        <w:t xml:space="preserve">PrimeRx: </w:t>
      </w:r>
      <w:r>
        <w:rPr>
          <w:rFonts w:ascii="Calibri" w:hAnsi="Calibri"/>
          <w:b w:val="0"/>
          <w:color w:val="2E74B5"/>
          <w:sz w:val="18"/>
        </w:rPr>
        <w:t>https://www.primerx.io/pharmacy-inventory-management/</w:t>
      </w:r>
    </w:p>
    <w:p>
      <w:pPr>
        <w:spacing w:after="80"/>
      </w:pPr>
      <w:r>
        <w:rPr>
          <w:rFonts w:ascii="Calibri" w:hAnsi="Calibri"/>
          <w:b/>
          <w:color w:val="5B6573"/>
          <w:sz w:val="18"/>
        </w:rPr>
        <w:t xml:space="preserve">BestRx: </w:t>
      </w:r>
      <w:r>
        <w:rPr>
          <w:rFonts w:ascii="Calibri" w:hAnsi="Calibri"/>
          <w:b w:val="0"/>
          <w:color w:val="2E74B5"/>
          <w:sz w:val="18"/>
        </w:rPr>
        <w:t>https://www.bestrx.com/pharmacy-software</w:t>
      </w:r>
    </w:p>
    <w:p>
      <w:pPr>
        <w:spacing w:after="80"/>
      </w:pPr>
      <w:r>
        <w:rPr>
          <w:rFonts w:ascii="Calibri" w:hAnsi="Calibri"/>
          <w:b/>
          <w:color w:val="5B6573"/>
          <w:sz w:val="18"/>
        </w:rPr>
        <w:t xml:space="preserve">Odoo FEFO: </w:t>
      </w:r>
      <w:r>
        <w:rPr>
          <w:rFonts w:ascii="Calibri" w:hAnsi="Calibri"/>
          <w:b w:val="0"/>
          <w:color w:val="2E74B5"/>
          <w:sz w:val="18"/>
        </w:rPr>
        <w:t>https://www.odoo.com/documentation/19.0/applications/inventory_and_mrp/inventory/shipping_receiving/removal_strategies/fefo.html</w:t>
      </w:r>
    </w:p>
    <w:p>
      <w:pPr>
        <w:pStyle w:val="Heading1"/>
        <w:keepNext/>
      </w:pPr>
      <w:r>
        <w:t>4. Requisitos implementados</w:t>
      </w:r>
    </w:p>
    <w:p>
      <w:pPr>
        <w:pStyle w:val="Heading2"/>
        <w:keepNext/>
      </w:pPr>
      <w:r>
        <w:t>4.1 Funcionales</w:t>
      </w:r>
    </w:p>
    <w:p>
      <w:pPr>
        <w:pStyle w:val="ListBullet"/>
        <w:spacing w:after="120" w:line="280" w:lineRule="auto"/>
        <w:ind w:left="720" w:hanging="360"/>
      </w:pPr>
      <w:r>
        <w:t>RF-01: seleccionar automáticamente el lote vigente con vencimiento más cercano y dividir la cantidad entre lotes cuando sea necesario.</w:t>
      </w:r>
    </w:p>
    <w:p>
      <w:pPr>
        <w:pStyle w:val="ListBullet"/>
        <w:spacing w:after="120" w:line="280" w:lineRule="auto"/>
        <w:ind w:left="720" w:hanging="360"/>
      </w:pPr>
      <w:r>
        <w:t>RF-02: permitir sólo a ADMIN cambiar el primer lote, exigir motivo y registrar CAMBIO_LOTE_FEFO.</w:t>
      </w:r>
    </w:p>
    <w:p>
      <w:pPr>
        <w:pStyle w:val="ListBullet"/>
        <w:spacing w:after="120" w:line="280" w:lineRule="auto"/>
        <w:ind w:left="720" w:hanging="360"/>
      </w:pPr>
      <w:r>
        <w:t>RF-03: mostrar en el dashboard recordatorios de citas, recetas, vencimientos y stock según el rol.</w:t>
      </w:r>
    </w:p>
    <w:p>
      <w:pPr>
        <w:pStyle w:val="ListBullet"/>
        <w:spacing w:after="120" w:line="280" w:lineRule="auto"/>
        <w:ind w:left="720" w:hanging="360"/>
      </w:pPr>
      <w:r>
        <w:t>RF-04: abrir y cerrar caja por usuario; registrar ingreso, retiro y gasto; conciliar efectivo y resolver diferencias por ADMIN.</w:t>
      </w:r>
    </w:p>
    <w:p>
      <w:pPr>
        <w:pStyle w:val="ListBullet"/>
        <w:spacing w:after="120" w:line="280" w:lineRule="auto"/>
        <w:ind w:left="720" w:hanging="360"/>
      </w:pPr>
      <w:r>
        <w:t>RF-05: operar recetas en BORRADOR, EMITIDA, EN_PREPARACION, LISTA, USADA_PARCIALMENTE, USADA_COMPLETAMENTE, ANULADA y VENCIDA.</w:t>
      </w:r>
    </w:p>
    <w:p>
      <w:pPr>
        <w:pStyle w:val="ListBullet"/>
        <w:spacing w:after="120" w:line="280" w:lineRule="auto"/>
        <w:ind w:left="720" w:hanging="360"/>
      </w:pPr>
      <w:r>
        <w:t>RF-06: impedir cantidades superiores al saldo recetado, asociar Venta con Receta y exigir revisión de alergias.</w:t>
      </w:r>
    </w:p>
    <w:p>
      <w:pPr>
        <w:pStyle w:val="ListBullet"/>
        <w:spacing w:after="120" w:line="280" w:lineRule="auto"/>
        <w:ind w:left="720" w:hanging="360"/>
      </w:pPr>
      <w:r>
        <w:t>RF-07: generar un resumen compartible de 24 horas sin exponer otros pacientes ni almacenar el token en claro.</w:t>
      </w:r>
    </w:p>
    <w:p>
      <w:pPr>
        <w:pStyle w:val="ListBullet"/>
        <w:spacing w:after="120" w:line="280" w:lineRule="auto"/>
        <w:ind w:left="720" w:hanging="360"/>
      </w:pPr>
      <w:r>
        <w:t>RF-08: recomendar compras con demanda histórica, mínimo, stock actual, vencimiento y costos de proveedores.</w:t>
      </w:r>
    </w:p>
    <w:p>
      <w:pPr>
        <w:pStyle w:val="ListBullet"/>
        <w:spacing w:after="120" w:line="280" w:lineRule="auto"/>
        <w:ind w:left="720" w:hanging="360"/>
      </w:pPr>
      <w:r>
        <w:t>RF-09: exponer KPIs gerenciales agregados con rango de fecha y listas limitadas.</w:t>
      </w:r>
    </w:p>
    <w:p>
      <w:pPr>
        <w:pStyle w:val="ListBullet"/>
        <w:spacing w:after="120" w:line="280" w:lineRule="auto"/>
        <w:ind w:left="720" w:hanging="360"/>
      </w:pPr>
      <w:r>
        <w:t>RF-10: responder consultas operativas de IA con datos reales, permisos por rol, auditoría y respaldo local cuando el proveedor externo no esté disponible.</w:t>
      </w:r>
    </w:p>
    <w:p>
      <w:pPr>
        <w:pStyle w:val="ListBullet"/>
        <w:spacing w:after="120" w:line="280" w:lineRule="auto"/>
        <w:ind w:left="720" w:hanging="360"/>
      </w:pPr>
      <w:r>
        <w:t>RF-11: cargar el resumen de reportes en una solicitud, comparar con el período anterior y obtener los detalles bajo demanda sin degradar las exportaciones.</w:t>
      </w:r>
    </w:p>
    <w:p>
      <w:pPr>
        <w:pStyle w:val="Heading2"/>
        <w:keepNext/>
      </w:pPr>
      <w:r>
        <w:t>4.2 No funcionales</w:t>
      </w:r>
    </w:p>
    <w:p>
      <w:pPr>
        <w:pStyle w:val="ListBullet"/>
        <w:spacing w:after="120" w:line="280" w:lineRule="auto"/>
        <w:ind w:left="720" w:hanging="360"/>
      </w:pPr>
      <w:r>
        <w:t>RNF-01 Seguridad: autenticación existente, RBAC en servidor, tokens SHA-256 y datos clínicos mínimos.</w:t>
      </w:r>
    </w:p>
    <w:p>
      <w:pPr>
        <w:pStyle w:val="ListBullet"/>
        <w:spacing w:after="120" w:line="280" w:lineRule="auto"/>
        <w:ind w:left="720" w:hanging="360"/>
      </w:pPr>
      <w:r>
        <w:t>RNF-02 Integridad: transacciones Prisma para venta-receta-inventario, caja y auditoría relacionada.</w:t>
      </w:r>
    </w:p>
    <w:p>
      <w:pPr>
        <w:pStyle w:val="ListBullet"/>
        <w:spacing w:after="120" w:line="280" w:lineRule="auto"/>
        <w:ind w:left="720" w:hanging="360"/>
      </w:pPr>
      <w:r>
        <w:t>RNF-03 Concurrencia: bloqueo FOR UPDATE existente en ventas y restricción parcial única para una caja abierta por usuario.</w:t>
      </w:r>
    </w:p>
    <w:p>
      <w:pPr>
        <w:pStyle w:val="ListBullet"/>
        <w:spacing w:after="120" w:line="280" w:lineRule="auto"/>
        <w:ind w:left="720" w:hanging="360"/>
      </w:pPr>
      <w:r>
        <w:t>RNF-04 Rendimiento: Promise.all, groupBy, aggregate, SQL agregado, take y paginación; sin polling periódico.</w:t>
      </w:r>
    </w:p>
    <w:p>
      <w:pPr>
        <w:pStyle w:val="ListBullet"/>
        <w:spacing w:after="120" w:line="280" w:lineRule="auto"/>
        <w:ind w:left="720" w:hanging="360"/>
      </w:pPr>
      <w:r>
        <w:t>RNF-05 Despliegue: sin Redis, colas, WebSockets, cron externo, almacenamiento nuevo en disco ni APIs pagadas.</w:t>
      </w:r>
    </w:p>
    <w:p>
      <w:pPr>
        <w:pStyle w:val="Heading1"/>
        <w:keepNext/>
      </w:pPr>
      <w:r>
        <w:t>5. Historias de usuario y criterios de aceptación</w:t>
      </w:r>
    </w:p>
    <w:tbl>
      <w:tblPr>
        <w:tblStyle w:val="TableGrid"/>
        <w:jc w:val="left"/>
        <w:tblLook w:firstColumn="1" w:firstRow="1" w:lastColumn="0" w:lastRow="0" w:noHBand="0" w:noVBand="1" w:val="04A0"/>
        <w:tblW w:w="9360" w:type="dxa"/>
        <w:tblInd w:w="120" w:type="dxa"/>
        <w:tblLayout w:type="fixed"/>
      </w:tblPr>
      <w:tblGrid>
        <w:gridCol w:w="1250"/>
        <w:gridCol w:w="3150"/>
        <w:gridCol w:w="4960"/>
      </w:tblGrid>
      <w:tr>
        <w:trPr>
          <w:tblHeader w:val="true"/>
        </w:trPr>
        <w:tc>
          <w:tcPr>
            <w:tcW w:type="dxa" w:w="1250"/>
            <w:shd w:fill="F2F4F7"/>
            <w:vAlign w:val="center"/>
            <w:tcMar>
              <w:top w:w="100" w:type="dxa"/>
              <w:start w:w="120" w:type="dxa"/>
              <w:bottom w:w="100" w:type="dxa"/>
              <w:end w:w="120" w:type="dxa"/>
            </w:tcMar>
          </w:tcPr>
          <w:p>
            <w:r>
              <w:rPr>
                <w:rFonts w:ascii="Calibri" w:hAnsi="Calibri"/>
                <w:b/>
                <w:color w:val="1F4D78"/>
                <w:sz w:val="18"/>
              </w:rPr>
              <w:t>Historia</w:t>
            </w:r>
          </w:p>
        </w:tc>
        <w:tc>
          <w:tcPr>
            <w:tcW w:type="dxa" w:w="3150"/>
            <w:shd w:fill="F2F4F7"/>
            <w:vAlign w:val="center"/>
            <w:tcMar>
              <w:top w:w="100" w:type="dxa"/>
              <w:start w:w="120" w:type="dxa"/>
              <w:bottom w:w="100" w:type="dxa"/>
              <w:end w:w="120" w:type="dxa"/>
            </w:tcMar>
          </w:tcPr>
          <w:p>
            <w:r>
              <w:rPr>
                <w:rFonts w:ascii="Calibri" w:hAnsi="Calibri"/>
                <w:b/>
                <w:color w:val="1F4D78"/>
                <w:sz w:val="18"/>
              </w:rPr>
              <w:t>Necesidad</w:t>
            </w:r>
          </w:p>
        </w:tc>
        <w:tc>
          <w:tcPr>
            <w:tcW w:type="dxa" w:w="4960"/>
            <w:shd w:fill="F2F4F7"/>
            <w:vAlign w:val="center"/>
            <w:tcMar>
              <w:top w:w="100" w:type="dxa"/>
              <w:start w:w="120" w:type="dxa"/>
              <w:bottom w:w="100" w:type="dxa"/>
              <w:end w:w="120" w:type="dxa"/>
            </w:tcMar>
          </w:tcPr>
          <w:p>
            <w:r>
              <w:rPr>
                <w:rFonts w:ascii="Calibri" w:hAnsi="Calibri"/>
                <w:b/>
                <w:color w:val="1F4D78"/>
                <w:sz w:val="18"/>
              </w:rPr>
              <w:t>Criterios de aceptación</w:t>
            </w:r>
          </w:p>
        </w:tc>
      </w:tr>
      <w:tr>
        <w:tc>
          <w:tcPr>
            <w:tcW w:type="dxa" w:w="1250"/>
            <w:vAlign w:val="center"/>
            <w:tcMar>
              <w:top w:w="100" w:type="dxa"/>
              <w:start w:w="120" w:type="dxa"/>
              <w:bottom w:w="100" w:type="dxa"/>
              <w:end w:w="120" w:type="dxa"/>
            </w:tcMar>
          </w:tcPr>
          <w:p>
            <w:pPr>
              <w:spacing w:after="0" w:line="252" w:lineRule="auto"/>
            </w:pPr>
            <w:r>
              <w:rPr>
                <w:rFonts w:ascii="Calibri" w:hAnsi="Calibri"/>
                <w:b w:val="0"/>
                <w:color w:val="1F2937"/>
                <w:sz w:val="17"/>
              </w:rPr>
              <w:t>HU-01 FEFO</w:t>
            </w:r>
          </w:p>
        </w:tc>
        <w:tc>
          <w:tcPr>
            <w:tcW w:type="dxa" w:w="3150"/>
            <w:vAlign w:val="center"/>
            <w:tcMar>
              <w:top w:w="100" w:type="dxa"/>
              <w:start w:w="120" w:type="dxa"/>
              <w:bottom w:w="100" w:type="dxa"/>
              <w:end w:w="120" w:type="dxa"/>
            </w:tcMar>
          </w:tcPr>
          <w:p>
            <w:pPr>
              <w:spacing w:after="0" w:line="252" w:lineRule="auto"/>
            </w:pPr>
            <w:r>
              <w:rPr>
                <w:rFonts w:ascii="Calibri" w:hAnsi="Calibri"/>
                <w:b w:val="0"/>
                <w:color w:val="1F2937"/>
                <w:sz w:val="17"/>
              </w:rPr>
              <w:t>Como vendedor quiero que el sistema sugiera el lote más próximo a vencer para dispensar de forma segura.</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Excluye vencidos y stock cero; reparte entre lotes; conserva DetalleVentaLote; sólo ADMIN cambia lote con motivo auditado.</w:t>
            </w:r>
          </w:p>
        </w:tc>
      </w:tr>
      <w:tr>
        <w:tc>
          <w:tcPr>
            <w:tcW w:type="dxa" w:w="1250"/>
            <w:vAlign w:val="center"/>
            <w:tcMar>
              <w:top w:w="100" w:type="dxa"/>
              <w:start w:w="120" w:type="dxa"/>
              <w:bottom w:w="100" w:type="dxa"/>
              <w:end w:w="120" w:type="dxa"/>
            </w:tcMar>
          </w:tcPr>
          <w:p>
            <w:pPr>
              <w:spacing w:after="0" w:line="252" w:lineRule="auto"/>
            </w:pPr>
            <w:r>
              <w:rPr>
                <w:rFonts w:ascii="Calibri" w:hAnsi="Calibri"/>
                <w:b w:val="0"/>
                <w:color w:val="1F2937"/>
                <w:sz w:val="17"/>
              </w:rPr>
              <w:t>HU-02 Recordatorios</w:t>
            </w:r>
          </w:p>
        </w:tc>
        <w:tc>
          <w:tcPr>
            <w:tcW w:type="dxa" w:w="3150"/>
            <w:vAlign w:val="center"/>
            <w:tcMar>
              <w:top w:w="100" w:type="dxa"/>
              <w:start w:w="120" w:type="dxa"/>
              <w:bottom w:w="100" w:type="dxa"/>
              <w:end w:w="120" w:type="dxa"/>
            </w:tcMar>
          </w:tcPr>
          <w:p>
            <w:pPr>
              <w:spacing w:after="0" w:line="252" w:lineRule="auto"/>
            </w:pPr>
            <w:r>
              <w:rPr>
                <w:rFonts w:ascii="Calibri" w:hAnsi="Calibri"/>
                <w:b w:val="0"/>
                <w:color w:val="1F2937"/>
                <w:sz w:val="17"/>
              </w:rPr>
              <w:t>Como usuario quiero ver pendientes relevantes a mi rol al abrir el dashboard.</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DOCTOR ve citas/recetas; EMPLEADO ve stock/vencimientos; ADMIN ve ambos; no hay mensajería externa activa.</w:t>
            </w:r>
          </w:p>
        </w:tc>
      </w:tr>
      <w:tr>
        <w:tc>
          <w:tcPr>
            <w:tcW w:type="dxa" w:w="1250"/>
            <w:vAlign w:val="center"/>
            <w:tcMar>
              <w:top w:w="100" w:type="dxa"/>
              <w:start w:w="120" w:type="dxa"/>
              <w:bottom w:w="100" w:type="dxa"/>
              <w:end w:w="120" w:type="dxa"/>
            </w:tcMar>
          </w:tcPr>
          <w:p>
            <w:pPr>
              <w:spacing w:after="0" w:line="252" w:lineRule="auto"/>
            </w:pPr>
            <w:r>
              <w:rPr>
                <w:rFonts w:ascii="Calibri" w:hAnsi="Calibri"/>
                <w:b w:val="0"/>
                <w:color w:val="1F2937"/>
                <w:sz w:val="17"/>
              </w:rPr>
              <w:t>HU-03 Caja</w:t>
            </w:r>
          </w:p>
        </w:tc>
        <w:tc>
          <w:tcPr>
            <w:tcW w:type="dxa" w:w="3150"/>
            <w:vAlign w:val="center"/>
            <w:tcMar>
              <w:top w:w="100" w:type="dxa"/>
              <w:start w:w="120" w:type="dxa"/>
              <w:bottom w:w="100" w:type="dxa"/>
              <w:end w:w="120" w:type="dxa"/>
            </w:tcMar>
          </w:tcPr>
          <w:p>
            <w:pPr>
              <w:spacing w:after="0" w:line="252" w:lineRule="auto"/>
            </w:pPr>
            <w:r>
              <w:rPr>
                <w:rFonts w:ascii="Calibri" w:hAnsi="Calibri"/>
                <w:b w:val="0"/>
                <w:color w:val="1F2937"/>
                <w:sz w:val="17"/>
              </w:rPr>
              <w:t>Como cajero quiero conciliar mi turno y conocer cualquier diferencia.</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Una caja abierta por usuario; movimientos positivos; efectivo esperado correcto; sólo ADMIN resuelve diferencias.</w:t>
            </w:r>
          </w:p>
        </w:tc>
      </w:tr>
      <w:tr>
        <w:tc>
          <w:tcPr>
            <w:tcW w:type="dxa" w:w="1250"/>
            <w:vAlign w:val="center"/>
            <w:tcMar>
              <w:top w:w="100" w:type="dxa"/>
              <w:start w:w="120" w:type="dxa"/>
              <w:bottom w:w="100" w:type="dxa"/>
              <w:end w:w="120" w:type="dxa"/>
            </w:tcMar>
          </w:tcPr>
          <w:p>
            <w:pPr>
              <w:spacing w:after="0" w:line="252" w:lineRule="auto"/>
            </w:pPr>
            <w:r>
              <w:rPr>
                <w:rFonts w:ascii="Calibri" w:hAnsi="Calibri"/>
                <w:b w:val="0"/>
                <w:color w:val="1F2937"/>
                <w:sz w:val="17"/>
              </w:rPr>
              <w:t>HU-04 Receta</w:t>
            </w:r>
          </w:p>
        </w:tc>
        <w:tc>
          <w:tcPr>
            <w:tcW w:type="dxa" w:w="3150"/>
            <w:vAlign w:val="center"/>
            <w:tcMar>
              <w:top w:w="100" w:type="dxa"/>
              <w:start w:w="120" w:type="dxa"/>
              <w:bottom w:w="100" w:type="dxa"/>
              <w:end w:w="120" w:type="dxa"/>
            </w:tcMar>
          </w:tcPr>
          <w:p>
            <w:pPr>
              <w:spacing w:after="0" w:line="252" w:lineRule="auto"/>
            </w:pPr>
            <w:r>
              <w:rPr>
                <w:rFonts w:ascii="Calibri" w:hAnsi="Calibri"/>
                <w:b w:val="0"/>
                <w:color w:val="1F2937"/>
                <w:sz w:val="17"/>
              </w:rPr>
              <w:t>Como paciente quiero recibir parcialmente una receta sin perder el saldo.</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No supera pendiente; actualiza estado; venta enlazada; receta vencida o anulada no se surte; alergias requieren confirmación.</w:t>
            </w:r>
          </w:p>
        </w:tc>
      </w:tr>
      <w:tr>
        <w:tc>
          <w:tcPr>
            <w:tcW w:type="dxa" w:w="1250"/>
            <w:vAlign w:val="center"/>
            <w:tcMar>
              <w:top w:w="100" w:type="dxa"/>
              <w:start w:w="120" w:type="dxa"/>
              <w:bottom w:w="100" w:type="dxa"/>
              <w:end w:w="120" w:type="dxa"/>
            </w:tcMar>
          </w:tcPr>
          <w:p>
            <w:pPr>
              <w:spacing w:after="0" w:line="252" w:lineRule="auto"/>
            </w:pPr>
            <w:r>
              <w:rPr>
                <w:rFonts w:ascii="Calibri" w:hAnsi="Calibri"/>
                <w:b w:val="0"/>
                <w:color w:val="1F2937"/>
                <w:sz w:val="17"/>
              </w:rPr>
              <w:t>HU-05 Resumen</w:t>
            </w:r>
          </w:p>
        </w:tc>
        <w:tc>
          <w:tcPr>
            <w:tcW w:type="dxa" w:w="3150"/>
            <w:vAlign w:val="center"/>
            <w:tcMar>
              <w:top w:w="100" w:type="dxa"/>
              <w:start w:w="120" w:type="dxa"/>
              <w:bottom w:w="100" w:type="dxa"/>
              <w:end w:w="120" w:type="dxa"/>
            </w:tcMar>
          </w:tcPr>
          <w:p>
            <w:pPr>
              <w:spacing w:after="0" w:line="252" w:lineRule="auto"/>
            </w:pPr>
            <w:r>
              <w:rPr>
                <w:rFonts w:ascii="Calibri" w:hAnsi="Calibri"/>
                <w:b w:val="0"/>
                <w:color w:val="1F2937"/>
                <w:sz w:val="17"/>
              </w:rPr>
              <w:t>Como paciente quiero consultar un resumen limitado mediante un enlace temporal.</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Token aleatorio de 256 bits, hash persistido, expiración y aislamiento por idCliente; sólo resultados autorizados.</w:t>
            </w:r>
          </w:p>
        </w:tc>
      </w:tr>
      <w:tr>
        <w:tc>
          <w:tcPr>
            <w:tcW w:type="dxa" w:w="1250"/>
            <w:vAlign w:val="center"/>
            <w:tcMar>
              <w:top w:w="100" w:type="dxa"/>
              <w:start w:w="120" w:type="dxa"/>
              <w:bottom w:w="100" w:type="dxa"/>
              <w:end w:w="120" w:type="dxa"/>
            </w:tcMar>
          </w:tcPr>
          <w:p>
            <w:pPr>
              <w:spacing w:after="0" w:line="252" w:lineRule="auto"/>
            </w:pPr>
            <w:r>
              <w:rPr>
                <w:rFonts w:ascii="Calibri" w:hAnsi="Calibri"/>
                <w:b w:val="0"/>
                <w:color w:val="1F2937"/>
                <w:sz w:val="17"/>
              </w:rPr>
              <w:t>HU-06 Compras</w:t>
            </w:r>
          </w:p>
        </w:tc>
        <w:tc>
          <w:tcPr>
            <w:tcW w:type="dxa" w:w="3150"/>
            <w:vAlign w:val="center"/>
            <w:tcMar>
              <w:top w:w="100" w:type="dxa"/>
              <w:start w:w="120" w:type="dxa"/>
              <w:bottom w:w="100" w:type="dxa"/>
              <w:end w:w="120" w:type="dxa"/>
            </w:tcMar>
          </w:tcPr>
          <w:p>
            <w:pPr>
              <w:spacing w:after="0" w:line="252" w:lineRule="auto"/>
            </w:pPr>
            <w:r>
              <w:rPr>
                <w:rFonts w:ascii="Calibri" w:hAnsi="Calibri"/>
                <w:b w:val="0"/>
                <w:color w:val="1F2937"/>
                <w:sz w:val="17"/>
              </w:rPr>
              <w:t>Como administrador quiero una recomendación explicable para decidir qué comprar.</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Muestra ventas, demanda, stock útil, mínimo, vencimientos, cantidad y proveedor por último costo.</w:t>
            </w:r>
          </w:p>
        </w:tc>
      </w:tr>
      <w:tr>
        <w:tc>
          <w:tcPr>
            <w:tcW w:type="dxa" w:w="1250"/>
            <w:vAlign w:val="center"/>
            <w:tcMar>
              <w:top w:w="100" w:type="dxa"/>
              <w:start w:w="120" w:type="dxa"/>
              <w:bottom w:w="100" w:type="dxa"/>
              <w:end w:w="120" w:type="dxa"/>
            </w:tcMar>
          </w:tcPr>
          <w:p>
            <w:pPr>
              <w:spacing w:after="0" w:line="252" w:lineRule="auto"/>
            </w:pPr>
            <w:r>
              <w:rPr>
                <w:rFonts w:ascii="Calibri" w:hAnsi="Calibri"/>
                <w:b w:val="0"/>
                <w:color w:val="1F2937"/>
                <w:sz w:val="17"/>
              </w:rPr>
              <w:t>HU-07 Gerencia</w:t>
            </w:r>
          </w:p>
        </w:tc>
        <w:tc>
          <w:tcPr>
            <w:tcW w:type="dxa" w:w="3150"/>
            <w:vAlign w:val="center"/>
            <w:tcMar>
              <w:top w:w="100" w:type="dxa"/>
              <w:start w:w="120" w:type="dxa"/>
              <w:bottom w:w="100" w:type="dxa"/>
              <w:end w:w="120" w:type="dxa"/>
            </w:tcMar>
          </w:tcPr>
          <w:p>
            <w:pPr>
              <w:spacing w:after="0" w:line="252" w:lineRule="auto"/>
            </w:pPr>
            <w:r>
              <w:rPr>
                <w:rFonts w:ascii="Calibri" w:hAnsi="Calibri"/>
                <w:b w:val="0"/>
                <w:color w:val="1F2937"/>
                <w:sz w:val="17"/>
              </w:rPr>
              <w:t>Como administrador quiero indicadores compactos para detectar riesgos y rentabilidad.</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Ventas, ganancia, bajo stock, vencimientos, top, inmovilizado y caja desde agregaciones del servidor.</w:t>
            </w:r>
          </w:p>
        </w:tc>
      </w:tr>
      <w:tr>
        <w:tc>
          <w:tcPr>
            <w:tcW w:type="dxa" w:w="1250"/>
            <w:vAlign w:val="center"/>
            <w:tcMar>
              <w:top w:w="100" w:type="dxa"/>
              <w:start w:w="120" w:type="dxa"/>
              <w:bottom w:w="100" w:type="dxa"/>
              <w:end w:w="120" w:type="dxa"/>
            </w:tcMar>
          </w:tcPr>
          <w:p>
            <w:pPr>
              <w:spacing w:after="0" w:line="252" w:lineRule="auto"/>
            </w:pPr>
            <w:r>
              <w:rPr>
                <w:rFonts w:ascii="Calibri" w:hAnsi="Calibri"/>
                <w:b w:val="0"/>
                <w:color w:val="1F2937"/>
                <w:sz w:val="17"/>
              </w:rPr>
              <w:t>HU-08 IA</w:t>
            </w:r>
          </w:p>
        </w:tc>
        <w:tc>
          <w:tcPr>
            <w:tcW w:type="dxa" w:w="3150"/>
            <w:vAlign w:val="center"/>
            <w:tcMar>
              <w:top w:w="100" w:type="dxa"/>
              <w:start w:w="120" w:type="dxa"/>
              <w:bottom w:w="100" w:type="dxa"/>
              <w:end w:w="120" w:type="dxa"/>
            </w:tcMar>
          </w:tcPr>
          <w:p>
            <w:pPr>
              <w:spacing w:after="0" w:line="252" w:lineRule="auto"/>
            </w:pPr>
            <w:r>
              <w:rPr>
                <w:rFonts w:ascii="Calibri" w:hAnsi="Calibri"/>
                <w:b w:val="0"/>
                <w:color w:val="1F2937"/>
                <w:sz w:val="17"/>
              </w:rPr>
              <w:t>Como usuario quiero consultar inventario y operación aunque el proveedor de IA falle.</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Motor local con intenciones seguras, RBAC en servidor, fuentes visibles y rechazo de diagnóstico o dosificación.</w:t>
            </w:r>
          </w:p>
        </w:tc>
      </w:tr>
      <w:tr>
        <w:tc>
          <w:tcPr>
            <w:tcW w:type="dxa" w:w="1250"/>
            <w:vAlign w:val="center"/>
            <w:tcMar>
              <w:top w:w="100" w:type="dxa"/>
              <w:start w:w="120" w:type="dxa"/>
              <w:bottom w:w="100" w:type="dxa"/>
              <w:end w:w="120" w:type="dxa"/>
            </w:tcMar>
          </w:tcPr>
          <w:p>
            <w:pPr>
              <w:spacing w:after="0" w:line="252" w:lineRule="auto"/>
            </w:pPr>
            <w:r>
              <w:rPr>
                <w:rFonts w:ascii="Calibri" w:hAnsi="Calibri"/>
                <w:b w:val="0"/>
                <w:color w:val="1F2937"/>
                <w:sz w:val="17"/>
              </w:rPr>
              <w:t>HU-09 Reportes</w:t>
            </w:r>
          </w:p>
        </w:tc>
        <w:tc>
          <w:tcPr>
            <w:tcW w:type="dxa" w:w="3150"/>
            <w:vAlign w:val="center"/>
            <w:tcMar>
              <w:top w:w="100" w:type="dxa"/>
              <w:start w:w="120" w:type="dxa"/>
              <w:bottom w:w="100" w:type="dxa"/>
              <w:end w:w="120" w:type="dxa"/>
            </w:tcMar>
          </w:tcPr>
          <w:p>
            <w:pPr>
              <w:spacing w:after="0" w:line="252" w:lineRule="auto"/>
            </w:pPr>
            <w:r>
              <w:rPr>
                <w:rFonts w:ascii="Calibri" w:hAnsi="Calibri"/>
                <w:b w:val="0"/>
                <w:color w:val="1F2937"/>
                <w:sz w:val="17"/>
              </w:rPr>
              <w:t>Como administrador quiero analizar el negocio sin esperar múltiples cargas pesadas.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Resumen único, margen, ticket, variación, detalle perezoso, rango máximo y exportación completa.</w:t>
            </w:r>
          </w:p>
        </w:tc>
      </w:tr>
    </w:tbl>
    <w:p>
      <w:pPr>
        <w:spacing w:after="40"/>
      </w:pPr>
    </w:p>
    <w:p>
      <w:pPr>
        <w:pStyle w:val="Heading1"/>
        <w:keepNext/>
      </w:pPr>
      <w:r>
        <w:t>6. Aplicación de Extreme Programming</w:t>
      </w:r>
    </w:p>
    <w:p>
      <w:pPr>
        <w:pStyle w:val="Heading2"/>
        <w:keepNext/>
      </w:pPr>
      <w:r>
        <w:t>6.1 Planificación e iteraciones</w:t>
      </w:r>
    </w:p>
    <w:tbl>
      <w:tblPr>
        <w:tblStyle w:val="TableGrid"/>
        <w:jc w:val="left"/>
        <w:tblLook w:firstColumn="1" w:firstRow="1" w:lastColumn="0" w:lastRow="0" w:noHBand="0" w:noVBand="1" w:val="04A0"/>
        <w:tblW w:w="9360" w:type="dxa"/>
        <w:tblInd w:w="120" w:type="dxa"/>
        <w:tblLayout w:type="fixed"/>
      </w:tblPr>
      <w:tblGrid>
        <w:gridCol w:w="900"/>
        <w:gridCol w:w="2200"/>
        <w:gridCol w:w="6260"/>
      </w:tblGrid>
      <w:tr>
        <w:trPr>
          <w:tblHeader w:val="true"/>
        </w:trPr>
        <w:tc>
          <w:tcPr>
            <w:tcW w:type="dxa" w:w="900"/>
            <w:shd w:fill="F2F4F7"/>
            <w:vAlign w:val="center"/>
            <w:tcMar>
              <w:top w:w="100" w:type="dxa"/>
              <w:start w:w="120" w:type="dxa"/>
              <w:bottom w:w="100" w:type="dxa"/>
              <w:end w:w="120" w:type="dxa"/>
            </w:tcMar>
          </w:tcPr>
          <w:p>
            <w:r>
              <w:rPr>
                <w:rFonts w:ascii="Calibri" w:hAnsi="Calibri"/>
                <w:b/>
                <w:color w:val="1F4D78"/>
                <w:sz w:val="18"/>
              </w:rPr>
              <w:t>Iteración</w:t>
            </w:r>
          </w:p>
        </w:tc>
        <w:tc>
          <w:tcPr>
            <w:tcW w:type="dxa" w:w="2200"/>
            <w:shd w:fill="F2F4F7"/>
            <w:vAlign w:val="center"/>
            <w:tcMar>
              <w:top w:w="100" w:type="dxa"/>
              <w:start w:w="120" w:type="dxa"/>
              <w:bottom w:w="100" w:type="dxa"/>
              <w:end w:w="120" w:type="dxa"/>
            </w:tcMar>
          </w:tcPr>
          <w:p>
            <w:r>
              <w:rPr>
                <w:rFonts w:ascii="Calibri" w:hAnsi="Calibri"/>
                <w:b/>
                <w:color w:val="1F4D78"/>
                <w:sz w:val="18"/>
              </w:rPr>
              <w:t>Objetivo</w:t>
            </w:r>
          </w:p>
        </w:tc>
        <w:tc>
          <w:tcPr>
            <w:tcW w:type="dxa" w:w="6260"/>
            <w:shd w:fill="F2F4F7"/>
            <w:vAlign w:val="center"/>
            <w:tcMar>
              <w:top w:w="100" w:type="dxa"/>
              <w:start w:w="120" w:type="dxa"/>
              <w:bottom w:w="100" w:type="dxa"/>
              <w:end w:w="120" w:type="dxa"/>
            </w:tcMar>
          </w:tcPr>
          <w:p>
            <w:r>
              <w:rPr>
                <w:rFonts w:ascii="Calibri" w:hAnsi="Calibri"/>
                <w:b/>
                <w:color w:val="1F4D78"/>
                <w:sz w:val="18"/>
              </w:rPr>
              <w:t>Incremento terminado</w:t>
            </w:r>
          </w:p>
        </w:tc>
      </w:tr>
      <w:tr>
        <w:tc>
          <w:tcPr>
            <w:tcW w:type="dxa" w:w="900"/>
            <w:vAlign w:val="center"/>
            <w:tcMar>
              <w:top w:w="100" w:type="dxa"/>
              <w:start w:w="120" w:type="dxa"/>
              <w:bottom w:w="100" w:type="dxa"/>
              <w:end w:w="120" w:type="dxa"/>
            </w:tcMar>
          </w:tcPr>
          <w:p>
            <w:pPr>
              <w:spacing w:after="0" w:line="252" w:lineRule="auto"/>
            </w:pPr>
            <w:r>
              <w:rPr>
                <w:rFonts w:ascii="Calibri" w:hAnsi="Calibri"/>
                <w:b w:val="0"/>
                <w:color w:val="1F2937"/>
                <w:sz w:val="17"/>
              </w:rPr>
              <w:t>1</w:t>
            </w:r>
          </w:p>
        </w:tc>
        <w:tc>
          <w:tcPr>
            <w:tcW w:type="dxa" w:w="2200"/>
            <w:vAlign w:val="center"/>
            <w:tcMar>
              <w:top w:w="100" w:type="dxa"/>
              <w:start w:w="120" w:type="dxa"/>
              <w:bottom w:w="100" w:type="dxa"/>
              <w:end w:w="120" w:type="dxa"/>
            </w:tcMar>
          </w:tcPr>
          <w:p>
            <w:pPr>
              <w:spacing w:after="0" w:line="252" w:lineRule="auto"/>
            </w:pPr>
            <w:r>
              <w:rPr>
                <w:rFonts w:ascii="Calibri" w:hAnsi="Calibri"/>
                <w:b w:val="0"/>
                <w:color w:val="1F2937"/>
                <w:sz w:val="17"/>
              </w:rPr>
              <w:t>FEFO y reglas puras</w:t>
            </w:r>
          </w:p>
        </w:tc>
        <w:tc>
          <w:tcPr>
            <w:tcW w:type="dxa" w:w="6260"/>
            <w:vAlign w:val="center"/>
            <w:tcMar>
              <w:top w:w="100" w:type="dxa"/>
              <w:start w:w="120" w:type="dxa"/>
              <w:bottom w:w="100" w:type="dxa"/>
              <w:end w:w="120" w:type="dxa"/>
            </w:tcMar>
          </w:tcPr>
          <w:p>
            <w:pPr>
              <w:spacing w:after="0" w:line="252" w:lineRule="auto"/>
            </w:pPr>
            <w:r>
              <w:rPr>
                <w:rFonts w:ascii="Calibri" w:hAnsi="Calibri"/>
                <w:b w:val="0"/>
                <w:color w:val="1F2937"/>
                <w:sz w:val="17"/>
              </w:rPr>
              <w:t>Extracción de dominio, prevalidación de stock vigente, selección administrativa y pruebas.</w:t>
            </w:r>
          </w:p>
        </w:tc>
      </w:tr>
      <w:tr>
        <w:tc>
          <w:tcPr>
            <w:tcW w:type="dxa" w:w="900"/>
            <w:vAlign w:val="center"/>
            <w:tcMar>
              <w:top w:w="100" w:type="dxa"/>
              <w:start w:w="120" w:type="dxa"/>
              <w:bottom w:w="100" w:type="dxa"/>
              <w:end w:w="120" w:type="dxa"/>
            </w:tcMar>
          </w:tcPr>
          <w:p>
            <w:pPr>
              <w:spacing w:after="0" w:line="252" w:lineRule="auto"/>
            </w:pPr>
            <w:r>
              <w:rPr>
                <w:rFonts w:ascii="Calibri" w:hAnsi="Calibri"/>
                <w:b w:val="0"/>
                <w:color w:val="1F2937"/>
                <w:sz w:val="17"/>
              </w:rPr>
              <w:t>2</w:t>
            </w:r>
          </w:p>
        </w:tc>
        <w:tc>
          <w:tcPr>
            <w:tcW w:type="dxa" w:w="2200"/>
            <w:vAlign w:val="center"/>
            <w:tcMar>
              <w:top w:w="100" w:type="dxa"/>
              <w:start w:w="120" w:type="dxa"/>
              <w:bottom w:w="100" w:type="dxa"/>
              <w:end w:w="120" w:type="dxa"/>
            </w:tcMar>
          </w:tcPr>
          <w:p>
            <w:pPr>
              <w:spacing w:after="0" w:line="252" w:lineRule="auto"/>
            </w:pPr>
            <w:r>
              <w:rPr>
                <w:rFonts w:ascii="Calibri" w:hAnsi="Calibri"/>
                <w:b w:val="0"/>
                <w:color w:val="1F2937"/>
                <w:sz w:val="17"/>
              </w:rPr>
              <w:t>Recordatorios y caja</w:t>
            </w:r>
          </w:p>
        </w:tc>
        <w:tc>
          <w:tcPr>
            <w:tcW w:type="dxa" w:w="6260"/>
            <w:vAlign w:val="center"/>
            <w:tcMar>
              <w:top w:w="100" w:type="dxa"/>
              <w:start w:w="120" w:type="dxa"/>
              <w:bottom w:w="100" w:type="dxa"/>
              <w:end w:w="120" w:type="dxa"/>
            </w:tcMar>
          </w:tcPr>
          <w:p>
            <w:pPr>
              <w:spacing w:after="0" w:line="252" w:lineRule="auto"/>
            </w:pPr>
            <w:r>
              <w:rPr>
                <w:rFonts w:ascii="Calibri" w:hAnsi="Calibri"/>
                <w:b w:val="0"/>
                <w:color w:val="1F2937"/>
                <w:sz w:val="17"/>
              </w:rPr>
              <w:t>Consultas por rol, modelos aditivos, conciliación y auditoría transaccional.</w:t>
            </w:r>
          </w:p>
        </w:tc>
      </w:tr>
      <w:tr>
        <w:tc>
          <w:tcPr>
            <w:tcW w:type="dxa" w:w="900"/>
            <w:vAlign w:val="center"/>
            <w:tcMar>
              <w:top w:w="100" w:type="dxa"/>
              <w:start w:w="120" w:type="dxa"/>
              <w:bottom w:w="100" w:type="dxa"/>
              <w:end w:w="120" w:type="dxa"/>
            </w:tcMar>
          </w:tcPr>
          <w:p>
            <w:pPr>
              <w:spacing w:after="0" w:line="252" w:lineRule="auto"/>
            </w:pPr>
            <w:r>
              <w:rPr>
                <w:rFonts w:ascii="Calibri" w:hAnsi="Calibri"/>
                <w:b w:val="0"/>
                <w:color w:val="1F2937"/>
                <w:sz w:val="17"/>
              </w:rPr>
              <w:t>3</w:t>
            </w:r>
          </w:p>
        </w:tc>
        <w:tc>
          <w:tcPr>
            <w:tcW w:type="dxa" w:w="2200"/>
            <w:vAlign w:val="center"/>
            <w:tcMar>
              <w:top w:w="100" w:type="dxa"/>
              <w:start w:w="120" w:type="dxa"/>
              <w:bottom w:w="100" w:type="dxa"/>
              <w:end w:w="120" w:type="dxa"/>
            </w:tcMar>
          </w:tcPr>
          <w:p>
            <w:pPr>
              <w:spacing w:after="0" w:line="252" w:lineRule="auto"/>
            </w:pPr>
            <w:r>
              <w:rPr>
                <w:rFonts w:ascii="Calibri" w:hAnsi="Calibri"/>
                <w:b w:val="0"/>
                <w:color w:val="1F2937"/>
                <w:sz w:val="17"/>
              </w:rPr>
              <w:t>Receta y paciente</w:t>
            </w:r>
          </w:p>
        </w:tc>
        <w:tc>
          <w:tcPr>
            <w:tcW w:type="dxa" w:w="6260"/>
            <w:vAlign w:val="center"/>
            <w:tcMar>
              <w:top w:w="100" w:type="dxa"/>
              <w:start w:w="120" w:type="dxa"/>
              <w:bottom w:w="100" w:type="dxa"/>
              <w:end w:w="120" w:type="dxa"/>
            </w:tcMar>
          </w:tcPr>
          <w:p>
            <w:pPr>
              <w:spacing w:after="0" w:line="252" w:lineRule="auto"/>
            </w:pPr>
            <w:r>
              <w:rPr>
                <w:rFonts w:ascii="Calibri" w:hAnsi="Calibri"/>
                <w:b w:val="0"/>
                <w:color w:val="1F2937"/>
                <w:sz w:val="17"/>
              </w:rPr>
              <w:t>Estados, transición, surtido parcial, alergias y resumen temporal protegido.</w:t>
            </w:r>
          </w:p>
        </w:tc>
      </w:tr>
      <w:tr>
        <w:tc>
          <w:tcPr>
            <w:tcW w:type="dxa" w:w="900"/>
            <w:vAlign w:val="center"/>
            <w:tcMar>
              <w:top w:w="100" w:type="dxa"/>
              <w:start w:w="120" w:type="dxa"/>
              <w:bottom w:w="100" w:type="dxa"/>
              <w:end w:w="120" w:type="dxa"/>
            </w:tcMar>
          </w:tcPr>
          <w:p>
            <w:pPr>
              <w:spacing w:after="0" w:line="252" w:lineRule="auto"/>
            </w:pPr>
            <w:r>
              <w:rPr>
                <w:rFonts w:ascii="Calibri" w:hAnsi="Calibri"/>
                <w:b w:val="0"/>
                <w:color w:val="1F2937"/>
                <w:sz w:val="17"/>
              </w:rPr>
              <w:t>4</w:t>
            </w:r>
          </w:p>
        </w:tc>
        <w:tc>
          <w:tcPr>
            <w:tcW w:type="dxa" w:w="2200"/>
            <w:vAlign w:val="center"/>
            <w:tcMar>
              <w:top w:w="100" w:type="dxa"/>
              <w:start w:w="120" w:type="dxa"/>
              <w:bottom w:w="100" w:type="dxa"/>
              <w:end w:w="120" w:type="dxa"/>
            </w:tcMar>
          </w:tcPr>
          <w:p>
            <w:pPr>
              <w:spacing w:after="0" w:line="252" w:lineRule="auto"/>
            </w:pPr>
            <w:r>
              <w:rPr>
                <w:rFonts w:ascii="Calibri" w:hAnsi="Calibri"/>
                <w:b w:val="0"/>
                <w:color w:val="1F2937"/>
                <w:sz w:val="17"/>
              </w:rPr>
              <w:t>Compras y gerencia</w:t>
            </w:r>
          </w:p>
        </w:tc>
        <w:tc>
          <w:tcPr>
            <w:tcW w:type="dxa" w:w="6260"/>
            <w:vAlign w:val="center"/>
            <w:tcMar>
              <w:top w:w="100" w:type="dxa"/>
              <w:start w:w="120" w:type="dxa"/>
              <w:bottom w:w="100" w:type="dxa"/>
              <w:end w:w="120" w:type="dxa"/>
            </w:tcMar>
          </w:tcPr>
          <w:p>
            <w:pPr>
              <w:spacing w:after="0" w:line="252" w:lineRule="auto"/>
            </w:pPr>
            <w:r>
              <w:rPr>
                <w:rFonts w:ascii="Calibri" w:hAnsi="Calibri"/>
                <w:b w:val="0"/>
                <w:color w:val="1F2937"/>
                <w:sz w:val="17"/>
              </w:rPr>
              <w:t>Algoritmo explicable, proveedores, KPIs agregados y componentes del dashboard.</w:t>
            </w:r>
          </w:p>
        </w:tc>
      </w:tr>
      <w:tr>
        <w:tc>
          <w:tcPr>
            <w:tcW w:type="dxa" w:w="900"/>
            <w:vAlign w:val="center"/>
            <w:tcMar>
              <w:top w:w="100" w:type="dxa"/>
              <w:start w:w="120" w:type="dxa"/>
              <w:bottom w:w="100" w:type="dxa"/>
              <w:end w:w="120" w:type="dxa"/>
            </w:tcMar>
          </w:tcPr>
          <w:p>
            <w:pPr>
              <w:spacing w:after="0" w:line="252" w:lineRule="auto"/>
            </w:pPr>
            <w:r>
              <w:rPr>
                <w:rFonts w:ascii="Calibri" w:hAnsi="Calibri"/>
                <w:b w:val="0"/>
                <w:color w:val="1F2937"/>
                <w:sz w:val="17"/>
              </w:rPr>
              <w:t>5</w:t>
            </w:r>
          </w:p>
        </w:tc>
        <w:tc>
          <w:tcPr>
            <w:tcW w:type="dxa" w:w="2200"/>
            <w:vAlign w:val="center"/>
            <w:tcMar>
              <w:top w:w="100" w:type="dxa"/>
              <w:start w:w="120" w:type="dxa"/>
              <w:bottom w:w="100" w:type="dxa"/>
              <w:end w:w="120" w:type="dxa"/>
            </w:tcMar>
          </w:tcPr>
          <w:p>
            <w:pPr>
              <w:spacing w:after="0" w:line="252" w:lineRule="auto"/>
            </w:pPr>
            <w:r>
              <w:rPr>
                <w:rFonts w:ascii="Calibri" w:hAnsi="Calibri"/>
                <w:b w:val="0"/>
                <w:color w:val="1F2937"/>
                <w:sz w:val="17"/>
              </w:rPr>
              <w:t>Integración</w:t>
            </w:r>
          </w:p>
        </w:tc>
        <w:tc>
          <w:tcPr>
            <w:tcW w:type="dxa" w:w="6260"/>
            <w:vAlign w:val="center"/>
            <w:tcMar>
              <w:top w:w="100" w:type="dxa"/>
              <w:start w:w="120" w:type="dxa"/>
              <w:bottom w:w="100" w:type="dxa"/>
              <w:end w:w="120" w:type="dxa"/>
            </w:tcMar>
          </w:tcPr>
          <w:p>
            <w:pPr>
              <w:spacing w:after="0" w:line="252" w:lineRule="auto"/>
            </w:pPr>
            <w:r>
              <w:rPr>
                <w:rFonts w:ascii="Calibri" w:hAnsi="Calibri"/>
                <w:b w:val="0"/>
                <w:color w:val="1F2937"/>
                <w:sz w:val="17"/>
              </w:rPr>
              <w:t>Migración reversible, navegación, tipos, build y documentación.</w:t>
            </w:r>
          </w:p>
        </w:tc>
      </w:tr>
      <w:tr>
        <w:tc>
          <w:tcPr>
            <w:tcW w:type="dxa" w:w="900"/>
            <w:vAlign w:val="center"/>
            <w:tcMar>
              <w:top w:w="100" w:type="dxa"/>
              <w:start w:w="120" w:type="dxa"/>
              <w:bottom w:w="100" w:type="dxa"/>
              <w:end w:w="120" w:type="dxa"/>
            </w:tcMar>
          </w:tcPr>
          <w:p>
            <w:pPr>
              <w:spacing w:after="0" w:line="252" w:lineRule="auto"/>
            </w:pPr>
            <w:r>
              <w:rPr>
                <w:rFonts w:ascii="Calibri" w:hAnsi="Calibri"/>
                <w:b w:val="0"/>
                <w:color w:val="1F2937"/>
                <w:sz w:val="17"/>
              </w:rPr>
              <w:t>6</w:t>
            </w:r>
          </w:p>
        </w:tc>
        <w:tc>
          <w:tcPr>
            <w:tcW w:type="dxa" w:w="2200"/>
            <w:vAlign w:val="center"/>
            <w:tcMar>
              <w:top w:w="100" w:type="dxa"/>
              <w:start w:w="120" w:type="dxa"/>
              <w:bottom w:w="100" w:type="dxa"/>
              <w:end w:w="120" w:type="dxa"/>
            </w:tcMar>
          </w:tcPr>
          <w:p>
            <w:pPr>
              <w:spacing w:after="0" w:line="252" w:lineRule="auto"/>
            </w:pPr>
            <w:r>
              <w:rPr>
                <w:rFonts w:ascii="Calibri" w:hAnsi="Calibri"/>
                <w:b w:val="0"/>
                <w:color w:val="1F2937"/>
                <w:sz w:val="17"/>
              </w:rPr>
              <w:t>Estabilización UI y datos</w:t>
            </w:r>
          </w:p>
        </w:tc>
        <w:tc>
          <w:tcPr>
            <w:tcW w:type="dxa" w:w="6260"/>
            <w:vAlign w:val="center"/>
            <w:tcMar>
              <w:top w:w="100" w:type="dxa"/>
              <w:start w:w="120" w:type="dxa"/>
              <w:bottom w:w="100" w:type="dxa"/>
              <w:end w:w="120" w:type="dxa"/>
            </w:tcMar>
          </w:tcPr>
          <w:p>
            <w:pPr>
              <w:spacing w:after="0" w:line="252" w:lineRule="auto"/>
            </w:pPr>
            <w:r>
              <w:rPr>
                <w:rFonts w:ascii="Calibri" w:hAnsi="Calibri"/>
                <w:b w:val="0"/>
                <w:color w:val="1F2937"/>
                <w:sz w:val="17"/>
              </w:rPr>
              <w:t>Migración aplicada en Neon, historial tolerante a fallos y corrección visual del buscador en modo oscuro.</w:t>
            </w:r>
          </w:p>
        </w:tc>
      </w:tr>
      <w:tr>
        <w:tc>
          <w:tcPr>
            <w:tcW w:type="dxa" w:w="900"/>
            <w:vAlign w:val="center"/>
            <w:tcMar>
              <w:top w:w="100" w:type="dxa"/>
              <w:start w:w="120" w:type="dxa"/>
              <w:bottom w:w="100" w:type="dxa"/>
              <w:end w:w="120" w:type="dxa"/>
            </w:tcMar>
          </w:tcPr>
          <w:p>
            <w:pPr>
              <w:spacing w:after="0" w:line="252" w:lineRule="auto"/>
            </w:pPr>
            <w:r>
              <w:rPr>
                <w:rFonts w:ascii="Calibri" w:hAnsi="Calibri"/>
                <w:b w:val="0"/>
                <w:color w:val="1F2937"/>
                <w:sz w:val="17"/>
              </w:rPr>
              <w:t>7</w:t>
            </w:r>
          </w:p>
        </w:tc>
        <w:tc>
          <w:tcPr>
            <w:tcW w:type="dxa" w:w="2200"/>
            <w:vAlign w:val="center"/>
            <w:tcMar>
              <w:top w:w="100" w:type="dxa"/>
              <w:start w:w="120" w:type="dxa"/>
              <w:bottom w:w="100" w:type="dxa"/>
              <w:end w:w="120" w:type="dxa"/>
            </w:tcMar>
          </w:tcPr>
          <w:p>
            <w:pPr>
              <w:spacing w:after="0" w:line="252" w:lineRule="auto"/>
            </w:pPr>
            <w:r>
              <w:rPr>
                <w:rFonts w:ascii="Calibri" w:hAnsi="Calibri"/>
                <w:b w:val="0"/>
                <w:color w:val="1F2937"/>
                <w:sz w:val="17"/>
              </w:rPr>
              <w:t>IA y reportes</w:t>
            </w:r>
          </w:p>
        </w:tc>
        <w:tc>
          <w:tcPr>
            <w:tcW w:type="dxa" w:w="6260"/>
            <w:vAlign w:val="center"/>
            <w:tcMar>
              <w:top w:w="100" w:type="dxa"/>
              <w:start w:w="120" w:type="dxa"/>
              <w:bottom w:w="100" w:type="dxa"/>
              <w:end w:w="120" w:type="dxa"/>
            </w:tcMar>
          </w:tcPr>
          <w:p>
            <w:pPr>
              <w:spacing w:after="0" w:line="252" w:lineRule="auto"/>
            </w:pPr>
            <w:r>
              <w:rPr>
                <w:rFonts w:ascii="Calibri" w:hAnsi="Calibri"/>
                <w:b w:val="0"/>
                <w:color w:val="1F2937"/>
                <w:sz w:val="17"/>
              </w:rPr>
              <w:t>Motor local con Vertex AI opcional, validación de chat, resumen ejecutivo unificado, RBAC financiero y pruebas de métricas.</w:t>
            </w:r>
          </w:p>
        </w:tc>
      </w:tr>
    </w:tbl>
    <w:p>
      <w:pPr>
        <w:spacing w:after="40"/>
      </w:pPr>
    </w:p>
    <w:p>
      <w:pPr>
        <w:pStyle w:val="Heading2"/>
        <w:keepNext/>
      </w:pPr>
      <w:r>
        <w:t>6.2 TDD, simplicidad y refactorización</w:t>
      </w:r>
    </w:p>
    <w:p>
      <w:r>
        <w:t>Las reglas con alta densidad de negocio se movieron a funciones puras antes de conectarlas a Prisma. Este diseño permite probar fechas, cantidades y redondeos sin una base de datos, y reduce duplicación entre validación, API y UI.</w:t>
      </w:r>
    </w:p>
    <w:p>
      <w:pPr>
        <w:pStyle w:val="ListBullet"/>
        <w:spacing w:after="120" w:line="280" w:lineRule="auto"/>
        <w:ind w:left="720" w:hanging="360"/>
      </w:pPr>
      <w:r>
        <w:t>FEFO: orden por vencimiento, exclusión de vencidos, reparto de cantidad y lote excepcional.</w:t>
      </w:r>
    </w:p>
    <w:p>
      <w:pPr>
        <w:pStyle w:val="ListBullet"/>
        <w:spacing w:after="120" w:line="280" w:lineRule="auto"/>
        <w:ind w:left="720" w:hanging="360"/>
      </w:pPr>
      <w:r>
        <w:t>Caja: efectivo esperado = inicial + ventas en efectivo + ingresos - retiros - gastos; diferencia = contado - esperado.</w:t>
      </w:r>
    </w:p>
    <w:p>
      <w:pPr>
        <w:pStyle w:val="ListBullet"/>
        <w:spacing w:after="120" w:line="280" w:lineRule="auto"/>
        <w:ind w:left="720" w:hanging="360"/>
      </w:pPr>
      <w:r>
        <w:t>Receta: transiciones permitidas y estado resultante del surtido parcial/completo.</w:t>
      </w:r>
    </w:p>
    <w:p>
      <w:pPr>
        <w:pStyle w:val="ListBullet"/>
        <w:spacing w:after="120" w:line="280" w:lineRule="auto"/>
        <w:ind w:left="720" w:hanging="360"/>
      </w:pPr>
      <w:r>
        <w:t>Compras: demanda móvil, stock útil descontando vencimientos y cantidad objetivo.</w:t>
      </w:r>
    </w:p>
    <w:p>
      <w:pPr>
        <w:pStyle w:val="ListBullet"/>
        <w:spacing w:after="120" w:line="280" w:lineRule="auto"/>
        <w:ind w:left="720" w:hanging="360"/>
      </w:pPr>
      <w:r>
        <w:t>IA: detección determinista de intenciones operativas, degradación segura y validación de límites del chat.</w:t>
      </w:r>
    </w:p>
    <w:p>
      <w:pPr>
        <w:pStyle w:val="ListBullet"/>
        <w:spacing w:after="120" w:line="280" w:lineRule="auto"/>
        <w:ind w:left="720" w:hanging="360"/>
      </w:pPr>
      <w:r>
        <w:t>Reportes: utilidad, margen, ticket promedio, comparación temporal y validación de rangos como funciones puras.</w:t>
      </w:r>
    </w:p>
    <w:p>
      <w:pPr>
        <w:pStyle w:val="Heading2"/>
        <w:keepNext/>
      </w:pPr>
      <w:r>
        <w:t>6.3 Retrospectiva técnica</w:t>
      </w:r>
    </w:p>
    <w:p>
      <w:r>
        <w:t>Funcionó bien reutilizar DetalleVentaLote, cantidadFacturada, AuditoriaLog y los roles actuales: el incremento permaneció aditivo. La principal deuda encontrada fue la dispersión de lógica en endpoints extensos; extraer reglas puras redujo riesgo, pero una siguiente iteración debería separar por completo el servicio transaccional de ventas. También se detectó que el comando next lint ya no es válido en Next.js 16 y debe migrarse a ESLint CLI cuando el proyecto incorpore esa dependencia.</w:t>
      </w:r>
    </w:p>
    <w:p>
      <w:pPr>
        <w:pStyle w:val="Heading1"/>
        <w:keepNext/>
      </w:pPr>
      <w:r>
        <w:t>7. Arquitectura y tecnologías</w:t>
      </w:r>
    </w:p>
    <w:tbl>
      <w:tblPr>
        <w:tblStyle w:val="TableGrid"/>
        <w:jc w:val="left"/>
        <w:tblLook w:firstColumn="1" w:firstRow="1" w:lastColumn="0" w:lastRow="0" w:noHBand="0" w:noVBand="1" w:val="04A0"/>
        <w:tblW w:w="9360" w:type="dxa"/>
        <w:tblInd w:w="120" w:type="dxa"/>
        <w:tblLayout w:type="fixed"/>
      </w:tblPr>
      <w:tblGrid>
        <w:gridCol w:w="1450"/>
        <w:gridCol w:w="2800"/>
        <w:gridCol w:w="5110"/>
      </w:tblGrid>
      <w:tr>
        <w:trPr>
          <w:tblHeader w:val="true"/>
        </w:trPr>
        <w:tc>
          <w:tcPr>
            <w:tcW w:type="dxa" w:w="1450"/>
            <w:shd w:fill="F2F4F7"/>
            <w:vAlign w:val="center"/>
            <w:tcMar>
              <w:top w:w="100" w:type="dxa"/>
              <w:start w:w="120" w:type="dxa"/>
              <w:bottom w:w="100" w:type="dxa"/>
              <w:end w:w="120" w:type="dxa"/>
            </w:tcMar>
          </w:tcPr>
          <w:p>
            <w:r>
              <w:rPr>
                <w:rFonts w:ascii="Calibri" w:hAnsi="Calibri"/>
                <w:b/>
                <w:color w:val="1F4D78"/>
                <w:sz w:val="18"/>
              </w:rPr>
              <w:t>Capa</w:t>
            </w:r>
          </w:p>
        </w:tc>
        <w:tc>
          <w:tcPr>
            <w:tcW w:type="dxa" w:w="2800"/>
            <w:shd w:fill="F2F4F7"/>
            <w:vAlign w:val="center"/>
            <w:tcMar>
              <w:top w:w="100" w:type="dxa"/>
              <w:start w:w="120" w:type="dxa"/>
              <w:bottom w:w="100" w:type="dxa"/>
              <w:end w:w="120" w:type="dxa"/>
            </w:tcMar>
          </w:tcPr>
          <w:p>
            <w:r>
              <w:rPr>
                <w:rFonts w:ascii="Calibri" w:hAnsi="Calibri"/>
                <w:b/>
                <w:color w:val="1F4D78"/>
                <w:sz w:val="18"/>
              </w:rPr>
              <w:t>Tecnología</w:t>
            </w:r>
          </w:p>
        </w:tc>
        <w:tc>
          <w:tcPr>
            <w:tcW w:type="dxa" w:w="5110"/>
            <w:shd w:fill="F2F4F7"/>
            <w:vAlign w:val="center"/>
            <w:tcMar>
              <w:top w:w="100" w:type="dxa"/>
              <w:start w:w="120" w:type="dxa"/>
              <w:bottom w:w="100" w:type="dxa"/>
              <w:end w:w="120" w:type="dxa"/>
            </w:tcMar>
          </w:tcPr>
          <w:p>
            <w:r>
              <w:rPr>
                <w:rFonts w:ascii="Calibri" w:hAnsi="Calibri"/>
                <w:b/>
                <w:color w:val="1F4D78"/>
                <w:sz w:val="18"/>
              </w:rPr>
              <w:t>Responsabilidad</w:t>
            </w:r>
          </w:p>
        </w:tc>
      </w:tr>
      <w:tr>
        <w:tc>
          <w:tcPr>
            <w:tcW w:type="dxa" w:w="1450"/>
            <w:vAlign w:val="center"/>
            <w:tcMar>
              <w:top w:w="100" w:type="dxa"/>
              <w:start w:w="120" w:type="dxa"/>
              <w:bottom w:w="100" w:type="dxa"/>
              <w:end w:w="120" w:type="dxa"/>
            </w:tcMar>
          </w:tcPr>
          <w:p>
            <w:pPr>
              <w:spacing w:after="0" w:line="252" w:lineRule="auto"/>
            </w:pPr>
            <w:r>
              <w:rPr>
                <w:rFonts w:ascii="Calibri" w:hAnsi="Calibri"/>
                <w:b w:val="0"/>
                <w:color w:val="1F2937"/>
                <w:sz w:val="17"/>
              </w:rPr>
              <w:t>Presentación</w:t>
            </w:r>
          </w:p>
        </w:tc>
        <w:tc>
          <w:tcPr>
            <w:tcW w:type="dxa" w:w="2800"/>
            <w:vAlign w:val="center"/>
            <w:tcMar>
              <w:top w:w="100" w:type="dxa"/>
              <w:start w:w="120" w:type="dxa"/>
              <w:bottom w:w="100" w:type="dxa"/>
              <w:end w:w="120" w:type="dxa"/>
            </w:tcMar>
          </w:tcPr>
          <w:p>
            <w:pPr>
              <w:spacing w:after="0" w:line="252" w:lineRule="auto"/>
            </w:pPr>
            <w:r>
              <w:rPr>
                <w:rFonts w:ascii="Calibri" w:hAnsi="Calibri"/>
                <w:b w:val="0"/>
                <w:color w:val="1F2937"/>
                <w:sz w:val="17"/>
              </w:rPr>
              <w:t>Next.js 16 + React 19 + Tailwind</w:t>
            </w:r>
          </w:p>
        </w:tc>
        <w:tc>
          <w:tcPr>
            <w:tcW w:type="dxa" w:w="5110"/>
            <w:vAlign w:val="center"/>
            <w:tcMar>
              <w:top w:w="100" w:type="dxa"/>
              <w:start w:w="120" w:type="dxa"/>
              <w:bottom w:w="100" w:type="dxa"/>
              <w:end w:w="120" w:type="dxa"/>
            </w:tcMar>
          </w:tcPr>
          <w:p>
            <w:pPr>
              <w:spacing w:after="0" w:line="252" w:lineRule="auto"/>
            </w:pPr>
            <w:r>
              <w:rPr>
                <w:rFonts w:ascii="Calibri" w:hAnsi="Calibri"/>
                <w:b w:val="0"/>
                <w:color w:val="1F2937"/>
                <w:sz w:val="17"/>
              </w:rPr>
              <w:t>Dashboard, venta, caja, compras y resumen responsive.</w:t>
            </w:r>
          </w:p>
        </w:tc>
      </w:tr>
      <w:tr>
        <w:tc>
          <w:tcPr>
            <w:tcW w:type="dxa" w:w="1450"/>
            <w:vAlign w:val="center"/>
            <w:tcMar>
              <w:top w:w="100" w:type="dxa"/>
              <w:start w:w="120" w:type="dxa"/>
              <w:bottom w:w="100" w:type="dxa"/>
              <w:end w:w="120" w:type="dxa"/>
            </w:tcMar>
          </w:tcPr>
          <w:p>
            <w:pPr>
              <w:spacing w:after="0" w:line="252" w:lineRule="auto"/>
            </w:pPr>
            <w:r>
              <w:rPr>
                <w:rFonts w:ascii="Calibri" w:hAnsi="Calibri"/>
                <w:b w:val="0"/>
                <w:color w:val="1F2937"/>
                <w:sz w:val="17"/>
              </w:rPr>
              <w:t>Aplicación</w:t>
            </w:r>
          </w:p>
        </w:tc>
        <w:tc>
          <w:tcPr>
            <w:tcW w:type="dxa" w:w="2800"/>
            <w:vAlign w:val="center"/>
            <w:tcMar>
              <w:top w:w="100" w:type="dxa"/>
              <w:start w:w="120" w:type="dxa"/>
              <w:bottom w:w="100" w:type="dxa"/>
              <w:end w:w="120" w:type="dxa"/>
            </w:tcMar>
          </w:tcPr>
          <w:p>
            <w:pPr>
              <w:spacing w:after="0" w:line="252" w:lineRule="auto"/>
            </w:pPr>
            <w:r>
              <w:rPr>
                <w:rFonts w:ascii="Calibri" w:hAnsi="Calibri"/>
                <w:b w:val="0"/>
                <w:color w:val="1F2937"/>
                <w:sz w:val="17"/>
              </w:rPr>
              <w:t>Route Handlers + TypeScript + Zod</w:t>
            </w:r>
          </w:p>
        </w:tc>
        <w:tc>
          <w:tcPr>
            <w:tcW w:type="dxa" w:w="5110"/>
            <w:vAlign w:val="center"/>
            <w:tcMar>
              <w:top w:w="100" w:type="dxa"/>
              <w:start w:w="120" w:type="dxa"/>
              <w:bottom w:w="100" w:type="dxa"/>
              <w:end w:w="120" w:type="dxa"/>
            </w:tcMar>
          </w:tcPr>
          <w:p>
            <w:pPr>
              <w:spacing w:after="0" w:line="252" w:lineRule="auto"/>
            </w:pPr>
            <w:r>
              <w:rPr>
                <w:rFonts w:ascii="Calibri" w:hAnsi="Calibri"/>
                <w:b w:val="0"/>
                <w:color w:val="1F2937"/>
                <w:sz w:val="17"/>
              </w:rPr>
              <w:t>Autenticación, permisos, validación e idempotencia.</w:t>
            </w:r>
          </w:p>
        </w:tc>
      </w:tr>
      <w:tr>
        <w:tc>
          <w:tcPr>
            <w:tcW w:type="dxa" w:w="1450"/>
            <w:vAlign w:val="center"/>
            <w:tcMar>
              <w:top w:w="100" w:type="dxa"/>
              <w:start w:w="120" w:type="dxa"/>
              <w:bottom w:w="100" w:type="dxa"/>
              <w:end w:w="120" w:type="dxa"/>
            </w:tcMar>
          </w:tcPr>
          <w:p>
            <w:pPr>
              <w:spacing w:after="0" w:line="252" w:lineRule="auto"/>
            </w:pPr>
            <w:r>
              <w:rPr>
                <w:rFonts w:ascii="Calibri" w:hAnsi="Calibri"/>
                <w:b w:val="0"/>
                <w:color w:val="1F2937"/>
                <w:sz w:val="17"/>
              </w:rPr>
              <w:t>Dominio</w:t>
            </w:r>
          </w:p>
        </w:tc>
        <w:tc>
          <w:tcPr>
            <w:tcW w:type="dxa" w:w="2800"/>
            <w:vAlign w:val="center"/>
            <w:tcMar>
              <w:top w:w="100" w:type="dxa"/>
              <w:start w:w="120" w:type="dxa"/>
              <w:bottom w:w="100" w:type="dxa"/>
              <w:end w:w="120" w:type="dxa"/>
            </w:tcMar>
          </w:tcPr>
          <w:p>
            <w:pPr>
              <w:spacing w:after="0" w:line="252" w:lineRule="auto"/>
            </w:pPr>
            <w:r>
              <w:rPr>
                <w:rFonts w:ascii="Calibri" w:hAnsi="Calibri"/>
                <w:b w:val="0"/>
                <w:color w:val="1F2937"/>
                <w:sz w:val="17"/>
              </w:rPr>
              <w:t>Funciones puras TypeScript</w:t>
            </w:r>
          </w:p>
        </w:tc>
        <w:tc>
          <w:tcPr>
            <w:tcW w:type="dxa" w:w="5110"/>
            <w:vAlign w:val="center"/>
            <w:tcMar>
              <w:top w:w="100" w:type="dxa"/>
              <w:start w:w="120" w:type="dxa"/>
              <w:bottom w:w="100" w:type="dxa"/>
              <w:end w:w="120" w:type="dxa"/>
            </w:tcMar>
          </w:tcPr>
          <w:p>
            <w:pPr>
              <w:spacing w:after="0" w:line="252" w:lineRule="auto"/>
            </w:pPr>
            <w:r>
              <w:rPr>
                <w:rFonts w:ascii="Calibri" w:hAnsi="Calibri"/>
                <w:b w:val="0"/>
                <w:color w:val="1F2937"/>
                <w:sz w:val="17"/>
              </w:rPr>
              <w:t>FEFO, caja, receta y recomendaciones verificables.</w:t>
            </w:r>
          </w:p>
        </w:tc>
      </w:tr>
      <w:tr>
        <w:tc>
          <w:tcPr>
            <w:tcW w:type="dxa" w:w="1450"/>
            <w:vAlign w:val="center"/>
            <w:tcMar>
              <w:top w:w="100" w:type="dxa"/>
              <w:start w:w="120" w:type="dxa"/>
              <w:bottom w:w="100" w:type="dxa"/>
              <w:end w:w="120" w:type="dxa"/>
            </w:tcMar>
          </w:tcPr>
          <w:p>
            <w:pPr>
              <w:spacing w:after="0" w:line="252" w:lineRule="auto"/>
            </w:pPr>
            <w:r>
              <w:rPr>
                <w:rFonts w:ascii="Calibri" w:hAnsi="Calibri"/>
                <w:b w:val="0"/>
                <w:color w:val="1F2937"/>
                <w:sz w:val="17"/>
              </w:rPr>
              <w:t>Persistencia</w:t>
            </w:r>
          </w:p>
        </w:tc>
        <w:tc>
          <w:tcPr>
            <w:tcW w:type="dxa" w:w="2800"/>
            <w:vAlign w:val="center"/>
            <w:tcMar>
              <w:top w:w="100" w:type="dxa"/>
              <w:start w:w="120" w:type="dxa"/>
              <w:bottom w:w="100" w:type="dxa"/>
              <w:end w:w="120" w:type="dxa"/>
            </w:tcMar>
          </w:tcPr>
          <w:p>
            <w:pPr>
              <w:spacing w:after="0" w:line="252" w:lineRule="auto"/>
            </w:pPr>
            <w:r>
              <w:rPr>
                <w:rFonts w:ascii="Calibri" w:hAnsi="Calibri"/>
                <w:b w:val="0"/>
                <w:color w:val="1F2937"/>
                <w:sz w:val="17"/>
              </w:rPr>
              <w:t>Prisma 6 + PostgreSQL/Neon</w:t>
            </w:r>
          </w:p>
        </w:tc>
        <w:tc>
          <w:tcPr>
            <w:tcW w:type="dxa" w:w="5110"/>
            <w:vAlign w:val="center"/>
            <w:tcMar>
              <w:top w:w="100" w:type="dxa"/>
              <w:start w:w="120" w:type="dxa"/>
              <w:bottom w:w="100" w:type="dxa"/>
              <w:end w:w="120" w:type="dxa"/>
            </w:tcMar>
          </w:tcPr>
          <w:p>
            <w:pPr>
              <w:spacing w:after="0" w:line="252" w:lineRule="auto"/>
            </w:pPr>
            <w:r>
              <w:rPr>
                <w:rFonts w:ascii="Calibri" w:hAnsi="Calibri"/>
                <w:b w:val="0"/>
                <w:color w:val="1F2937"/>
                <w:sz w:val="17"/>
              </w:rPr>
              <w:t>Transacciones, bloqueos, índices, agregaciones y relaciones.</w:t>
            </w:r>
          </w:p>
        </w:tc>
      </w:tr>
      <w:tr>
        <w:tc>
          <w:tcPr>
            <w:tcW w:type="dxa" w:w="1450"/>
            <w:vAlign w:val="center"/>
            <w:tcMar>
              <w:top w:w="100" w:type="dxa"/>
              <w:start w:w="120" w:type="dxa"/>
              <w:bottom w:w="100" w:type="dxa"/>
              <w:end w:w="120" w:type="dxa"/>
            </w:tcMar>
          </w:tcPr>
          <w:p>
            <w:pPr>
              <w:spacing w:after="0" w:line="252" w:lineRule="auto"/>
            </w:pPr>
            <w:r>
              <w:rPr>
                <w:rFonts w:ascii="Calibri" w:hAnsi="Calibri"/>
                <w:b w:val="0"/>
                <w:color w:val="1F2937"/>
                <w:sz w:val="17"/>
              </w:rPr>
              <w:t>Despliegue</w:t>
            </w:r>
          </w:p>
        </w:tc>
        <w:tc>
          <w:tcPr>
            <w:tcW w:type="dxa" w:w="2800"/>
            <w:vAlign w:val="center"/>
            <w:tcMar>
              <w:top w:w="100" w:type="dxa"/>
              <w:start w:w="120" w:type="dxa"/>
              <w:bottom w:w="100" w:type="dxa"/>
              <w:end w:w="120" w:type="dxa"/>
            </w:tcMar>
          </w:tcPr>
          <w:p>
            <w:pPr>
              <w:spacing w:after="0" w:line="252" w:lineRule="auto"/>
            </w:pPr>
            <w:r>
              <w:rPr>
                <w:rFonts w:ascii="Calibri" w:hAnsi="Calibri"/>
                <w:b w:val="0"/>
                <w:color w:val="1F2937"/>
                <w:sz w:val="17"/>
              </w:rPr>
              <w:t>Vercel</w:t>
            </w:r>
          </w:p>
        </w:tc>
        <w:tc>
          <w:tcPr>
            <w:tcW w:type="dxa" w:w="5110"/>
            <w:vAlign w:val="center"/>
            <w:tcMar>
              <w:top w:w="100" w:type="dxa"/>
              <w:start w:w="120" w:type="dxa"/>
              <w:bottom w:w="100" w:type="dxa"/>
              <w:end w:w="120" w:type="dxa"/>
            </w:tcMar>
          </w:tcPr>
          <w:p>
            <w:pPr>
              <w:spacing w:after="0" w:line="252" w:lineRule="auto"/>
            </w:pPr>
            <w:r>
              <w:rPr>
                <w:rFonts w:ascii="Calibri" w:hAnsi="Calibri"/>
                <w:b w:val="0"/>
                <w:color w:val="1F2937"/>
                <w:sz w:val="17"/>
              </w:rPr>
              <w:t>Funciones serverless y frontend; sin servidor propio persistente.</w:t>
            </w:r>
          </w:p>
        </w:tc>
      </w:tr>
    </w:tbl>
    <w:p>
      <w:pPr>
        <w:spacing w:after="40"/>
      </w:pPr>
    </w:p>
    <w:p>
      <w:pPr>
        <w:pStyle w:val="ListNumber"/>
        <w:spacing w:after="120" w:line="280" w:lineRule="auto"/>
        <w:ind w:left="720" w:hanging="360"/>
      </w:pPr>
      <w:r>
        <w:t>El navegador solicita únicamente datos del rol autenticado.</w:t>
      </w:r>
    </w:p>
    <w:p>
      <w:pPr>
        <w:pStyle w:val="ListNumber"/>
        <w:spacing w:after="120" w:line="280" w:lineRule="auto"/>
        <w:ind w:left="720" w:hanging="360"/>
      </w:pPr>
      <w:r>
        <w:t>El Route Handler valida sesión, rol y esquema antes de tocar la base.</w:t>
      </w:r>
    </w:p>
    <w:p>
      <w:pPr>
        <w:pStyle w:val="ListNumber"/>
        <w:spacing w:after="120" w:line="280" w:lineRule="auto"/>
        <w:ind w:left="720" w:hanging="360"/>
      </w:pPr>
      <w:r>
        <w:t>La operación crítica se ejecuta en una transacción; la venta bloquea producto/lotes y aplica FEFO.</w:t>
      </w:r>
    </w:p>
    <w:p>
      <w:pPr>
        <w:pStyle w:val="ListNumber"/>
        <w:spacing w:after="120" w:line="280" w:lineRule="auto"/>
        <w:ind w:left="720" w:hanging="360"/>
      </w:pPr>
      <w:r>
        <w:t>Prisma persiste relaciones y auditoría; las respuestas excluyen secretos y hashes.</w:t>
      </w:r>
    </w:p>
    <w:p>
      <w:pPr>
        <w:pStyle w:val="Heading1"/>
        <w:keepNext/>
      </w:pPr>
      <w:r>
        <w:t>8. Cambios por área</w:t>
      </w:r>
    </w:p>
    <w:p>
      <w:pPr>
        <w:pStyle w:val="Heading2"/>
        <w:keepNext/>
      </w:pPr>
      <w:r>
        <w:t>8.1 Base de datos</w:t>
      </w:r>
    </w:p>
    <w:p>
      <w:r>
        <w:t>La migración 20260807090000_xp_operacion_integrada es aditiva y contiene rollback. Añade CajaSesion, CajaMovimiento y AccesoPaciente; incorpora Venta.idReceta, Venta.idCaja y ExamenPaciente.autorizadoPortal. Se agregan índices de fecha, estado y relaciones de consulta frecuente, además de un índice único parcial que impide dos cajas ABIERTA para el mismo usuario. La migración fue aplicada en la base Neon configurada y prisma migrate status confirmó que las nueve migraciones están al día.</w:t>
      </w:r>
    </w:p>
    <w:p>
      <w:pPr>
        <w:pStyle w:val="Heading2"/>
        <w:keepNext/>
      </w:pPr>
      <w:r>
        <w:t>8.2 APIs</w:t>
      </w:r>
    </w:p>
    <w:p>
      <w:pPr>
        <w:pStyle w:val="ListBullet"/>
        <w:spacing w:after="120" w:line="280" w:lineRule="auto"/>
        <w:ind w:left="720" w:hanging="360"/>
      </w:pPr>
      <w:r>
        <w:t>/api/caja</w:t>
      </w:r>
    </w:p>
    <w:p>
      <w:pPr>
        <w:pStyle w:val="ListBullet"/>
        <w:spacing w:after="120" w:line="280" w:lineRule="auto"/>
        <w:ind w:left="720" w:hanging="360"/>
      </w:pPr>
      <w:r>
        <w:t>/api/recordatorios</w:t>
      </w:r>
    </w:p>
    <w:p>
      <w:pPr>
        <w:pStyle w:val="ListBullet"/>
        <w:spacing w:after="120" w:line="280" w:lineRule="auto"/>
        <w:ind w:left="720" w:hanging="360"/>
      </w:pPr>
      <w:r>
        <w:t>/api/compras/recomendaciones</w:t>
      </w:r>
    </w:p>
    <w:p>
      <w:pPr>
        <w:pStyle w:val="ListBullet"/>
        <w:spacing w:after="120" w:line="280" w:lineRule="auto"/>
        <w:ind w:left="720" w:hanging="360"/>
      </w:pPr>
      <w:r>
        <w:t>/api/dashboard/gerencial</w:t>
      </w:r>
    </w:p>
    <w:p>
      <w:pPr>
        <w:pStyle w:val="ListBullet"/>
        <w:spacing w:after="120" w:line="280" w:lineRule="auto"/>
        <w:ind w:left="720" w:hanging="360"/>
      </w:pPr>
      <w:r>
        <w:t>/api/paciente/acceso</w:t>
      </w:r>
    </w:p>
    <w:p>
      <w:pPr>
        <w:pStyle w:val="ListBullet"/>
        <w:spacing w:after="120" w:line="280" w:lineRule="auto"/>
        <w:ind w:left="720" w:hanging="360"/>
      </w:pPr>
      <w:r>
        <w:t>/api/paciente/resumen/[token]</w:t>
      </w:r>
    </w:p>
    <w:p>
      <w:r>
        <w:t>Ventas ahora valida stock vigente agregado, alergias, pertenencia de productos a la receta, excepción FEFO y caja abierta. Recetas materializa VENCIDA bajo demanda y expone transiciones controladas.</w:t>
      </w:r>
    </w:p>
    <w:p>
      <w:pPr>
        <w:pStyle w:val="Heading2"/>
        <w:keepNext/>
      </w:pPr>
      <w:r>
        <w:t>8.3 Interfaz</w:t>
      </w:r>
    </w:p>
    <w:p>
      <w:r>
        <w:t>El dashboard incluye recordatorios e indicadores gerenciales por rol. La venta identifica FEFO y habilita selector de lote sólo a ADMIN. Se añadieron vistas para caja, compras inteligentes, generación de resumen y consulta pública imprimible. En modo oscuro, los resultados de productos y clientes ahora usan fondo opaco, flujo vertical sin superposición, límites de altura, roles accesibles y bloqueo visible de artículos sin stock.</w:t>
      </w:r>
    </w:p>
    <w:p>
      <w:pPr>
        <w:pStyle w:val="Heading2"/>
        <w:keepNext/>
      </w:pPr>
      <w:r>
        <w:t>8.4 Seguridad y privacidad</w:t>
      </w:r>
    </w:p>
    <w:p>
      <w:pPr>
        <w:pStyle w:val="ListBullet"/>
        <w:spacing w:after="120" w:line="280" w:lineRule="auto"/>
        <w:ind w:left="720" w:hanging="360"/>
      </w:pPr>
      <w:r>
        <w:t>El token del paciente se genera con randomBytes(32), se entrega una vez y se almacena sólo como SHA-256.</w:t>
      </w:r>
    </w:p>
    <w:p>
      <w:pPr>
        <w:pStyle w:val="ListBullet"/>
        <w:spacing w:after="120" w:line="280" w:lineRule="auto"/>
        <w:ind w:left="720" w:hanging="360"/>
      </w:pPr>
      <w:r>
        <w:t>La consulta pública parte del idCliente ligado al token; no admite identificadores arbitrarios.</w:t>
      </w:r>
    </w:p>
    <w:p>
      <w:pPr>
        <w:pStyle w:val="ListBullet"/>
        <w:spacing w:after="120" w:line="280" w:lineRule="auto"/>
        <w:ind w:left="720" w:hanging="360"/>
      </w:pPr>
      <w:r>
        <w:t>Resultados clínicos requieren autorizadoPortal=true y un enlace creado por ADMIN o DOCTOR.</w:t>
      </w:r>
    </w:p>
    <w:p>
      <w:pPr>
        <w:pStyle w:val="ListBullet"/>
        <w:spacing w:after="120" w:line="280" w:lineRule="auto"/>
        <w:ind w:left="720" w:hanging="360"/>
      </w:pPr>
      <w:r>
        <w:t>No se imprimen variables de entorno, expedientes ni tokens en logs.</w:t>
      </w:r>
    </w:p>
    <w:p>
      <w:pPr>
        <w:pStyle w:val="Heading2"/>
        <w:keepNext/>
      </w:pPr>
      <w:r>
        <w:t>8.5 IA operativa y reportes</w:t>
      </w:r>
    </w:p>
    <w:p>
      <w:r>
        <w:t>El chat valida hasta 20 mensajes y 2,500 caracteres por entrada. Las intenciones operativas conocidas se resuelven primero con herramientas Prisma y formato local determinista, por lo que inventario, vencimientos, ventas y auditoría no dependen de una API externa. Cada herramienta vuelve a validar el rol en servidor y registra el origen del dato. La integración opcional con Vertex AI Express usa el SDK oficial y conserva el motor local ante tiempos de espera o rechazo del proveedor.</w:t>
      </w:r>
    </w:p>
    <w:p>
      <w:r>
        <w:t>Reportes reemplazó nueve solicitudes iniciales por /api/reportes/resumen. El endpoint calcula ventas, compras, COGS, utilidad, margen, ticket promedio, comparación con el período anterior, stock bajo, tendencia y vencimientos en paralelo. Los reportes detallados se cargan sólo al abrir cada pestaña; Excel obtiene todas las hojas explícitamente al exportar. Las rutas financieras y PDF requieren rol ADMIN y limitan el rango a 366 días.</w:t>
      </w:r>
    </w:p>
    <w:p>
      <w:pPr>
        <w:pStyle w:val="Heading1"/>
        <w:keepNext/>
      </w:pPr>
      <w:r>
        <w:t>9. Optimización para Vercel y Neon</w:t>
      </w:r>
    </w:p>
    <w:tbl>
      <w:tblPr>
        <w:tblStyle w:val="TableGrid"/>
        <w:jc w:val="left"/>
        <w:tblLook w:firstColumn="1" w:firstRow="1" w:lastColumn="0" w:lastRow="0" w:noHBand="0" w:noVBand="1" w:val="04A0"/>
        <w:tblW w:w="9360" w:type="dxa"/>
        <w:tblInd w:w="120" w:type="dxa"/>
        <w:tblLayout w:type="fixed"/>
      </w:tblPr>
      <w:tblGrid>
        <w:gridCol w:w="3100"/>
        <w:gridCol w:w="6260"/>
      </w:tblGrid>
      <w:tr>
        <w:trPr>
          <w:tblHeader w:val="true"/>
        </w:trPr>
        <w:tc>
          <w:tcPr>
            <w:tcW w:type="dxa" w:w="3100"/>
            <w:shd w:fill="F2F4F7"/>
            <w:vAlign w:val="center"/>
            <w:tcMar>
              <w:top w:w="100" w:type="dxa"/>
              <w:start w:w="120" w:type="dxa"/>
              <w:bottom w:w="100" w:type="dxa"/>
              <w:end w:w="120" w:type="dxa"/>
            </w:tcMar>
          </w:tcPr>
          <w:p>
            <w:r>
              <w:rPr>
                <w:rFonts w:ascii="Calibri" w:hAnsi="Calibri"/>
                <w:b/>
                <w:color w:val="1F4D78"/>
                <w:sz w:val="18"/>
              </w:rPr>
              <w:t>Decisión</w:t>
            </w:r>
          </w:p>
        </w:tc>
        <w:tc>
          <w:tcPr>
            <w:tcW w:type="dxa" w:w="6260"/>
            <w:shd w:fill="F2F4F7"/>
            <w:vAlign w:val="center"/>
            <w:tcMar>
              <w:top w:w="100" w:type="dxa"/>
              <w:start w:w="120" w:type="dxa"/>
              <w:bottom w:w="100" w:type="dxa"/>
              <w:end w:w="120" w:type="dxa"/>
            </w:tcMar>
          </w:tcPr>
          <w:p>
            <w:r>
              <w:rPr>
                <w:rFonts w:ascii="Calibri" w:hAnsi="Calibri"/>
                <w:b/>
                <w:color w:val="1F4D78"/>
                <w:sz w:val="18"/>
              </w:rPr>
              <w:t>Impacto</w:t>
            </w:r>
          </w:p>
        </w:tc>
      </w:tr>
      <w:tr>
        <w:tc>
          <w:tcPr>
            <w:tcW w:type="dxa" w:w="3100"/>
            <w:vAlign w:val="center"/>
            <w:tcMar>
              <w:top w:w="100" w:type="dxa"/>
              <w:start w:w="120" w:type="dxa"/>
              <w:bottom w:w="100" w:type="dxa"/>
              <w:end w:w="120" w:type="dxa"/>
            </w:tcMar>
          </w:tcPr>
          <w:p>
            <w:pPr>
              <w:spacing w:after="0" w:line="252" w:lineRule="auto"/>
            </w:pPr>
            <w:r>
              <w:rPr>
                <w:rFonts w:ascii="Calibri" w:hAnsi="Calibri"/>
                <w:b w:val="0"/>
                <w:color w:val="1F2937"/>
                <w:sz w:val="17"/>
              </w:rPr>
              <w:t>Recordatorios bajo demanda</w:t>
            </w:r>
          </w:p>
        </w:tc>
        <w:tc>
          <w:tcPr>
            <w:tcW w:type="dxa" w:w="6260"/>
            <w:vAlign w:val="center"/>
            <w:tcMar>
              <w:top w:w="100" w:type="dxa"/>
              <w:start w:w="120" w:type="dxa"/>
              <w:bottom w:w="100" w:type="dxa"/>
              <w:end w:w="120" w:type="dxa"/>
            </w:tcMar>
          </w:tcPr>
          <w:p>
            <w:pPr>
              <w:spacing w:after="0" w:line="252" w:lineRule="auto"/>
            </w:pPr>
            <w:r>
              <w:rPr>
                <w:rFonts w:ascii="Calibri" w:hAnsi="Calibri"/>
                <w:b w:val="0"/>
                <w:color w:val="1F2937"/>
                <w:sz w:val="17"/>
              </w:rPr>
              <w:t>Evita cron, colas y procesos siempre activos; no usa polling.</w:t>
            </w:r>
          </w:p>
        </w:tc>
      </w:tr>
      <w:tr>
        <w:tc>
          <w:tcPr>
            <w:tcW w:type="dxa" w:w="3100"/>
            <w:vAlign w:val="center"/>
            <w:tcMar>
              <w:top w:w="100" w:type="dxa"/>
              <w:start w:w="120" w:type="dxa"/>
              <w:bottom w:w="100" w:type="dxa"/>
              <w:end w:w="120" w:type="dxa"/>
            </w:tcMar>
          </w:tcPr>
          <w:p>
            <w:pPr>
              <w:spacing w:after="0" w:line="252" w:lineRule="auto"/>
            </w:pPr>
            <w:r>
              <w:rPr>
                <w:rFonts w:ascii="Calibri" w:hAnsi="Calibri"/>
                <w:b w:val="0"/>
                <w:color w:val="1F2937"/>
                <w:sz w:val="17"/>
              </w:rPr>
              <w:t>Agregaciones en servidor</w:t>
            </w:r>
          </w:p>
        </w:tc>
        <w:tc>
          <w:tcPr>
            <w:tcW w:type="dxa" w:w="6260"/>
            <w:vAlign w:val="center"/>
            <w:tcMar>
              <w:top w:w="100" w:type="dxa"/>
              <w:start w:w="120" w:type="dxa"/>
              <w:bottom w:w="100" w:type="dxa"/>
              <w:end w:w="120" w:type="dxa"/>
            </w:tcMar>
          </w:tcPr>
          <w:p>
            <w:pPr>
              <w:spacing w:after="0" w:line="252" w:lineRule="auto"/>
            </w:pPr>
            <w:r>
              <w:rPr>
                <w:rFonts w:ascii="Calibri" w:hAnsi="Calibri"/>
                <w:b w:val="0"/>
                <w:color w:val="1F2937"/>
                <w:sz w:val="17"/>
              </w:rPr>
              <w:t>Evita descargar tablas completas para KPIs y recomendaciones.</w:t>
            </w:r>
          </w:p>
        </w:tc>
      </w:tr>
      <w:tr>
        <w:tc>
          <w:tcPr>
            <w:tcW w:type="dxa" w:w="3100"/>
            <w:vAlign w:val="center"/>
            <w:tcMar>
              <w:top w:w="100" w:type="dxa"/>
              <w:start w:w="120" w:type="dxa"/>
              <w:bottom w:w="100" w:type="dxa"/>
              <w:end w:w="120" w:type="dxa"/>
            </w:tcMar>
          </w:tcPr>
          <w:p>
            <w:pPr>
              <w:spacing w:after="0" w:line="252" w:lineRule="auto"/>
            </w:pPr>
            <w:r>
              <w:rPr>
                <w:rFonts w:ascii="Calibri" w:hAnsi="Calibri"/>
                <w:b w:val="0"/>
                <w:color w:val="1F2937"/>
                <w:sz w:val="17"/>
              </w:rPr>
              <w:t>Límites y paginación</w:t>
            </w:r>
          </w:p>
        </w:tc>
        <w:tc>
          <w:tcPr>
            <w:tcW w:type="dxa" w:w="6260"/>
            <w:vAlign w:val="center"/>
            <w:tcMar>
              <w:top w:w="100" w:type="dxa"/>
              <w:start w:w="120" w:type="dxa"/>
              <w:bottom w:w="100" w:type="dxa"/>
              <w:end w:w="120" w:type="dxa"/>
            </w:tcMar>
          </w:tcPr>
          <w:p>
            <w:pPr>
              <w:spacing w:after="0" w:line="252" w:lineRule="auto"/>
            </w:pPr>
            <w:r>
              <w:rPr>
                <w:rFonts w:ascii="Calibri" w:hAnsi="Calibri"/>
                <w:b w:val="0"/>
                <w:color w:val="1F2937"/>
                <w:sz w:val="17"/>
              </w:rPr>
              <w:t>Caja 20 por página; compras 25; recordatorios 30; top productos 10.</w:t>
            </w:r>
          </w:p>
        </w:tc>
      </w:tr>
      <w:tr>
        <w:tc>
          <w:tcPr>
            <w:tcW w:type="dxa" w:w="3100"/>
            <w:vAlign w:val="center"/>
            <w:tcMar>
              <w:top w:w="100" w:type="dxa"/>
              <w:start w:w="120" w:type="dxa"/>
              <w:bottom w:w="100" w:type="dxa"/>
              <w:end w:w="120" w:type="dxa"/>
            </w:tcMar>
          </w:tcPr>
          <w:p>
            <w:pPr>
              <w:spacing w:after="0" w:line="252" w:lineRule="auto"/>
            </w:pPr>
            <w:r>
              <w:rPr>
                <w:rFonts w:ascii="Calibri" w:hAnsi="Calibri"/>
                <w:b w:val="0"/>
                <w:color w:val="1F2937"/>
                <w:sz w:val="17"/>
              </w:rPr>
              <w:t>Índices</w:t>
            </w:r>
          </w:p>
        </w:tc>
        <w:tc>
          <w:tcPr>
            <w:tcW w:type="dxa" w:w="6260"/>
            <w:vAlign w:val="center"/>
            <w:tcMar>
              <w:top w:w="100" w:type="dxa"/>
              <w:start w:w="120" w:type="dxa"/>
              <w:bottom w:w="100" w:type="dxa"/>
              <w:end w:w="120" w:type="dxa"/>
            </w:tcMar>
          </w:tcPr>
          <w:p>
            <w:pPr>
              <w:spacing w:after="0" w:line="252" w:lineRule="auto"/>
            </w:pPr>
            <w:r>
              <w:rPr>
                <w:rFonts w:ascii="Calibri" w:hAnsi="Calibri"/>
                <w:b w:val="0"/>
                <w:color w:val="1F2937"/>
                <w:sz w:val="17"/>
              </w:rPr>
              <w:t>Aceleran estado/fecha, accesos temporales, receta, venta y caja.</w:t>
            </w:r>
          </w:p>
        </w:tc>
      </w:tr>
      <w:tr>
        <w:tc>
          <w:tcPr>
            <w:tcW w:type="dxa" w:w="3100"/>
            <w:vAlign w:val="center"/>
            <w:tcMar>
              <w:top w:w="100" w:type="dxa"/>
              <w:start w:w="120" w:type="dxa"/>
              <w:bottom w:w="100" w:type="dxa"/>
              <w:end w:w="120" w:type="dxa"/>
            </w:tcMar>
          </w:tcPr>
          <w:p>
            <w:pPr>
              <w:spacing w:after="0" w:line="252" w:lineRule="auto"/>
            </w:pPr>
            <w:r>
              <w:rPr>
                <w:rFonts w:ascii="Calibri" w:hAnsi="Calibri"/>
                <w:b w:val="0"/>
                <w:color w:val="1F2937"/>
                <w:sz w:val="17"/>
              </w:rPr>
              <w:t>Transacciones cortas</w:t>
            </w:r>
          </w:p>
        </w:tc>
        <w:tc>
          <w:tcPr>
            <w:tcW w:type="dxa" w:w="6260"/>
            <w:vAlign w:val="center"/>
            <w:tcMar>
              <w:top w:w="100" w:type="dxa"/>
              <w:start w:w="120" w:type="dxa"/>
              <w:bottom w:w="100" w:type="dxa"/>
              <w:end w:w="120" w:type="dxa"/>
            </w:tcMar>
          </w:tcPr>
          <w:p>
            <w:pPr>
              <w:spacing w:after="0" w:line="252" w:lineRule="auto"/>
            </w:pPr>
            <w:r>
              <w:rPr>
                <w:rFonts w:ascii="Calibri" w:hAnsi="Calibri"/>
                <w:b w:val="0"/>
                <w:color w:val="1F2937"/>
                <w:sz w:val="17"/>
              </w:rPr>
              <w:t>Mantienen consistencia y reducen ventanas de carrera.</w:t>
            </w:r>
          </w:p>
        </w:tc>
      </w:tr>
      <w:tr>
        <w:tc>
          <w:tcPr>
            <w:tcW w:type="dxa" w:w="3100"/>
            <w:vAlign w:val="center"/>
            <w:tcMar>
              <w:top w:w="100" w:type="dxa"/>
              <w:start w:w="120" w:type="dxa"/>
              <w:bottom w:w="100" w:type="dxa"/>
              <w:end w:w="120" w:type="dxa"/>
            </w:tcMar>
          </w:tcPr>
          <w:p>
            <w:pPr>
              <w:spacing w:after="0" w:line="252" w:lineRule="auto"/>
            </w:pPr>
            <w:r>
              <w:rPr>
                <w:rFonts w:ascii="Calibri" w:hAnsi="Calibri"/>
                <w:b w:val="0"/>
                <w:color w:val="1F2937"/>
                <w:sz w:val="17"/>
              </w:rPr>
              <w:t>Resumen ejecutivo unificado</w:t>
            </w:r>
          </w:p>
        </w:tc>
        <w:tc>
          <w:tcPr>
            <w:tcW w:type="dxa" w:w="6260"/>
            <w:vAlign w:val="center"/>
            <w:tcMar>
              <w:top w:w="100" w:type="dxa"/>
              <w:start w:w="120" w:type="dxa"/>
              <w:bottom w:w="100" w:type="dxa"/>
              <w:end w:w="120" w:type="dxa"/>
            </w:tcMar>
          </w:tcPr>
          <w:p>
            <w:pPr>
              <w:spacing w:after="0" w:line="252" w:lineRule="auto"/>
            </w:pPr>
            <w:r>
              <w:rPr>
                <w:rFonts w:ascii="Calibri" w:hAnsi="Calibri"/>
                <w:b w:val="0"/>
                <w:color w:val="1F2937"/>
                <w:sz w:val="17"/>
              </w:rPr>
              <w:t>Reduce la carga inicial de reportes de nueve solicitudes HTTP a una.</w:t>
            </w:r>
          </w:p>
        </w:tc>
      </w:tr>
      <w:tr>
        <w:tc>
          <w:tcPr>
            <w:tcW w:type="dxa" w:w="3100"/>
            <w:vAlign w:val="center"/>
            <w:tcMar>
              <w:top w:w="100" w:type="dxa"/>
              <w:start w:w="120" w:type="dxa"/>
              <w:bottom w:w="100" w:type="dxa"/>
              <w:end w:w="120" w:type="dxa"/>
            </w:tcMar>
          </w:tcPr>
          <w:p>
            <w:pPr>
              <w:spacing w:after="0" w:line="252" w:lineRule="auto"/>
            </w:pPr>
            <w:r>
              <w:rPr>
                <w:rFonts w:ascii="Calibri" w:hAnsi="Calibri"/>
                <w:b w:val="0"/>
                <w:color w:val="1F2937"/>
                <w:sz w:val="17"/>
              </w:rPr>
              <w:t>IA local primero</w:t>
            </w:r>
          </w:p>
        </w:tc>
        <w:tc>
          <w:tcPr>
            <w:tcW w:type="dxa" w:w="6260"/>
            <w:vAlign w:val="center"/>
            <w:tcMar>
              <w:top w:w="100" w:type="dxa"/>
              <w:start w:w="120" w:type="dxa"/>
              <w:bottom w:w="100" w:type="dxa"/>
              <w:end w:w="120" w:type="dxa"/>
            </w:tcMar>
          </w:tcPr>
          <w:p>
            <w:pPr>
              <w:spacing w:after="0" w:line="252" w:lineRule="auto"/>
            </w:pPr>
            <w:r>
              <w:rPr>
                <w:rFonts w:ascii="Calibri" w:hAnsi="Calibri"/>
                <w:b w:val="0"/>
                <w:color w:val="1F2937"/>
                <w:sz w:val="17"/>
              </w:rPr>
              <w:t>Responde operaciones frecuentes sin consumo externo y evita latencia cuando la clave avanzada falla.</w:t>
            </w:r>
          </w:p>
        </w:tc>
      </w:tr>
    </w:tbl>
    <w:p>
      <w:pPr>
        <w:spacing w:after="40"/>
      </w:pPr>
    </w:p>
    <w:p>
      <w:r>
        <w:t>Neon Free publica 100 CU-horas por proyecto al mes, 0.5 GB por proyecto, escalado a cero tras inactividad y una ventana limitada de restauración. Vercel Hobby publica cuotas de CPU, memoria e invocaciones y está orientado a proyectos personales. Por ello FarmaPOS evita consultas N+1, tareas persistentes y archivos locales como fuente durable.</w:t>
      </w:r>
    </w:p>
    <w:p>
      <w:pPr>
        <w:spacing w:after="80"/>
      </w:pPr>
      <w:r>
        <w:rPr>
          <w:rFonts w:ascii="Calibri" w:hAnsi="Calibri"/>
          <w:b/>
          <w:color w:val="5B6573"/>
          <w:sz w:val="18"/>
        </w:rPr>
        <w:t xml:space="preserve">Neon Pricing: </w:t>
      </w:r>
      <w:r>
        <w:rPr>
          <w:rFonts w:ascii="Calibri" w:hAnsi="Calibri"/>
          <w:b w:val="0"/>
          <w:color w:val="2E74B5"/>
          <w:sz w:val="18"/>
        </w:rPr>
        <w:t>https://neon.com/pricing</w:t>
      </w:r>
    </w:p>
    <w:p>
      <w:pPr>
        <w:spacing w:after="80"/>
      </w:pPr>
      <w:r>
        <w:rPr>
          <w:rFonts w:ascii="Calibri" w:hAnsi="Calibri"/>
          <w:b/>
          <w:color w:val="5B6573"/>
          <w:sz w:val="18"/>
        </w:rPr>
        <w:t xml:space="preserve">Vercel Hobby: </w:t>
      </w:r>
      <w:r>
        <w:rPr>
          <w:rFonts w:ascii="Calibri" w:hAnsi="Calibri"/>
          <w:b w:val="0"/>
          <w:color w:val="2E74B5"/>
          <w:sz w:val="18"/>
        </w:rPr>
        <w:t>https://vercel.com/docs/plans/hobby</w:t>
      </w:r>
    </w:p>
    <w:p>
      <w:pPr>
        <w:spacing w:after="80"/>
      </w:pPr>
      <w:r>
        <w:rPr>
          <w:rFonts w:ascii="Calibri" w:hAnsi="Calibri"/>
          <w:b/>
          <w:color w:val="5B6573"/>
          <w:sz w:val="18"/>
        </w:rPr>
        <w:t xml:space="preserve">Vercel Functions: </w:t>
      </w:r>
      <w:r>
        <w:rPr>
          <w:rFonts w:ascii="Calibri" w:hAnsi="Calibri"/>
          <w:b w:val="0"/>
          <w:color w:val="2E74B5"/>
          <w:sz w:val="18"/>
        </w:rPr>
        <w:t>https://vercel.com/docs/functions</w:t>
      </w:r>
    </w:p>
    <w:p>
      <w:pPr>
        <w:spacing w:after="80"/>
      </w:pPr>
      <w:r>
        <w:rPr>
          <w:rFonts w:ascii="Calibri" w:hAnsi="Calibri"/>
          <w:b/>
          <w:color w:val="5B6573"/>
          <w:sz w:val="18"/>
        </w:rPr>
        <w:t xml:space="preserve">Archivos en Functions: </w:t>
      </w:r>
      <w:r>
        <w:rPr>
          <w:rFonts w:ascii="Calibri" w:hAnsi="Calibri"/>
          <w:b w:val="0"/>
          <w:color w:val="2E74B5"/>
          <w:sz w:val="18"/>
        </w:rPr>
        <w:t>https://vercel.com/kb/guide/how-can-i-use-files-in-serverless-functions</w:t>
      </w:r>
    </w:p>
    <w:p>
      <w:pPr>
        <w:pStyle w:val="Heading1"/>
        <w:keepNext/>
      </w:pPr>
      <w:r>
        <w:t>10. Evidencia de pruebas</w:t>
      </w:r>
    </w:p>
    <w:tbl>
      <w:tblPr>
        <w:tblStyle w:val="TableGrid"/>
        <w:jc w:val="left"/>
        <w:tblLook w:firstColumn="1" w:firstRow="1" w:lastColumn="0" w:lastRow="0" w:noHBand="0" w:noVBand="1" w:val="04A0"/>
        <w:tblW w:w="9360" w:type="dxa"/>
        <w:tblInd w:w="120" w:type="dxa"/>
        <w:tblLayout w:type="fixed"/>
      </w:tblPr>
      <w:tblGrid>
        <w:gridCol w:w="2400"/>
        <w:gridCol w:w="1600"/>
        <w:gridCol w:w="5360"/>
      </w:tblGrid>
      <w:tr>
        <w:trPr>
          <w:tblHeader w:val="true"/>
        </w:trPr>
        <w:tc>
          <w:tcPr>
            <w:tcW w:type="dxa" w:w="2400"/>
            <w:shd w:fill="F2F4F7"/>
            <w:vAlign w:val="center"/>
            <w:tcMar>
              <w:top w:w="100" w:type="dxa"/>
              <w:start w:w="120" w:type="dxa"/>
              <w:bottom w:w="100" w:type="dxa"/>
              <w:end w:w="120" w:type="dxa"/>
            </w:tcMar>
          </w:tcPr>
          <w:p>
            <w:r>
              <w:rPr>
                <w:rFonts w:ascii="Calibri" w:hAnsi="Calibri"/>
                <w:b/>
                <w:color w:val="1F4D78"/>
                <w:sz w:val="18"/>
              </w:rPr>
              <w:t>Verificación</w:t>
            </w:r>
          </w:p>
        </w:tc>
        <w:tc>
          <w:tcPr>
            <w:tcW w:type="dxa" w:w="1600"/>
            <w:shd w:fill="F2F4F7"/>
            <w:vAlign w:val="center"/>
            <w:tcMar>
              <w:top w:w="100" w:type="dxa"/>
              <w:start w:w="120" w:type="dxa"/>
              <w:bottom w:w="100" w:type="dxa"/>
              <w:end w:w="120" w:type="dxa"/>
            </w:tcMar>
          </w:tcPr>
          <w:p>
            <w:r>
              <w:rPr>
                <w:rFonts w:ascii="Calibri" w:hAnsi="Calibri"/>
                <w:b/>
                <w:color w:val="1F4D78"/>
                <w:sz w:val="18"/>
              </w:rPr>
              <w:t>Resultado</w:t>
            </w:r>
          </w:p>
        </w:tc>
        <w:tc>
          <w:tcPr>
            <w:tcW w:type="dxa" w:w="5360"/>
            <w:shd w:fill="F2F4F7"/>
            <w:vAlign w:val="center"/>
            <w:tcMar>
              <w:top w:w="100" w:type="dxa"/>
              <w:start w:w="120" w:type="dxa"/>
              <w:bottom w:w="100" w:type="dxa"/>
              <w:end w:w="120" w:type="dxa"/>
            </w:tcMar>
          </w:tcPr>
          <w:p>
            <w:r>
              <w:rPr>
                <w:rFonts w:ascii="Calibri" w:hAnsi="Calibri"/>
                <w:b/>
                <w:color w:val="1F4D78"/>
                <w:sz w:val="18"/>
              </w:rPr>
              <w:t>Evidencia</w:t>
            </w:r>
          </w:p>
        </w:tc>
      </w:tr>
      <w:tr>
        <w:tc>
          <w:tcPr>
            <w:tcW w:type="dxa" w:w="2400"/>
            <w:vAlign w:val="center"/>
            <w:tcMar>
              <w:top w:w="100" w:type="dxa"/>
              <w:start w:w="120" w:type="dxa"/>
              <w:bottom w:w="100" w:type="dxa"/>
              <w:end w:w="120" w:type="dxa"/>
            </w:tcMar>
          </w:tcPr>
          <w:p>
            <w:pPr>
              <w:spacing w:after="0" w:line="252" w:lineRule="auto"/>
            </w:pPr>
            <w:r>
              <w:rPr>
                <w:rFonts w:ascii="Calibri" w:hAnsi="Calibri"/>
                <w:b w:val="0"/>
                <w:color w:val="1F2937"/>
                <w:sz w:val="17"/>
              </w:rPr>
              <w:t>Pruebas XP de dominio</w:t>
            </w:r>
          </w:p>
        </w:tc>
        <w:tc>
          <w:tcPr>
            <w:tcW w:type="dxa" w:w="1600"/>
            <w:vAlign w:val="center"/>
            <w:tcMar>
              <w:top w:w="100" w:type="dxa"/>
              <w:start w:w="120" w:type="dxa"/>
              <w:bottom w:w="100" w:type="dxa"/>
              <w:end w:w="120" w:type="dxa"/>
            </w:tcMar>
          </w:tcPr>
          <w:p>
            <w:pPr>
              <w:spacing w:after="0" w:line="252" w:lineRule="auto"/>
            </w:pPr>
            <w:r>
              <w:rPr>
                <w:rFonts w:ascii="Calibri" w:hAnsi="Calibri"/>
                <w:b w:val="0"/>
                <w:color w:val="1F2937"/>
                <w:sz w:val="17"/>
              </w:rPr>
              <w:t>APROBADO</w:t>
            </w:r>
          </w:p>
        </w:tc>
        <w:tc>
          <w:tcPr>
            <w:tcW w:type="dxa" w:w="5360"/>
            <w:vAlign w:val="center"/>
            <w:tcMar>
              <w:top w:w="100" w:type="dxa"/>
              <w:start w:w="120" w:type="dxa"/>
              <w:bottom w:w="100" w:type="dxa"/>
              <w:end w:w="120" w:type="dxa"/>
            </w:tcMar>
          </w:tcPr>
          <w:p>
            <w:pPr>
              <w:spacing w:after="0" w:line="252" w:lineRule="auto"/>
            </w:pPr>
            <w:r>
              <w:rPr>
                <w:rFonts w:ascii="Calibri" w:hAnsi="Calibri"/>
                <w:b w:val="0"/>
                <w:color w:val="1F2937"/>
                <w:sz w:val="17"/>
              </w:rPr>
              <w:t>10 reglas: FEFO, vencidos, excepción, caja, receta y compras.</w:t>
            </w:r>
          </w:p>
        </w:tc>
      </w:tr>
      <w:tr>
        <w:tc>
          <w:tcPr>
            <w:tcW w:type="dxa" w:w="2400"/>
            <w:vAlign w:val="center"/>
            <w:tcMar>
              <w:top w:w="100" w:type="dxa"/>
              <w:start w:w="120" w:type="dxa"/>
              <w:bottom w:w="100" w:type="dxa"/>
              <w:end w:w="120" w:type="dxa"/>
            </w:tcMar>
          </w:tcPr>
          <w:p>
            <w:pPr>
              <w:spacing w:after="0" w:line="252" w:lineRule="auto"/>
            </w:pPr>
            <w:r>
              <w:rPr>
                <w:rFonts w:ascii="Calibri" w:hAnsi="Calibri"/>
                <w:b w:val="0"/>
                <w:color w:val="1F2937"/>
                <w:sz w:val="17"/>
              </w:rPr>
              <w:t>Suite IA y permisos</w:t>
            </w:r>
          </w:p>
        </w:tc>
        <w:tc>
          <w:tcPr>
            <w:tcW w:type="dxa" w:w="1600"/>
            <w:vAlign w:val="center"/>
            <w:tcMar>
              <w:top w:w="100" w:type="dxa"/>
              <w:start w:w="120" w:type="dxa"/>
              <w:bottom w:w="100" w:type="dxa"/>
              <w:end w:w="120" w:type="dxa"/>
            </w:tcMar>
          </w:tcPr>
          <w:p>
            <w:pPr>
              <w:spacing w:after="0" w:line="252" w:lineRule="auto"/>
            </w:pPr>
            <w:r>
              <w:rPr>
                <w:rFonts w:ascii="Calibri" w:hAnsi="Calibri"/>
                <w:b w:val="0"/>
                <w:color w:val="1F2937"/>
                <w:sz w:val="17"/>
              </w:rPr>
              <w:t>APROBADO</w:t>
            </w:r>
          </w:p>
        </w:tc>
        <w:tc>
          <w:tcPr>
            <w:tcW w:type="dxa" w:w="5360"/>
            <w:vAlign w:val="center"/>
            <w:tcMar>
              <w:top w:w="100" w:type="dxa"/>
              <w:start w:w="120" w:type="dxa"/>
              <w:bottom w:w="100" w:type="dxa"/>
              <w:end w:w="120" w:type="dxa"/>
            </w:tcMar>
          </w:tcPr>
          <w:p>
            <w:pPr>
              <w:spacing w:after="0" w:line="252" w:lineRule="auto"/>
            </w:pPr>
            <w:r>
              <w:rPr>
                <w:rFonts w:ascii="Calibri" w:hAnsi="Calibri"/>
                <w:b w:val="0"/>
                <w:color w:val="1F2937"/>
                <w:sz w:val="17"/>
              </w:rPr>
              <w:t>50 pruebas: RBAC, Zod, prompt injection, límites, FEFO e intenciones locales.</w:t>
            </w:r>
          </w:p>
        </w:tc>
      </w:tr>
      <w:tr>
        <w:tc>
          <w:tcPr>
            <w:tcW w:type="dxa" w:w="2400"/>
            <w:vAlign w:val="center"/>
            <w:tcMar>
              <w:top w:w="100" w:type="dxa"/>
              <w:start w:w="120" w:type="dxa"/>
              <w:bottom w:w="100" w:type="dxa"/>
              <w:end w:w="120" w:type="dxa"/>
            </w:tcMar>
          </w:tcPr>
          <w:p>
            <w:pPr>
              <w:spacing w:after="0" w:line="252" w:lineRule="auto"/>
            </w:pPr>
            <w:r>
              <w:rPr>
                <w:rFonts w:ascii="Calibri" w:hAnsi="Calibri"/>
                <w:b w:val="0"/>
                <w:color w:val="1F2937"/>
                <w:sz w:val="17"/>
              </w:rPr>
              <w:t>Suite de reportes</w:t>
            </w:r>
          </w:p>
        </w:tc>
        <w:tc>
          <w:tcPr>
            <w:tcW w:type="dxa" w:w="1600"/>
            <w:vAlign w:val="center"/>
            <w:tcMar>
              <w:top w:w="100" w:type="dxa"/>
              <w:start w:w="120" w:type="dxa"/>
              <w:bottom w:w="100" w:type="dxa"/>
              <w:end w:w="120" w:type="dxa"/>
            </w:tcMar>
          </w:tcPr>
          <w:p>
            <w:pPr>
              <w:spacing w:after="0" w:line="252" w:lineRule="auto"/>
            </w:pPr>
            <w:r>
              <w:rPr>
                <w:rFonts w:ascii="Calibri" w:hAnsi="Calibri"/>
                <w:b w:val="0"/>
                <w:color w:val="1F2937"/>
                <w:sz w:val="17"/>
              </w:rPr>
              <w:t>APROBADO</w:t>
            </w:r>
          </w:p>
        </w:tc>
        <w:tc>
          <w:tcPr>
            <w:tcW w:type="dxa" w:w="5360"/>
            <w:vAlign w:val="center"/>
            <w:tcMar>
              <w:top w:w="100" w:type="dxa"/>
              <w:start w:w="120" w:type="dxa"/>
              <w:bottom w:w="100" w:type="dxa"/>
              <w:end w:w="120" w:type="dxa"/>
            </w:tcMar>
          </w:tcPr>
          <w:p>
            <w:pPr>
              <w:spacing w:after="0" w:line="252" w:lineRule="auto"/>
            </w:pPr>
            <w:r>
              <w:rPr>
                <w:rFonts w:ascii="Calibri" w:hAnsi="Calibri"/>
                <w:b w:val="0"/>
                <w:color w:val="1F2937"/>
                <w:sz w:val="17"/>
              </w:rPr>
              <w:t>8 pruebas: utilidad, margen, ticket, variación, cero y validación de rangos.</w:t>
            </w:r>
          </w:p>
        </w:tc>
      </w:tr>
      <w:tr>
        <w:tc>
          <w:tcPr>
            <w:tcW w:type="dxa" w:w="2400"/>
            <w:vAlign w:val="center"/>
            <w:tcMar>
              <w:top w:w="100" w:type="dxa"/>
              <w:start w:w="120" w:type="dxa"/>
              <w:bottom w:w="100" w:type="dxa"/>
              <w:end w:w="120" w:type="dxa"/>
            </w:tcMar>
          </w:tcPr>
          <w:p>
            <w:pPr>
              <w:spacing w:after="0" w:line="252" w:lineRule="auto"/>
            </w:pPr>
            <w:r>
              <w:rPr>
                <w:rFonts w:ascii="Calibri" w:hAnsi="Calibri"/>
                <w:b w:val="0"/>
                <w:color w:val="1F2937"/>
                <w:sz w:val="17"/>
              </w:rPr>
              <w:t>TypeScript</w:t>
            </w:r>
          </w:p>
        </w:tc>
        <w:tc>
          <w:tcPr>
            <w:tcW w:type="dxa" w:w="1600"/>
            <w:vAlign w:val="center"/>
            <w:tcMar>
              <w:top w:w="100" w:type="dxa"/>
              <w:start w:w="120" w:type="dxa"/>
              <w:bottom w:w="100" w:type="dxa"/>
              <w:end w:w="120" w:type="dxa"/>
            </w:tcMar>
          </w:tcPr>
          <w:p>
            <w:pPr>
              <w:spacing w:after="0" w:line="252" w:lineRule="auto"/>
            </w:pPr>
            <w:r>
              <w:rPr>
                <w:rFonts w:ascii="Calibri" w:hAnsi="Calibri"/>
                <w:b w:val="0"/>
                <w:color w:val="1F2937"/>
                <w:sz w:val="17"/>
              </w:rPr>
              <w:t>APROBADO</w:t>
            </w:r>
          </w:p>
        </w:tc>
        <w:tc>
          <w:tcPr>
            <w:tcW w:type="dxa" w:w="5360"/>
            <w:vAlign w:val="center"/>
            <w:tcMar>
              <w:top w:w="100" w:type="dxa"/>
              <w:start w:w="120" w:type="dxa"/>
              <w:bottom w:w="100" w:type="dxa"/>
              <w:end w:w="120" w:type="dxa"/>
            </w:tcMar>
          </w:tcPr>
          <w:p>
            <w:pPr>
              <w:spacing w:after="0" w:line="252" w:lineRule="auto"/>
            </w:pPr>
            <w:r>
              <w:rPr>
                <w:rFonts w:ascii="Calibri" w:hAnsi="Calibri"/>
                <w:b w:val="0"/>
                <w:color w:val="1F2937"/>
                <w:sz w:val="17"/>
              </w:rPr>
              <w:t>npx tsc --noEmit, sin errores.</w:t>
            </w:r>
          </w:p>
        </w:tc>
      </w:tr>
      <w:tr>
        <w:tc>
          <w:tcPr>
            <w:tcW w:type="dxa" w:w="2400"/>
            <w:vAlign w:val="center"/>
            <w:tcMar>
              <w:top w:w="100" w:type="dxa"/>
              <w:start w:w="120" w:type="dxa"/>
              <w:bottom w:w="100" w:type="dxa"/>
              <w:end w:w="120" w:type="dxa"/>
            </w:tcMar>
          </w:tcPr>
          <w:p>
            <w:pPr>
              <w:spacing w:after="0" w:line="252" w:lineRule="auto"/>
            </w:pPr>
            <w:r>
              <w:rPr>
                <w:rFonts w:ascii="Calibri" w:hAnsi="Calibri"/>
                <w:b w:val="0"/>
                <w:color w:val="1F2937"/>
                <w:sz w:val="17"/>
              </w:rPr>
              <w:t>Prisma y Neon</w:t>
            </w:r>
          </w:p>
        </w:tc>
        <w:tc>
          <w:tcPr>
            <w:tcW w:type="dxa" w:w="1600"/>
            <w:vAlign w:val="center"/>
            <w:tcMar>
              <w:top w:w="100" w:type="dxa"/>
              <w:start w:w="120" w:type="dxa"/>
              <w:bottom w:w="100" w:type="dxa"/>
              <w:end w:w="120" w:type="dxa"/>
            </w:tcMar>
          </w:tcPr>
          <w:p>
            <w:pPr>
              <w:spacing w:after="0" w:line="252" w:lineRule="auto"/>
            </w:pPr>
            <w:r>
              <w:rPr>
                <w:rFonts w:ascii="Calibri" w:hAnsi="Calibri"/>
                <w:b w:val="0"/>
                <w:color w:val="1F2937"/>
                <w:sz w:val="17"/>
              </w:rPr>
              <w:t>APROBADO</w:t>
            </w:r>
          </w:p>
        </w:tc>
        <w:tc>
          <w:tcPr>
            <w:tcW w:type="dxa" w:w="5360"/>
            <w:vAlign w:val="center"/>
            <w:tcMar>
              <w:top w:w="100" w:type="dxa"/>
              <w:start w:w="120" w:type="dxa"/>
              <w:bottom w:w="100" w:type="dxa"/>
              <w:end w:w="120" w:type="dxa"/>
            </w:tcMar>
          </w:tcPr>
          <w:p>
            <w:pPr>
              <w:spacing w:after="0" w:line="252" w:lineRule="auto"/>
            </w:pPr>
            <w:r>
              <w:rPr>
                <w:rFonts w:ascii="Calibri" w:hAnsi="Calibri"/>
                <w:b w:val="0"/>
                <w:color w:val="1F2937"/>
                <w:sz w:val="17"/>
              </w:rPr>
              <w:t>Esquema válido; migración aplicada; nueve migraciones al día.</w:t>
            </w:r>
          </w:p>
        </w:tc>
      </w:tr>
      <w:tr>
        <w:tc>
          <w:tcPr>
            <w:tcW w:type="dxa" w:w="2400"/>
            <w:vAlign w:val="center"/>
            <w:tcMar>
              <w:top w:w="100" w:type="dxa"/>
              <w:start w:w="120" w:type="dxa"/>
              <w:bottom w:w="100" w:type="dxa"/>
              <w:end w:w="120" w:type="dxa"/>
            </w:tcMar>
          </w:tcPr>
          <w:p>
            <w:pPr>
              <w:spacing w:after="0" w:line="252" w:lineRule="auto"/>
            </w:pPr>
            <w:r>
              <w:rPr>
                <w:rFonts w:ascii="Calibri" w:hAnsi="Calibri"/>
                <w:b w:val="0"/>
                <w:color w:val="1F2937"/>
                <w:sz w:val="17"/>
              </w:rPr>
              <w:t>Navegador local</w:t>
            </w:r>
          </w:p>
        </w:tc>
        <w:tc>
          <w:tcPr>
            <w:tcW w:type="dxa" w:w="1600"/>
            <w:vAlign w:val="center"/>
            <w:tcMar>
              <w:top w:w="100" w:type="dxa"/>
              <w:start w:w="120" w:type="dxa"/>
              <w:bottom w:w="100" w:type="dxa"/>
              <w:end w:w="120" w:type="dxa"/>
            </w:tcMar>
          </w:tcPr>
          <w:p>
            <w:pPr>
              <w:spacing w:after="0" w:line="252" w:lineRule="auto"/>
            </w:pPr>
            <w:r>
              <w:rPr>
                <w:rFonts w:ascii="Calibri" w:hAnsi="Calibri"/>
                <w:b w:val="0"/>
                <w:color w:val="1F2937"/>
                <w:sz w:val="17"/>
              </w:rPr>
              <w:t>APROBADO</w:t>
            </w:r>
          </w:p>
        </w:tc>
        <w:tc>
          <w:tcPr>
            <w:tcW w:type="dxa" w:w="5360"/>
            <w:vAlign w:val="center"/>
            <w:tcMar>
              <w:top w:w="100" w:type="dxa"/>
              <w:start w:w="120" w:type="dxa"/>
              <w:bottom w:w="100" w:type="dxa"/>
              <w:end w:w="120" w:type="dxa"/>
            </w:tcMar>
          </w:tcPr>
          <w:p>
            <w:pPr>
              <w:spacing w:after="0" w:line="252" w:lineRule="auto"/>
            </w:pPr>
            <w:r>
              <w:rPr>
                <w:rFonts w:ascii="Calibri" w:hAnsi="Calibri"/>
                <w:b w:val="0"/>
                <w:color w:val="1F2937"/>
                <w:sz w:val="17"/>
              </w:rPr>
              <w:t>IA con Neon, reportes ejecutivos y detalle bajo demanda; cero errores de consola.</w:t>
            </w:r>
          </w:p>
        </w:tc>
      </w:tr>
      <w:tr>
        <w:tc>
          <w:tcPr>
            <w:tcW w:type="dxa" w:w="2400"/>
            <w:vAlign w:val="center"/>
            <w:tcMar>
              <w:top w:w="100" w:type="dxa"/>
              <w:start w:w="120" w:type="dxa"/>
              <w:bottom w:w="100" w:type="dxa"/>
              <w:end w:w="120" w:type="dxa"/>
            </w:tcMar>
          </w:tcPr>
          <w:p>
            <w:pPr>
              <w:spacing w:after="0" w:line="252" w:lineRule="auto"/>
            </w:pPr>
            <w:r>
              <w:rPr>
                <w:rFonts w:ascii="Calibri" w:hAnsi="Calibri"/>
                <w:b w:val="0"/>
                <w:color w:val="1F2937"/>
                <w:sz w:val="17"/>
              </w:rPr>
              <w:t>UI modo oscuro</w:t>
            </w:r>
          </w:p>
        </w:tc>
        <w:tc>
          <w:tcPr>
            <w:tcW w:type="dxa" w:w="1600"/>
            <w:vAlign w:val="center"/>
            <w:tcMar>
              <w:top w:w="100" w:type="dxa"/>
              <w:start w:w="120" w:type="dxa"/>
              <w:bottom w:w="100" w:type="dxa"/>
              <w:end w:w="120" w:type="dxa"/>
            </w:tcMar>
          </w:tcPr>
          <w:p>
            <w:pPr>
              <w:spacing w:after="0" w:line="252" w:lineRule="auto"/>
            </w:pPr>
            <w:r>
              <w:rPr>
                <w:rFonts w:ascii="Calibri" w:hAnsi="Calibri"/>
                <w:b w:val="0"/>
                <w:color w:val="1F2937"/>
                <w:sz w:val="17"/>
              </w:rPr>
              <w:t>APROBADO</w:t>
            </w:r>
          </w:p>
        </w:tc>
        <w:tc>
          <w:tcPr>
            <w:tcW w:type="dxa" w:w="5360"/>
            <w:vAlign w:val="center"/>
            <w:tcMar>
              <w:top w:w="100" w:type="dxa"/>
              <w:start w:w="120" w:type="dxa"/>
              <w:bottom w:w="100" w:type="dxa"/>
              <w:end w:w="120" w:type="dxa"/>
            </w:tcMar>
          </w:tcPr>
          <w:p>
            <w:pPr>
              <w:spacing w:after="0" w:line="252" w:lineRule="auto"/>
            </w:pPr>
            <w:r>
              <w:rPr>
                <w:rFonts w:ascii="Calibri" w:hAnsi="Calibri"/>
                <w:b w:val="0"/>
                <w:color w:val="1F2937"/>
                <w:sz w:val="17"/>
              </w:rPr>
              <w:t>Seis KPI legibles, gráfico tematizado, faltante positivo y servicios excluidos del stock.</w:t>
            </w:r>
          </w:p>
        </w:tc>
      </w:tr>
      <w:tr>
        <w:tc>
          <w:tcPr>
            <w:tcW w:type="dxa" w:w="2400"/>
            <w:vAlign w:val="center"/>
            <w:tcMar>
              <w:top w:w="100" w:type="dxa"/>
              <w:start w:w="120" w:type="dxa"/>
              <w:bottom w:w="100" w:type="dxa"/>
              <w:end w:w="120" w:type="dxa"/>
            </w:tcMar>
          </w:tcPr>
          <w:p>
            <w:pPr>
              <w:spacing w:after="0" w:line="252" w:lineRule="auto"/>
            </w:pPr>
            <w:r>
              <w:rPr>
                <w:rFonts w:ascii="Calibri" w:hAnsi="Calibri"/>
                <w:b w:val="0"/>
                <w:color w:val="1F2937"/>
                <w:sz w:val="17"/>
              </w:rPr>
              <w:t>Build producción</w:t>
            </w:r>
          </w:p>
        </w:tc>
        <w:tc>
          <w:tcPr>
            <w:tcW w:type="dxa" w:w="1600"/>
            <w:vAlign w:val="center"/>
            <w:tcMar>
              <w:top w:w="100" w:type="dxa"/>
              <w:start w:w="120" w:type="dxa"/>
              <w:bottom w:w="100" w:type="dxa"/>
              <w:end w:w="120" w:type="dxa"/>
            </w:tcMar>
          </w:tcPr>
          <w:p>
            <w:pPr>
              <w:spacing w:after="0" w:line="252" w:lineRule="auto"/>
            </w:pPr>
            <w:r>
              <w:rPr>
                <w:rFonts w:ascii="Calibri" w:hAnsi="Calibri"/>
                <w:b w:val="0"/>
                <w:color w:val="1F2937"/>
                <w:sz w:val="17"/>
              </w:rPr>
              <w:t>APROBADO</w:t>
            </w:r>
          </w:p>
        </w:tc>
        <w:tc>
          <w:tcPr>
            <w:tcW w:type="dxa" w:w="5360"/>
            <w:vAlign w:val="center"/>
            <w:tcMar>
              <w:top w:w="100" w:type="dxa"/>
              <w:start w:w="120" w:type="dxa"/>
              <w:bottom w:w="100" w:type="dxa"/>
              <w:end w:w="120" w:type="dxa"/>
            </w:tcMar>
          </w:tcPr>
          <w:p>
            <w:pPr>
              <w:spacing w:after="0" w:line="252" w:lineRule="auto"/>
            </w:pPr>
            <w:r>
              <w:rPr>
                <w:rFonts w:ascii="Calibri" w:hAnsi="Calibri"/>
                <w:b w:val="0"/>
                <w:color w:val="1F2937"/>
                <w:sz w:val="17"/>
              </w:rPr>
              <w:t>Next.js 16.3.0: 77 rutas, TypeScript incluido y sin advertencias de trazado.</w:t>
            </w:r>
          </w:p>
        </w:tc>
      </w:tr>
      <w:tr>
        <w:tc>
          <w:tcPr>
            <w:tcW w:type="dxa" w:w="2400"/>
            <w:vAlign w:val="center"/>
            <w:tcMar>
              <w:top w:w="100" w:type="dxa"/>
              <w:start w:w="120" w:type="dxa"/>
              <w:bottom w:w="100" w:type="dxa"/>
              <w:end w:w="120" w:type="dxa"/>
            </w:tcMar>
          </w:tcPr>
          <w:p>
            <w:pPr>
              <w:spacing w:after="0" w:line="252" w:lineRule="auto"/>
            </w:pPr>
            <w:r>
              <w:rPr>
                <w:rFonts w:ascii="Calibri" w:hAnsi="Calibri"/>
                <w:b w:val="0"/>
                <w:color w:val="1F2937"/>
                <w:sz w:val="17"/>
              </w:rPr>
              <w:t>Lint</w:t>
            </w:r>
          </w:p>
        </w:tc>
        <w:tc>
          <w:tcPr>
            <w:tcW w:type="dxa" w:w="1600"/>
            <w:vAlign w:val="center"/>
            <w:tcMar>
              <w:top w:w="100" w:type="dxa"/>
              <w:start w:w="120" w:type="dxa"/>
              <w:bottom w:w="100" w:type="dxa"/>
              <w:end w:w="120" w:type="dxa"/>
            </w:tcMar>
          </w:tcPr>
          <w:p>
            <w:pPr>
              <w:spacing w:after="0" w:line="252" w:lineRule="auto"/>
            </w:pPr>
            <w:r>
              <w:rPr>
                <w:rFonts w:ascii="Calibri" w:hAnsi="Calibri"/>
                <w:b w:val="0"/>
                <w:color w:val="1F2937"/>
                <w:sz w:val="17"/>
              </w:rPr>
              <w:t>NO EJECUTABLE</w:t>
            </w:r>
          </w:p>
        </w:tc>
        <w:tc>
          <w:tcPr>
            <w:tcW w:type="dxa" w:w="5360"/>
            <w:vAlign w:val="center"/>
            <w:tcMar>
              <w:top w:w="100" w:type="dxa"/>
              <w:start w:w="120" w:type="dxa"/>
              <w:bottom w:w="100" w:type="dxa"/>
              <w:end w:w="120" w:type="dxa"/>
            </w:tcMar>
          </w:tcPr>
          <w:p>
            <w:pPr>
              <w:spacing w:after="0" w:line="252" w:lineRule="auto"/>
            </w:pPr>
            <w:r>
              <w:rPr>
                <w:rFonts w:ascii="Calibri" w:hAnsi="Calibri"/>
                <w:b w:val="0"/>
                <w:color w:val="1F2937"/>
                <w:sz w:val="17"/>
              </w:rPr>
              <w:t>next lint es inválido en Next.js 16; requiere migrar el script a ESLint CLI.</w:t>
            </w:r>
          </w:p>
        </w:tc>
      </w:tr>
    </w:tbl>
    <w:p>
      <w:pPr>
        <w:spacing w:after="40"/>
      </w:pPr>
    </w:p>
    <w:p>
      <w:r>
        <w:t>La advertencia de trazado amplio fue eliminada al acotar los adjuntos clínicos al directorio uploads, validar que las rutas almacenadas no puedan salir de ese límite e indicar al empaquetador cuáles accesos dinámicos están controlados. El build dejó de omitir errores TypeScript y terminó sin advertencias.</w:t>
      </w:r>
    </w:p>
    <w:p>
      <w:pPr>
        <w:pStyle w:val="Heading1"/>
        <w:keepNext/>
      </w:pPr>
      <w:r>
        <w:t>11. Riesgos, limitaciones y trabajo futuro</w:t>
      </w:r>
    </w:p>
    <w:tbl>
      <w:tblPr>
        <w:tblStyle w:val="TableGrid"/>
        <w:jc w:val="left"/>
        <w:tblLook w:firstColumn="1" w:firstRow="1" w:lastColumn="0" w:lastRow="0" w:noHBand="0" w:noVBand="1" w:val="04A0"/>
        <w:tblW w:w="9360" w:type="dxa"/>
        <w:tblInd w:w="120" w:type="dxa"/>
        <w:tblLayout w:type="fixed"/>
      </w:tblPr>
      <w:tblGrid>
        <w:gridCol w:w="2550"/>
        <w:gridCol w:w="1050"/>
        <w:gridCol w:w="5760"/>
      </w:tblGrid>
      <w:tr>
        <w:trPr>
          <w:tblHeader w:val="true"/>
        </w:trPr>
        <w:tc>
          <w:tcPr>
            <w:tcW w:type="dxa" w:w="2550"/>
            <w:shd w:fill="F2F4F7"/>
            <w:vAlign w:val="center"/>
            <w:tcMar>
              <w:top w:w="100" w:type="dxa"/>
              <w:start w:w="120" w:type="dxa"/>
              <w:bottom w:w="100" w:type="dxa"/>
              <w:end w:w="120" w:type="dxa"/>
            </w:tcMar>
          </w:tcPr>
          <w:p>
            <w:r>
              <w:rPr>
                <w:rFonts w:ascii="Calibri" w:hAnsi="Calibri"/>
                <w:b/>
                <w:color w:val="1F4D78"/>
                <w:sz w:val="18"/>
              </w:rPr>
              <w:t>Riesgo o límite</w:t>
            </w:r>
          </w:p>
        </w:tc>
        <w:tc>
          <w:tcPr>
            <w:tcW w:type="dxa" w:w="1050"/>
            <w:shd w:fill="F2F4F7"/>
            <w:vAlign w:val="center"/>
            <w:tcMar>
              <w:top w:w="100" w:type="dxa"/>
              <w:start w:w="120" w:type="dxa"/>
              <w:bottom w:w="100" w:type="dxa"/>
              <w:end w:w="120" w:type="dxa"/>
            </w:tcMar>
          </w:tcPr>
          <w:p>
            <w:r>
              <w:rPr>
                <w:rFonts w:ascii="Calibri" w:hAnsi="Calibri"/>
                <w:b/>
                <w:color w:val="1F4D78"/>
                <w:sz w:val="18"/>
              </w:rPr>
              <w:t>Nivel</w:t>
            </w:r>
          </w:p>
        </w:tc>
        <w:tc>
          <w:tcPr>
            <w:tcW w:type="dxa" w:w="5760"/>
            <w:shd w:fill="F2F4F7"/>
            <w:vAlign w:val="center"/>
            <w:tcMar>
              <w:top w:w="100" w:type="dxa"/>
              <w:start w:w="120" w:type="dxa"/>
              <w:bottom w:w="100" w:type="dxa"/>
              <w:end w:w="120" w:type="dxa"/>
            </w:tcMar>
          </w:tcPr>
          <w:p>
            <w:r>
              <w:rPr>
                <w:rFonts w:ascii="Calibri" w:hAnsi="Calibri"/>
                <w:b/>
                <w:color w:val="1F4D78"/>
                <w:sz w:val="18"/>
              </w:rPr>
              <w:t>Recomendación</w:t>
            </w:r>
          </w:p>
        </w:tc>
      </w:tr>
      <w:tr>
        <w:tc>
          <w:tcPr>
            <w:tcW w:type="dxa" w:w="2550"/>
            <w:vAlign w:val="center"/>
            <w:tcMar>
              <w:top w:w="100" w:type="dxa"/>
              <w:start w:w="120" w:type="dxa"/>
              <w:bottom w:w="100" w:type="dxa"/>
              <w:end w:w="120" w:type="dxa"/>
            </w:tcMar>
          </w:tcPr>
          <w:p>
            <w:pPr>
              <w:spacing w:after="0" w:line="252" w:lineRule="auto"/>
            </w:pPr>
            <w:r>
              <w:rPr>
                <w:rFonts w:ascii="Calibri" w:hAnsi="Calibri"/>
                <w:b w:val="0"/>
                <w:color w:val="1F2937"/>
                <w:sz w:val="17"/>
              </w:rPr>
              <w:t>Adjuntos en disco local</w:t>
            </w:r>
          </w:p>
        </w:tc>
        <w:tc>
          <w:tcPr>
            <w:tcW w:type="dxa" w:w="1050"/>
            <w:vAlign w:val="center"/>
            <w:tcMar>
              <w:top w:w="100" w:type="dxa"/>
              <w:start w:w="120" w:type="dxa"/>
              <w:bottom w:w="100" w:type="dxa"/>
              <w:end w:w="120" w:type="dxa"/>
            </w:tcMar>
          </w:tcPr>
          <w:p>
            <w:pPr>
              <w:spacing w:after="0" w:line="252" w:lineRule="auto"/>
            </w:pPr>
            <w:r>
              <w:rPr>
                <w:rFonts w:ascii="Calibri" w:hAnsi="Calibri"/>
                <w:b w:val="0"/>
                <w:color w:val="1F2937"/>
                <w:sz w:val="17"/>
              </w:rPr>
              <w:t>Alto</w:t>
            </w:r>
          </w:p>
        </w:tc>
        <w:tc>
          <w:tcPr>
            <w:tcW w:type="dxa" w:w="5760"/>
            <w:vAlign w:val="center"/>
            <w:tcMar>
              <w:top w:w="100" w:type="dxa"/>
              <w:start w:w="120" w:type="dxa"/>
              <w:bottom w:w="100" w:type="dxa"/>
              <w:end w:w="120" w:type="dxa"/>
            </w:tcMar>
          </w:tcPr>
          <w:p>
            <w:pPr>
              <w:spacing w:after="0" w:line="252" w:lineRule="auto"/>
            </w:pPr>
            <w:r>
              <w:rPr>
                <w:rFonts w:ascii="Calibri" w:hAnsi="Calibri"/>
                <w:b w:val="0"/>
                <w:color w:val="1F2937"/>
                <w:sz w:val="17"/>
              </w:rPr>
              <w:t>Migrar a almacenamiento de objetos cuando exista presupuesto; no ampliar uploads/.</w:t>
            </w:r>
          </w:p>
        </w:tc>
      </w:tr>
      <w:tr>
        <w:tc>
          <w:tcPr>
            <w:tcW w:type="dxa" w:w="2550"/>
            <w:vAlign w:val="center"/>
            <w:tcMar>
              <w:top w:w="100" w:type="dxa"/>
              <w:start w:w="120" w:type="dxa"/>
              <w:bottom w:w="100" w:type="dxa"/>
              <w:end w:w="120" w:type="dxa"/>
            </w:tcMar>
          </w:tcPr>
          <w:p>
            <w:pPr>
              <w:spacing w:after="0" w:line="252" w:lineRule="auto"/>
            </w:pPr>
            <w:r>
              <w:rPr>
                <w:rFonts w:ascii="Calibri" w:hAnsi="Calibri"/>
                <w:b w:val="0"/>
                <w:color w:val="1F2937"/>
                <w:sz w:val="17"/>
              </w:rPr>
              <w:t>Resumen, no portal completo</w:t>
            </w:r>
          </w:p>
        </w:tc>
        <w:tc>
          <w:tcPr>
            <w:tcW w:type="dxa" w:w="1050"/>
            <w:vAlign w:val="center"/>
            <w:tcMar>
              <w:top w:w="100" w:type="dxa"/>
              <w:start w:w="120" w:type="dxa"/>
              <w:bottom w:w="100" w:type="dxa"/>
              <w:end w:w="120" w:type="dxa"/>
            </w:tcMar>
          </w:tcPr>
          <w:p>
            <w:pPr>
              <w:spacing w:after="0" w:line="252" w:lineRule="auto"/>
            </w:pPr>
            <w:r>
              <w:rPr>
                <w:rFonts w:ascii="Calibri" w:hAnsi="Calibri"/>
                <w:b w:val="0"/>
                <w:color w:val="1F2937"/>
                <w:sz w:val="17"/>
              </w:rPr>
              <w:t>Medio</w:t>
            </w:r>
          </w:p>
        </w:tc>
        <w:tc>
          <w:tcPr>
            <w:tcW w:type="dxa" w:w="5760"/>
            <w:vAlign w:val="center"/>
            <w:tcMar>
              <w:top w:w="100" w:type="dxa"/>
              <w:start w:w="120" w:type="dxa"/>
              <w:bottom w:w="100" w:type="dxa"/>
              <w:end w:w="120" w:type="dxa"/>
            </w:tcMar>
          </w:tcPr>
          <w:p>
            <w:pPr>
              <w:spacing w:after="0" w:line="252" w:lineRule="auto"/>
            </w:pPr>
            <w:r>
              <w:rPr>
                <w:rFonts w:ascii="Calibri" w:hAnsi="Calibri"/>
                <w:b w:val="0"/>
                <w:color w:val="1F2937"/>
                <w:sz w:val="17"/>
              </w:rPr>
              <w:t>Añadir autenticación del paciente, revocación UI y consentimiento explícito en una fase regulatoria.</w:t>
            </w:r>
          </w:p>
        </w:tc>
      </w:tr>
      <w:tr>
        <w:tc>
          <w:tcPr>
            <w:tcW w:type="dxa" w:w="2550"/>
            <w:vAlign w:val="center"/>
            <w:tcMar>
              <w:top w:w="100" w:type="dxa"/>
              <w:start w:w="120" w:type="dxa"/>
              <w:bottom w:w="100" w:type="dxa"/>
              <w:end w:w="120" w:type="dxa"/>
            </w:tcMar>
          </w:tcPr>
          <w:p>
            <w:pPr>
              <w:spacing w:after="0" w:line="252" w:lineRule="auto"/>
            </w:pPr>
            <w:r>
              <w:rPr>
                <w:rFonts w:ascii="Calibri" w:hAnsi="Calibri"/>
                <w:b w:val="0"/>
                <w:color w:val="1F2937"/>
                <w:sz w:val="17"/>
              </w:rPr>
              <w:t>Sin interacciones farmacológicas</w:t>
            </w:r>
          </w:p>
        </w:tc>
        <w:tc>
          <w:tcPr>
            <w:tcW w:type="dxa" w:w="1050"/>
            <w:vAlign w:val="center"/>
            <w:tcMar>
              <w:top w:w="100" w:type="dxa"/>
              <w:start w:w="120" w:type="dxa"/>
              <w:bottom w:w="100" w:type="dxa"/>
              <w:end w:w="120" w:type="dxa"/>
            </w:tcMar>
          </w:tcPr>
          <w:p>
            <w:pPr>
              <w:spacing w:after="0" w:line="252" w:lineRule="auto"/>
            </w:pPr>
            <w:r>
              <w:rPr>
                <w:rFonts w:ascii="Calibri" w:hAnsi="Calibri"/>
                <w:b w:val="0"/>
                <w:color w:val="1F2937"/>
                <w:sz w:val="17"/>
              </w:rPr>
              <w:t>Alto</w:t>
            </w:r>
          </w:p>
        </w:tc>
        <w:tc>
          <w:tcPr>
            <w:tcW w:type="dxa" w:w="5760"/>
            <w:vAlign w:val="center"/>
            <w:tcMar>
              <w:top w:w="100" w:type="dxa"/>
              <w:start w:w="120" w:type="dxa"/>
              <w:bottom w:w="100" w:type="dxa"/>
              <w:end w:w="120" w:type="dxa"/>
            </w:tcMar>
          </w:tcPr>
          <w:p>
            <w:pPr>
              <w:spacing w:after="0" w:line="252" w:lineRule="auto"/>
            </w:pPr>
            <w:r>
              <w:rPr>
                <w:rFonts w:ascii="Calibri" w:hAnsi="Calibri"/>
                <w:b w:val="0"/>
                <w:color w:val="1F2937"/>
                <w:sz w:val="17"/>
              </w:rPr>
              <w:t>Definir interfaz de proveedor clínico validado; no simular reglas médicas incompletas.</w:t>
            </w:r>
          </w:p>
        </w:tc>
      </w:tr>
      <w:tr>
        <w:tc>
          <w:tcPr>
            <w:tcW w:type="dxa" w:w="2550"/>
            <w:vAlign w:val="center"/>
            <w:tcMar>
              <w:top w:w="100" w:type="dxa"/>
              <w:start w:w="120" w:type="dxa"/>
              <w:bottom w:w="100" w:type="dxa"/>
              <w:end w:w="120" w:type="dxa"/>
            </w:tcMar>
          </w:tcPr>
          <w:p>
            <w:pPr>
              <w:spacing w:after="0" w:line="252" w:lineRule="auto"/>
            </w:pPr>
            <w:r>
              <w:rPr>
                <w:rFonts w:ascii="Calibri" w:hAnsi="Calibri"/>
                <w:b w:val="0"/>
                <w:color w:val="1F2937"/>
                <w:sz w:val="17"/>
              </w:rPr>
              <w:t>Mensajería externa inactiva</w:t>
            </w:r>
          </w:p>
        </w:tc>
        <w:tc>
          <w:tcPr>
            <w:tcW w:type="dxa" w:w="1050"/>
            <w:vAlign w:val="center"/>
            <w:tcMar>
              <w:top w:w="100" w:type="dxa"/>
              <w:start w:w="120" w:type="dxa"/>
              <w:bottom w:w="100" w:type="dxa"/>
              <w:end w:w="120" w:type="dxa"/>
            </w:tcMar>
          </w:tcPr>
          <w:p>
            <w:pPr>
              <w:spacing w:after="0" w:line="252" w:lineRule="auto"/>
            </w:pPr>
            <w:r>
              <w:rPr>
                <w:rFonts w:ascii="Calibri" w:hAnsi="Calibri"/>
                <w:b w:val="0"/>
                <w:color w:val="1F2937"/>
                <w:sz w:val="17"/>
              </w:rPr>
              <w:t>Bajo</w:t>
            </w:r>
          </w:p>
        </w:tc>
        <w:tc>
          <w:tcPr>
            <w:tcW w:type="dxa" w:w="5760"/>
            <w:vAlign w:val="center"/>
            <w:tcMar>
              <w:top w:w="100" w:type="dxa"/>
              <w:start w:w="120" w:type="dxa"/>
              <w:bottom w:w="100" w:type="dxa"/>
              <w:end w:w="120" w:type="dxa"/>
            </w:tcMar>
          </w:tcPr>
          <w:p>
            <w:pPr>
              <w:spacing w:after="0" w:line="252" w:lineRule="auto"/>
            </w:pPr>
            <w:r>
              <w:rPr>
                <w:rFonts w:ascii="Calibri" w:hAnsi="Calibri"/>
                <w:b w:val="0"/>
                <w:color w:val="1F2937"/>
                <w:sz w:val="17"/>
              </w:rPr>
              <w:t>La estructura de canales existe; activar sólo con consentimiento y proveedor aprobado.</w:t>
            </w:r>
          </w:p>
        </w:tc>
      </w:tr>
      <w:tr>
        <w:tc>
          <w:tcPr>
            <w:tcW w:type="dxa" w:w="2550"/>
            <w:vAlign w:val="center"/>
            <w:tcMar>
              <w:top w:w="100" w:type="dxa"/>
              <w:start w:w="120" w:type="dxa"/>
              <w:bottom w:w="100" w:type="dxa"/>
              <w:end w:w="120" w:type="dxa"/>
            </w:tcMar>
          </w:tcPr>
          <w:p>
            <w:pPr>
              <w:spacing w:after="0" w:line="252" w:lineRule="auto"/>
            </w:pPr>
            <w:r>
              <w:rPr>
                <w:rFonts w:ascii="Calibri" w:hAnsi="Calibri"/>
                <w:b w:val="0"/>
                <w:color w:val="1F2937"/>
                <w:sz w:val="17"/>
              </w:rPr>
              <w:t>Cobertura E2E transaccional</w:t>
            </w:r>
          </w:p>
        </w:tc>
        <w:tc>
          <w:tcPr>
            <w:tcW w:type="dxa" w:w="1050"/>
            <w:vAlign w:val="center"/>
            <w:tcMar>
              <w:top w:w="100" w:type="dxa"/>
              <w:start w:w="120" w:type="dxa"/>
              <w:bottom w:w="100" w:type="dxa"/>
              <w:end w:w="120" w:type="dxa"/>
            </w:tcMar>
          </w:tcPr>
          <w:p>
            <w:pPr>
              <w:spacing w:after="0" w:line="252" w:lineRule="auto"/>
            </w:pPr>
            <w:r>
              <w:rPr>
                <w:rFonts w:ascii="Calibri" w:hAnsi="Calibri"/>
                <w:b w:val="0"/>
                <w:color w:val="1F2937"/>
                <w:sz w:val="17"/>
              </w:rPr>
              <w:t>Medio</w:t>
            </w:r>
          </w:p>
        </w:tc>
        <w:tc>
          <w:tcPr>
            <w:tcW w:type="dxa" w:w="5760"/>
            <w:vAlign w:val="center"/>
            <w:tcMar>
              <w:top w:w="100" w:type="dxa"/>
              <w:start w:w="120" w:type="dxa"/>
              <w:bottom w:w="100" w:type="dxa"/>
              <w:end w:w="120" w:type="dxa"/>
            </w:tcMar>
          </w:tcPr>
          <w:p>
            <w:pPr>
              <w:spacing w:after="0" w:line="252" w:lineRule="auto"/>
            </w:pPr>
            <w:r>
              <w:rPr>
                <w:rFonts w:ascii="Calibri" w:hAnsi="Calibri"/>
                <w:b w:val="0"/>
                <w:color w:val="1F2937"/>
                <w:sz w:val="17"/>
              </w:rPr>
              <w:t>Añadir pruebas automatizadas de navegador que creen y reviertan datos aislados en una rama de Neon.</w:t>
            </w:r>
          </w:p>
        </w:tc>
      </w:tr>
      <w:tr>
        <w:tc>
          <w:tcPr>
            <w:tcW w:type="dxa" w:w="2550"/>
            <w:vAlign w:val="center"/>
            <w:tcMar>
              <w:top w:w="100" w:type="dxa"/>
              <w:start w:w="120" w:type="dxa"/>
              <w:bottom w:w="100" w:type="dxa"/>
              <w:end w:w="120" w:type="dxa"/>
            </w:tcMar>
          </w:tcPr>
          <w:p>
            <w:pPr>
              <w:spacing w:after="0" w:line="252" w:lineRule="auto"/>
            </w:pPr>
            <w:r>
              <w:rPr>
                <w:rFonts w:ascii="Calibri" w:hAnsi="Calibri"/>
                <w:b w:val="0"/>
                <w:color w:val="1F2937"/>
                <w:sz w:val="17"/>
              </w:rPr>
              <w:t>Lint legado</w:t>
            </w:r>
          </w:p>
        </w:tc>
        <w:tc>
          <w:tcPr>
            <w:tcW w:type="dxa" w:w="1050"/>
            <w:vAlign w:val="center"/>
            <w:tcMar>
              <w:top w:w="100" w:type="dxa"/>
              <w:start w:w="120" w:type="dxa"/>
              <w:bottom w:w="100" w:type="dxa"/>
              <w:end w:w="120" w:type="dxa"/>
            </w:tcMar>
          </w:tcPr>
          <w:p>
            <w:pPr>
              <w:spacing w:after="0" w:line="252" w:lineRule="auto"/>
            </w:pPr>
            <w:r>
              <w:rPr>
                <w:rFonts w:ascii="Calibri" w:hAnsi="Calibri"/>
                <w:b w:val="0"/>
                <w:color w:val="1F2937"/>
                <w:sz w:val="17"/>
              </w:rPr>
              <w:t>Bajo</w:t>
            </w:r>
          </w:p>
        </w:tc>
        <w:tc>
          <w:tcPr>
            <w:tcW w:type="dxa" w:w="5760"/>
            <w:vAlign w:val="center"/>
            <w:tcMar>
              <w:top w:w="100" w:type="dxa"/>
              <w:start w:w="120" w:type="dxa"/>
              <w:bottom w:w="100" w:type="dxa"/>
              <w:end w:w="120" w:type="dxa"/>
            </w:tcMar>
          </w:tcPr>
          <w:p>
            <w:pPr>
              <w:spacing w:after="0" w:line="252" w:lineRule="auto"/>
            </w:pPr>
            <w:r>
              <w:rPr>
                <w:rFonts w:ascii="Calibri" w:hAnsi="Calibri"/>
                <w:b w:val="0"/>
                <w:color w:val="1F2937"/>
                <w:sz w:val="17"/>
              </w:rPr>
              <w:t>Instalar/configurar ESLint compatible con Next.js 16 y sustituir next lint.</w:t>
            </w:r>
          </w:p>
        </w:tc>
      </w:tr>
      <w:tr>
        <w:tc>
          <w:tcPr>
            <w:tcW w:type="dxa" w:w="2550"/>
            <w:vAlign w:val="center"/>
            <w:tcMar>
              <w:top w:w="100" w:type="dxa"/>
              <w:start w:w="120" w:type="dxa"/>
              <w:bottom w:w="100" w:type="dxa"/>
              <w:end w:w="120" w:type="dxa"/>
            </w:tcMar>
          </w:tcPr>
          <w:p>
            <w:pPr>
              <w:spacing w:after="0" w:line="252" w:lineRule="auto"/>
            </w:pPr>
            <w:r>
              <w:rPr>
                <w:rFonts w:ascii="Calibri" w:hAnsi="Calibri"/>
                <w:b w:val="0"/>
                <w:color w:val="1F2937"/>
                <w:sz w:val="17"/>
              </w:rPr>
              <w:t>Estados como texto</w:t>
            </w:r>
          </w:p>
        </w:tc>
        <w:tc>
          <w:tcPr>
            <w:tcW w:type="dxa" w:w="1050"/>
            <w:vAlign w:val="center"/>
            <w:tcMar>
              <w:top w:w="100" w:type="dxa"/>
              <w:start w:w="120" w:type="dxa"/>
              <w:bottom w:w="100" w:type="dxa"/>
              <w:end w:w="120" w:type="dxa"/>
            </w:tcMar>
          </w:tcPr>
          <w:p>
            <w:pPr>
              <w:spacing w:after="0" w:line="252" w:lineRule="auto"/>
            </w:pPr>
            <w:r>
              <w:rPr>
                <w:rFonts w:ascii="Calibri" w:hAnsi="Calibri"/>
                <w:b w:val="0"/>
                <w:color w:val="1F2937"/>
                <w:sz w:val="17"/>
              </w:rPr>
              <w:t>Bajo</w:t>
            </w:r>
          </w:p>
        </w:tc>
        <w:tc>
          <w:tcPr>
            <w:tcW w:type="dxa" w:w="5760"/>
            <w:vAlign w:val="center"/>
            <w:tcMar>
              <w:top w:w="100" w:type="dxa"/>
              <w:start w:w="120" w:type="dxa"/>
              <w:bottom w:w="100" w:type="dxa"/>
              <w:end w:w="120" w:type="dxa"/>
            </w:tcMar>
          </w:tcPr>
          <w:p>
            <w:pPr>
              <w:spacing w:after="0" w:line="252" w:lineRule="auto"/>
            </w:pPr>
            <w:r>
              <w:rPr>
                <w:rFonts w:ascii="Calibri" w:hAnsi="Calibri"/>
                <w:b w:val="0"/>
                <w:color w:val="1F2937"/>
                <w:sz w:val="17"/>
              </w:rPr>
              <w:t>Evaluar enum PostgreSQL en una migración posterior tras limpiar valores históricos.</w:t>
            </w:r>
          </w:p>
        </w:tc>
      </w:tr>
      <w:tr>
        <w:tc>
          <w:tcPr>
            <w:tcW w:type="dxa" w:w="2550"/>
            <w:vAlign w:val="center"/>
            <w:tcMar>
              <w:top w:w="100" w:type="dxa"/>
              <w:start w:w="120" w:type="dxa"/>
              <w:bottom w:w="100" w:type="dxa"/>
              <w:end w:w="120" w:type="dxa"/>
            </w:tcMar>
          </w:tcPr>
          <w:p>
            <w:pPr>
              <w:spacing w:after="0" w:line="252" w:lineRule="auto"/>
            </w:pPr>
            <w:r>
              <w:rPr>
                <w:rFonts w:ascii="Calibri" w:hAnsi="Calibri"/>
                <w:b w:val="0"/>
                <w:color w:val="1F2937"/>
                <w:sz w:val="17"/>
              </w:rPr>
              <w:t>Clave de IA externa rechazada</w:t>
            </w:r>
          </w:p>
        </w:tc>
        <w:tc>
          <w:tcPr>
            <w:tcW w:type="dxa" w:w="1050"/>
            <w:vAlign w:val="center"/>
            <w:tcMar>
              <w:top w:w="100" w:type="dxa"/>
              <w:start w:w="120" w:type="dxa"/>
              <w:bottom w:w="100" w:type="dxa"/>
              <w:end w:w="120" w:type="dxa"/>
            </w:tcMar>
          </w:tcPr>
          <w:p>
            <w:pPr>
              <w:spacing w:after="0" w:line="252" w:lineRule="auto"/>
            </w:pPr>
            <w:r>
              <w:rPr>
                <w:rFonts w:ascii="Calibri" w:hAnsi="Calibri"/>
                <w:b w:val="0"/>
                <w:color w:val="1F2937"/>
                <w:sz w:val="17"/>
              </w:rPr>
              <w:t>Medio</w:t>
            </w:r>
          </w:p>
        </w:tc>
        <w:tc>
          <w:tcPr>
            <w:tcW w:type="dxa" w:w="5760"/>
            <w:vAlign w:val="center"/>
            <w:tcMar>
              <w:top w:w="100" w:type="dxa"/>
              <w:start w:w="120" w:type="dxa"/>
              <w:bottom w:w="100" w:type="dxa"/>
              <w:end w:w="120" w:type="dxa"/>
            </w:tcMar>
          </w:tcPr>
          <w:p>
            <w:pPr>
              <w:spacing w:after="0" w:line="252" w:lineRule="auto"/>
            </w:pPr>
            <w:r>
              <w:rPr>
                <w:rFonts w:ascii="Calibri" w:hAnsi="Calibri"/>
                <w:b w:val="0"/>
                <w:color w:val="1F2937"/>
                <w:sz w:val="17"/>
              </w:rPr>
              <w:t>La credencial recibida respondió 403 en Vertex y 404 en Gemini clásico; confirmar proveedor, endpoint y permisos. El motor local permanece operativo.</w:t>
            </w:r>
          </w:p>
        </w:tc>
      </w:tr>
      <w:tr>
        <w:tc>
          <w:tcPr>
            <w:tcW w:type="dxa" w:w="2550"/>
            <w:vAlign w:val="center"/>
            <w:tcMar>
              <w:top w:w="100" w:type="dxa"/>
              <w:start w:w="120" w:type="dxa"/>
              <w:bottom w:w="100" w:type="dxa"/>
              <w:end w:w="120" w:type="dxa"/>
            </w:tcMar>
          </w:tcPr>
          <w:p>
            <w:pPr>
              <w:spacing w:after="0" w:line="252" w:lineRule="auto"/>
            </w:pPr>
            <w:r>
              <w:rPr>
                <w:rFonts w:ascii="Calibri" w:hAnsi="Calibri"/>
                <w:b w:val="0"/>
                <w:color w:val="1F2937"/>
                <w:sz w:val="17"/>
              </w:rPr>
              <w:t>Dependencia xlsx sin parche</w:t>
            </w:r>
          </w:p>
        </w:tc>
        <w:tc>
          <w:tcPr>
            <w:tcW w:type="dxa" w:w="1050"/>
            <w:vAlign w:val="center"/>
            <w:tcMar>
              <w:top w:w="100" w:type="dxa"/>
              <w:start w:w="120" w:type="dxa"/>
              <w:bottom w:w="100" w:type="dxa"/>
              <w:end w:w="120" w:type="dxa"/>
            </w:tcMar>
          </w:tcPr>
          <w:p>
            <w:pPr>
              <w:spacing w:after="0" w:line="252" w:lineRule="auto"/>
            </w:pPr>
            <w:r>
              <w:rPr>
                <w:rFonts w:ascii="Calibri" w:hAnsi="Calibri"/>
                <w:b w:val="0"/>
                <w:color w:val="1F2937"/>
                <w:sz w:val="17"/>
              </w:rPr>
              <w:t>Medio</w:t>
            </w:r>
          </w:p>
        </w:tc>
        <w:tc>
          <w:tcPr>
            <w:tcW w:type="dxa" w:w="5760"/>
            <w:vAlign w:val="center"/>
            <w:tcMar>
              <w:top w:w="100" w:type="dxa"/>
              <w:start w:w="120" w:type="dxa"/>
              <w:bottom w:w="100" w:type="dxa"/>
              <w:end w:w="120" w:type="dxa"/>
            </w:tcMar>
          </w:tcPr>
          <w:p>
            <w:pPr>
              <w:spacing w:after="0" w:line="252" w:lineRule="auto"/>
            </w:pPr>
            <w:r>
              <w:rPr>
                <w:rFonts w:ascii="Calibri" w:hAnsi="Calibri"/>
                <w:b w:val="0"/>
                <w:color w:val="1F2937"/>
                <w:sz w:val="17"/>
              </w:rPr>
              <w:t>Restringir archivos generados/descargados y evaluar migración a una librería mantenida; npm audit no ofrece corrección.</w:t>
            </w:r>
          </w:p>
        </w:tc>
      </w:tr>
    </w:tbl>
    <w:p>
      <w:pPr>
        <w:spacing w:after="40"/>
      </w:pPr>
    </w:p>
    <w:p>
      <w:pPr>
        <w:pStyle w:val="Heading1"/>
        <w:keepNext/>
      </w:pPr>
      <w:r>
        <w:t>12. Conclusión</w:t>
      </w:r>
    </w:p>
    <w:p>
      <w:r>
        <w:t>FarmaPOS avanzó de un conjunto funcional amplio a una operación más segura, explicable y resiliente. El incremento protege la dispensación por lote, enlaza farmacia y clínica, formaliza el efectivo, mantiene una IA operativa sin dependencia externa y entrega reportes comparables con menor carga inicial. La aplicación de XP se evidencia en historias concretas, iteraciones pequeñas, 68 pruebas especializadas, refactorización y una retrospectiva honesta.</w:t>
      </w:r>
    </w:p>
    <w:p>
      <w:r>
        <w:t>La migración ya fue aplicada y verificada en Neon; Caja, IA, reportes y los módulos integrados cargan con datos reales. Antes de publicar en Vercel queda decidir almacenamiento durable para adjuntos, migrar xlsx a una alternativa mantenida, configurar ESLint CLI y obtener una credencial externa con proveedor y endpoint confirmados. El repositorio queda compilable y preparado para la entrega académica.</w:t>
      </w:r>
    </w:p>
    <w:p>
      <w:pPr>
        <w:pStyle w:val="Heading1"/>
        <w:keepNext/>
      </w:pPr>
      <w:r>
        <w:t>Anexo A. Archivos importantes modificados</w:t>
      </w:r>
    </w:p>
    <w:tbl>
      <w:tblPr>
        <w:tblStyle w:val="TableGrid"/>
        <w:jc w:val="left"/>
        <w:tblLook w:firstColumn="1" w:firstRow="1" w:lastColumn="0" w:lastRow="0" w:noHBand="0" w:noVBand="1" w:val="04A0"/>
        <w:tblW w:w="9360" w:type="dxa"/>
        <w:tblInd w:w="120" w:type="dxa"/>
        <w:tblLayout w:type="fixed"/>
      </w:tblPr>
      <w:tblGrid>
        <w:gridCol w:w="4400"/>
        <w:gridCol w:w="4960"/>
      </w:tblGrid>
      <w:tr>
        <w:trPr>
          <w:tblHeader w:val="true"/>
        </w:trPr>
        <w:tc>
          <w:tcPr>
            <w:tcW w:type="dxa" w:w="4400"/>
            <w:shd w:fill="F2F4F7"/>
            <w:vAlign w:val="center"/>
            <w:tcMar>
              <w:top w:w="100" w:type="dxa"/>
              <w:start w:w="120" w:type="dxa"/>
              <w:bottom w:w="100" w:type="dxa"/>
              <w:end w:w="120" w:type="dxa"/>
            </w:tcMar>
          </w:tcPr>
          <w:p>
            <w:r>
              <w:rPr>
                <w:rFonts w:ascii="Calibri" w:hAnsi="Calibri"/>
                <w:b/>
                <w:color w:val="1F4D78"/>
                <w:sz w:val="18"/>
              </w:rPr>
              <w:t>Archivo</w:t>
            </w:r>
          </w:p>
        </w:tc>
        <w:tc>
          <w:tcPr>
            <w:tcW w:type="dxa" w:w="4960"/>
            <w:shd w:fill="F2F4F7"/>
            <w:vAlign w:val="center"/>
            <w:tcMar>
              <w:top w:w="100" w:type="dxa"/>
              <w:start w:w="120" w:type="dxa"/>
              <w:bottom w:w="100" w:type="dxa"/>
              <w:end w:w="120" w:type="dxa"/>
            </w:tcMar>
          </w:tcPr>
          <w:p>
            <w:r>
              <w:rPr>
                <w:rFonts w:ascii="Calibri" w:hAnsi="Calibri"/>
                <w:b/>
                <w:color w:val="1F4D78"/>
                <w:sz w:val="18"/>
              </w:rPr>
              <w:t>Responsabilidad</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prisma/schema.prisma</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Relaciones, caja, acceso paciente, índices.</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prisma/migrations/20260807090000_xp_operacion_integrada/</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Migración SQL y rollback.</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lib/domain/fefo.ts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Regla FEFO reutilizable.</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lib/domain/cash.ts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Cálculo de cierre.</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lib/domain/prescriptions.ts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Estados y transiciones.</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lib/domain/purchase-recommendations.ts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Recomendación explicable.</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app/api/ventas/route.ts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Venta, receta, caja y auditoría en transacción.</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app/api/caja/route.ts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Apertura, movimientos, cierre y resolución.</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app/api/recordatorios/route.ts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Centro por rol.</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app/api/dashboard/gerencial/route.ts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KPIs agregados.</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app/api/compras/recomendaciones/route.ts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Demanda, vencimiento y proveedores.</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app/api/paciente/</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Generación y consumo del enlace temporal.</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app/ventas/nueva/page.tsx</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FEFO, excepción y alergias.</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app/caja/page.tsx</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Interfaz de caja.</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components/dashboard-reminders.tsx</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Recordatorios en dashboard.</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components/gerencial-panel.tsx</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Indicadores gerenciales.</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lib/ia/local-assistant.ts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Intenciones y respuestas operativas sin proveedor externo.</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app/api/ia/chat/route.ts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Vertex AI opcional, validación, permisos y degradación segura.</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app/api/reportes/resumen/route.ts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KPIs y tendencia ejecutiva en una sola solicitud.</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lib/reportes/metrics.ts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Cálculos puros de margen, ticket y comparación.</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app/reportes/page.tsx</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Carga diferida, seis KPI, modo oscuro y exportación completa.</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scripts/test-xp-domain.ts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Pruebas de reglas críticas.</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scripts/test-ia.ts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50 pruebas de seguridad, permisos y motor local.</w:t>
            </w:r>
          </w:p>
        </w:tc>
      </w:tr>
      <w:tr>
        <w:tc>
          <w:tcPr>
            <w:tcW w:type="dxa" w:w="4400"/>
            <w:vAlign w:val="center"/>
            <w:tcMar>
              <w:top w:w="100" w:type="dxa"/>
              <w:start w:w="120" w:type="dxa"/>
              <w:bottom w:w="100" w:type="dxa"/>
              <w:end w:w="120" w:type="dxa"/>
            </w:tcMar>
          </w:tcPr>
          <w:p>
            <w:pPr>
              <w:spacing w:after="0" w:line="252" w:lineRule="auto"/>
            </w:pPr>
            <w:r>
              <w:rPr>
                <w:rFonts w:ascii="Calibri" w:hAnsi="Calibri"/>
                <w:b w:val="0"/>
                <w:color w:val="1F2937"/>
                <w:sz w:val="17"/>
              </w:rPr>
              <w:t>scripts/test-reportes.ts</w:t>
            </w:r>
          </w:p>
        </w:tc>
        <w:tc>
          <w:tcPr>
            <w:tcW w:type="dxa" w:w="4960"/>
            <w:vAlign w:val="center"/>
            <w:tcMar>
              <w:top w:w="100" w:type="dxa"/>
              <w:start w:w="120" w:type="dxa"/>
              <w:bottom w:w="100" w:type="dxa"/>
              <w:end w:w="120" w:type="dxa"/>
            </w:tcMar>
          </w:tcPr>
          <w:p>
            <w:pPr>
              <w:spacing w:after="0" w:line="252" w:lineRule="auto"/>
            </w:pPr>
            <w:r>
              <w:rPr>
                <w:rFonts w:ascii="Calibri" w:hAnsi="Calibri"/>
                <w:b w:val="0"/>
                <w:color w:val="1F2937"/>
                <w:sz w:val="17"/>
              </w:rPr>
              <w:t>8 pruebas de métricas y rangos.</w:t>
            </w:r>
          </w:p>
        </w:tc>
      </w:tr>
    </w:tbl>
    <w:p>
      <w:pPr>
        <w:spacing w:after="40"/>
      </w:pPr>
    </w:p>
    <w:p>
      <w:pPr>
        <w:pStyle w:val="Heading1"/>
        <w:keepNext/>
      </w:pPr>
      <w:r>
        <w:t>Anexo B. Comandos de validación</w:t>
      </w:r>
    </w:p>
    <w:p>
      <w:pPr>
        <w:pStyle w:val="ListBullet"/>
        <w:spacing w:after="120" w:line="280" w:lineRule="auto"/>
        <w:ind w:left="720" w:hanging="360"/>
      </w:pPr>
      <w:r>
        <w:t>npm test</w:t>
      </w:r>
    </w:p>
    <w:p>
      <w:pPr>
        <w:pStyle w:val="ListBullet"/>
        <w:spacing w:after="120" w:line="280" w:lineRule="auto"/>
        <w:ind w:left="720" w:hanging="360"/>
      </w:pPr>
      <w:r>
        <w:t>npm run test:reportes</w:t>
      </w:r>
    </w:p>
    <w:p>
      <w:pPr>
        <w:pStyle w:val="ListBullet"/>
        <w:spacing w:after="120" w:line="280" w:lineRule="auto"/>
        <w:ind w:left="720" w:hanging="360"/>
      </w:pPr>
      <w:r>
        <w:t>npm run test:xp</w:t>
      </w:r>
    </w:p>
    <w:p>
      <w:pPr>
        <w:pStyle w:val="ListBullet"/>
        <w:spacing w:after="120" w:line="280" w:lineRule="auto"/>
        <w:ind w:left="720" w:hanging="360"/>
      </w:pPr>
      <w:r>
        <w:t>npx tsc --noEmit</w:t>
      </w:r>
    </w:p>
    <w:p>
      <w:pPr>
        <w:pStyle w:val="ListBullet"/>
        <w:spacing w:after="120" w:line="280" w:lineRule="auto"/>
        <w:ind w:left="720" w:hanging="360"/>
      </w:pPr>
      <w:r>
        <w:t>npx prisma validate</w:t>
      </w:r>
    </w:p>
    <w:p>
      <w:pPr>
        <w:pStyle w:val="ListBullet"/>
        <w:spacing w:after="120" w:line="280" w:lineRule="auto"/>
        <w:ind w:left="720" w:hanging="360"/>
      </w:pPr>
      <w:r>
        <w:t>npx prisma generate</w:t>
      </w:r>
    </w:p>
    <w:p>
      <w:pPr>
        <w:pStyle w:val="ListBullet"/>
        <w:spacing w:after="120" w:line="280" w:lineRule="auto"/>
        <w:ind w:left="720" w:hanging="360"/>
      </w:pPr>
      <w:r>
        <w:t>npm run build</w:t>
      </w:r>
    </w:p>
    <w:p>
      <w:pPr>
        <w:pStyle w:val="ListBullet"/>
        <w:spacing w:after="120" w:line="280" w:lineRule="auto"/>
        <w:ind w:left="720" w:hanging="360"/>
      </w:pPr>
      <w:r>
        <w:t>npm run lint (detectó script incompatible con Next.js 16)</w:t>
      </w:r>
    </w:p>
    <w:p>
      <w:pPr>
        <w:pStyle w:val="Heading1"/>
        <w:keepNext/>
      </w:pPr>
      <w:r>
        <w:t>Anexo C. Fuentes consultadas</w:t>
      </w:r>
    </w:p>
    <w:p>
      <w:r>
        <w:t>Fuentes oficiales consultadas el 7 de agosto de 2026. Las capacidades y límites pueden cambiar; deben verificarse antes de una decisión de compra o despliegue.</w:t>
      </w:r>
    </w:p>
    <w:p>
      <w:pPr>
        <w:spacing w:after="80"/>
      </w:pPr>
      <w:r>
        <w:rPr>
          <w:rFonts w:ascii="Calibri" w:hAnsi="Calibri"/>
          <w:b/>
          <w:color w:val="5B6573"/>
          <w:sz w:val="18"/>
        </w:rPr>
        <w:t xml:space="preserve">PioneerRx Pharmacy Software: </w:t>
      </w:r>
      <w:r>
        <w:rPr>
          <w:rFonts w:ascii="Calibri" w:hAnsi="Calibri"/>
          <w:b w:val="0"/>
          <w:color w:val="2E74B5"/>
          <w:sz w:val="18"/>
        </w:rPr>
        <w:t>https://www.pioneerrx.com/pharmacy-software</w:t>
      </w:r>
    </w:p>
    <w:p>
      <w:pPr>
        <w:spacing w:after="80"/>
      </w:pPr>
      <w:r>
        <w:rPr>
          <w:rFonts w:ascii="Calibri" w:hAnsi="Calibri"/>
          <w:b/>
          <w:color w:val="5B6573"/>
          <w:sz w:val="18"/>
        </w:rPr>
        <w:t xml:space="preserve">PrimeRx Inventory Management: </w:t>
      </w:r>
      <w:r>
        <w:rPr>
          <w:rFonts w:ascii="Calibri" w:hAnsi="Calibri"/>
          <w:b w:val="0"/>
          <w:color w:val="2E74B5"/>
          <w:sz w:val="18"/>
        </w:rPr>
        <w:t>https://www.primerx.io/pharmacy-inventory-management/</w:t>
      </w:r>
    </w:p>
    <w:p>
      <w:pPr>
        <w:spacing w:after="80"/>
      </w:pPr>
      <w:r>
        <w:rPr>
          <w:rFonts w:ascii="Calibri" w:hAnsi="Calibri"/>
          <w:b/>
          <w:color w:val="5B6573"/>
          <w:sz w:val="18"/>
        </w:rPr>
        <w:t xml:space="preserve">BestRx Pharmacy Software: </w:t>
      </w:r>
      <w:r>
        <w:rPr>
          <w:rFonts w:ascii="Calibri" w:hAnsi="Calibri"/>
          <w:b w:val="0"/>
          <w:color w:val="2E74B5"/>
          <w:sz w:val="18"/>
        </w:rPr>
        <w:t>https://www.bestrx.com/pharmacy-software</w:t>
      </w:r>
    </w:p>
    <w:p>
      <w:pPr>
        <w:spacing w:after="80"/>
      </w:pPr>
      <w:r>
        <w:rPr>
          <w:rFonts w:ascii="Calibri" w:hAnsi="Calibri"/>
          <w:b/>
          <w:color w:val="5B6573"/>
          <w:sz w:val="18"/>
        </w:rPr>
        <w:t xml:space="preserve">Odoo 19 FEFO: </w:t>
      </w:r>
      <w:r>
        <w:rPr>
          <w:rFonts w:ascii="Calibri" w:hAnsi="Calibri"/>
          <w:b w:val="0"/>
          <w:color w:val="2E74B5"/>
          <w:sz w:val="18"/>
        </w:rPr>
        <w:t>https://www.odoo.com/documentation/19.0/applications/inventory_and_mrp/inventory/shipping_receiving/removal_strategies/fefo.html</w:t>
      </w:r>
    </w:p>
    <w:p>
      <w:pPr>
        <w:spacing w:after="80"/>
      </w:pPr>
      <w:r>
        <w:rPr>
          <w:rFonts w:ascii="Calibri" w:hAnsi="Calibri"/>
          <w:b/>
          <w:color w:val="5B6573"/>
          <w:sz w:val="18"/>
        </w:rPr>
        <w:t xml:space="preserve">Neon Pricing: </w:t>
      </w:r>
      <w:r>
        <w:rPr>
          <w:rFonts w:ascii="Calibri" w:hAnsi="Calibri"/>
          <w:b w:val="0"/>
          <w:color w:val="2E74B5"/>
          <w:sz w:val="18"/>
        </w:rPr>
        <w:t>https://neon.com/pricing</w:t>
      </w:r>
    </w:p>
    <w:p>
      <w:pPr>
        <w:spacing w:after="80"/>
      </w:pPr>
      <w:r>
        <w:rPr>
          <w:rFonts w:ascii="Calibri" w:hAnsi="Calibri"/>
          <w:b/>
          <w:color w:val="5B6573"/>
          <w:sz w:val="18"/>
        </w:rPr>
        <w:t xml:space="preserve">Vercel Hobby: </w:t>
      </w:r>
      <w:r>
        <w:rPr>
          <w:rFonts w:ascii="Calibri" w:hAnsi="Calibri"/>
          <w:b w:val="0"/>
          <w:color w:val="2E74B5"/>
          <w:sz w:val="18"/>
        </w:rPr>
        <w:t>https://vercel.com/docs/plans/hobby</w:t>
      </w:r>
    </w:p>
    <w:p>
      <w:pPr>
        <w:spacing w:after="80"/>
      </w:pPr>
      <w:r>
        <w:rPr>
          <w:rFonts w:ascii="Calibri" w:hAnsi="Calibri"/>
          <w:b/>
          <w:color w:val="5B6573"/>
          <w:sz w:val="18"/>
        </w:rPr>
        <w:t xml:space="preserve">Vercel Functions: </w:t>
      </w:r>
      <w:r>
        <w:rPr>
          <w:rFonts w:ascii="Calibri" w:hAnsi="Calibri"/>
          <w:b w:val="0"/>
          <w:color w:val="2E74B5"/>
          <w:sz w:val="18"/>
        </w:rPr>
        <w:t>https://vercel.com/docs/functions</w:t>
      </w:r>
    </w:p>
    <w:p>
      <w:pPr>
        <w:spacing w:after="80"/>
      </w:pPr>
      <w:r>
        <w:rPr>
          <w:rFonts w:ascii="Calibri" w:hAnsi="Calibri"/>
          <w:b/>
          <w:color w:val="5B6573"/>
          <w:sz w:val="18"/>
        </w:rPr>
        <w:t xml:space="preserve">Vercel file persistence guidance: </w:t>
      </w:r>
      <w:r>
        <w:rPr>
          <w:rFonts w:ascii="Calibri" w:hAnsi="Calibri"/>
          <w:b w:val="0"/>
          <w:color w:val="2E74B5"/>
          <w:sz w:val="18"/>
        </w:rPr>
        <w:t>https://vercel.com/kb/guide/how-can-i-use-files-in-serverless-functions</w:t>
      </w:r>
    </w:p>
    <w:p>
      <w:pPr>
        <w:spacing w:after="80"/>
      </w:pPr>
      <w:r>
        <w:rPr>
          <w:rFonts w:ascii="Calibri" w:hAnsi="Calibri"/>
          <w:b/>
          <w:color w:val="5B6573"/>
          <w:sz w:val="18"/>
        </w:rPr>
        <w:t xml:space="preserve">Vercel payload limit guidance: </w:t>
      </w:r>
      <w:r>
        <w:rPr>
          <w:rFonts w:ascii="Calibri" w:hAnsi="Calibri"/>
          <w:b w:val="0"/>
          <w:color w:val="2E74B5"/>
          <w:sz w:val="18"/>
        </w:rPr>
        <w:t>https://vercel.com/kb/guide/how-to-bypass-vercel-body-size-limit-serverless-functions</w:t>
      </w:r>
    </w:p>
    <w:p>
      <w:pPr>
        <w:spacing w:after="80"/>
      </w:pPr>
      <w:r>
        <w:rPr>
          <w:rFonts w:ascii="Calibri" w:hAnsi="Calibri"/>
          <w:b/>
          <w:color w:val="5B6573"/>
          <w:sz w:val="18"/>
        </w:rPr>
        <w:t xml:space="preserve">Vertex AI Express Mode: </w:t>
      </w:r>
      <w:r>
        <w:rPr>
          <w:rFonts w:ascii="Calibri" w:hAnsi="Calibri"/>
          <w:b w:val="0"/>
          <w:color w:val="2E74B5"/>
          <w:sz w:val="18"/>
        </w:rPr>
        <w:t>https://docs.cloud.google.com/vertex-ai/generative-ai/docs/samples/googlegenaisdk-vertexai-express-mode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B6573"/>
        <w:sz w:val="17"/>
      </w:rPr>
      <w:t xml:space="preserve">Ingeniería de Software 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B6573"/>
        <w:sz w:val="17"/>
      </w:rPr>
      <w:t>FarmaPOS | Informe técnico XP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12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técnico de mejoras FarmaPOS</dc:title>
  <dc:subject>Ingeniería de Software I - Extreme Programming</dc:subject>
  <dc:creator>Gakilol</dc:creator>
  <cp:keywords>FarmaPOS, XP, Next.js, Prisma, Neon, Vercel, FEFO</cp:keywords>
  <dc:description>generated by python-docx</dc:description>
  <cp:lastModifiedBy/>
  <cp:revision>1</cp:revision>
  <dcterms:created xsi:type="dcterms:W3CDTF">2013-12-23T23:15:00Z</dcterms:created>
  <dcterms:modified xsi:type="dcterms:W3CDTF">2013-12-23T23:15:00Z</dcterms:modified>
  <cp:category/>
</cp:coreProperties>
</file>