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23B8F">
      <w:pPr>
        <w:widowControl/>
        <w:jc w:val="left"/>
        <w:outlineLvl w:val="1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t>附2：</w:t>
      </w:r>
    </w:p>
    <w:p w14:paraId="55692C4C">
      <w:pPr>
        <w:widowControl/>
        <w:spacing w:line="560" w:lineRule="exact"/>
        <w:jc w:val="center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开发与应用报告</w:t>
      </w:r>
    </w:p>
    <w:p w14:paraId="64EA1358">
      <w:pPr>
        <w:spacing w:line="560" w:lineRule="exact"/>
        <w:ind w:leftChars="200"/>
        <w:rPr>
          <w:rFonts w:hint="eastAsia" w:ascii="方正仿宋_GB18030" w:hAnsi="方正仿宋_GB18030" w:eastAsia="方正仿宋_GB18030" w:cs="方正仿宋_GB18030"/>
          <w:b/>
          <w:bCs w:val="0"/>
          <w:color w:val="00000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b/>
          <w:bCs w:val="0"/>
          <w:color w:val="000000"/>
          <w:sz w:val="24"/>
          <w:szCs w:val="24"/>
        </w:rPr>
        <w:t>一、开发背景</w:t>
      </w:r>
    </w:p>
    <w:p w14:paraId="5AFFEDD7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1.1教学痛点</w:t>
      </w:r>
    </w:p>
    <w:p w14:paraId="3A2AE9FB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中学数学教学中，许多核心概念具有显著的抽象性和动态性。以勾股定理证明、函数图像变化、立体几何旋转体体积推导等知识点为例，传统的"粉笔+黑板"教学模式难以直观展示数学关系的变化过程，学生往往只能通过静态图形和文字描述来想象动态的数学逻辑。</w:t>
      </w:r>
    </w:p>
    <w:p w14:paraId="0C0C220B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过去十年间，3Blue1Brown使用Manim（MathematicalAnimationEngine）制作的数学科普视频为数学可视化教学树立了标杆。然而，Manim本身是一个面向程序员的Python动画框架，教师若想自主制作类似的教学动画，需要同时掌握Python编程、ManimAPI规范和数学设计能力，技术门槛极高。据调研，一名普通数学教师从零学习到独立制作一个简单教学动画，平均需要2-4周的学习时间和1-3天的制作周期，这在实际教学中几乎不可行。</w:t>
      </w:r>
    </w:p>
    <w:p w14:paraId="3421B32E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1.2AI技术带来的转机</w:t>
      </w:r>
    </w:p>
    <w:p w14:paraId="4FD1127D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着大语言模型（LLM）技术的快速发展，特别是DeepSeek、Qwen等高性能可商用模型的普及，自然语言到程序代码的自动转换能力已趋于成熟。这为"教师用自然语言描述教学创意→AI自动生成可执行的动画代码"的技术路径提供了可行性基础。</w:t>
      </w:r>
    </w:p>
    <w:p w14:paraId="55DBD240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然而，简单地让AI"一次生成"完整的Manim视频代码存在以下困难：</w:t>
      </w:r>
    </w:p>
    <w:p w14:paraId="53FCD82D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-语法准确性：AI生成的Manim代码常包含API误用、类名错误、参数类型不匹配等问题</w:t>
      </w:r>
    </w:p>
    <w:p w14:paraId="5EF0F354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-教学逻辑完整性：单次生成难以确保动画覆盖完整的教学推导过程</w:t>
      </w:r>
    </w:p>
    <w:p w14:paraId="2C47F305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-视觉质量可控性：生成的动画布局、颜色、标签位置等需要多轮迭代调优</w:t>
      </w:r>
    </w:p>
    <w:p w14:paraId="33012F92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因此，本案例提出一个分阶段AI流水线架构，将"教学创意→教学视频"的复杂任务分解为11个逐步细化的子任务，每个阶段由独立的AI智能体负责，并嵌入自动验证与修复机制。</w:t>
      </w:r>
    </w:p>
    <w:p w14:paraId="1E3A0B98">
      <w:pPr>
        <w:spacing w:line="560" w:lineRule="exact"/>
        <w:ind w:leftChars="200"/>
        <w:rPr>
          <w:rFonts w:hint="eastAsia" w:ascii="方正仿宋_GB18030" w:hAnsi="方正仿宋_GB18030" w:eastAsia="方正仿宋_GB18030" w:cs="方正仿宋_GB18030"/>
          <w:b/>
          <w:bCs w:val="0"/>
          <w:color w:val="00000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b/>
          <w:bCs w:val="0"/>
          <w:color w:val="000000"/>
          <w:sz w:val="24"/>
          <w:szCs w:val="24"/>
        </w:rPr>
        <w:t>二、设计与开发</w:t>
      </w:r>
    </w:p>
    <w:p w14:paraId="7E97ECEC">
      <w:pPr>
        <w:spacing w:line="560" w:lineRule="exact"/>
        <w:ind w:leftChars="200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（一）平台/技术选择</w:t>
      </w:r>
    </w:p>
    <w:tbl>
      <w:tblPr>
        <w:tblStyle w:val="3"/>
        <w:tblpPr w:leftFromText="180" w:rightFromText="180" w:vertAnchor="text" w:horzAnchor="page" w:tblpX="1890" w:tblpY="24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6"/>
        <w:gridCol w:w="3244"/>
        <w:gridCol w:w="3866"/>
      </w:tblGrid>
      <w:tr w14:paraId="1AD0BE0D">
        <w:trPr>
          <w:tblHeader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9D1387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b/>
                <w:bCs/>
                <w:sz w:val="24"/>
                <w:szCs w:val="24"/>
              </w:rPr>
              <w:t>组件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F23260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b/>
                <w:bCs/>
                <w:sz w:val="24"/>
                <w:szCs w:val="24"/>
              </w:rPr>
              <w:t>选型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008949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b/>
                <w:bCs/>
                <w:sz w:val="24"/>
                <w:szCs w:val="24"/>
              </w:rPr>
              <w:t>选型理由</w:t>
            </w:r>
          </w:p>
        </w:tc>
      </w:tr>
      <w:tr w14:paraId="0E81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63" w:hRule="atLeast"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C6B8EB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AI大模型</w:t>
            </w:r>
          </w:p>
        </w:tc>
        <w:tc>
          <w:tcPr>
            <w:tcW w:w="32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09CB26">
            <w:pPr>
              <w:spacing w:line="240" w:lineRule="auto"/>
              <w:jc w:val="left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DeepSeek（兼容OpenAIAPI）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C176C0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性价比高、支持长上下文、数学推理能力强</w:t>
            </w:r>
          </w:p>
        </w:tc>
      </w:tr>
      <w:tr w14:paraId="38C0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67AD3E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AI智能体框架</w:t>
            </w:r>
          </w:p>
        </w:tc>
        <w:tc>
          <w:tcPr>
            <w:tcW w:w="32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59124E">
            <w:pPr>
              <w:spacing w:line="240" w:lineRule="auto"/>
              <w:jc w:val="left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OpenAIAgentsSDK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8E8780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结构化输出支持完善、支持第三方模型</w:t>
            </w:r>
          </w:p>
        </w:tc>
      </w:tr>
      <w:tr w14:paraId="03D7C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3D6DD4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Web框架</w:t>
            </w:r>
          </w:p>
        </w:tc>
        <w:tc>
          <w:tcPr>
            <w:tcW w:w="32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FCC991">
            <w:pPr>
              <w:spacing w:line="240" w:lineRule="auto"/>
              <w:jc w:val="left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FastAPI+Uvicorn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C8FF20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轻量高性能、异步支持好、内置OpenAPI文档</w:t>
            </w:r>
          </w:p>
        </w:tc>
      </w:tr>
      <w:tr w14:paraId="0C67E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DFDC87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动画引擎</w:t>
            </w:r>
          </w:p>
        </w:tc>
        <w:tc>
          <w:tcPr>
            <w:tcW w:w="32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24748A">
            <w:pPr>
              <w:spacing w:line="240" w:lineRule="auto"/>
              <w:jc w:val="left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ManimCEv0.18+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F1BFA2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社区活跃、Python原生、输出高质量数学动画</w:t>
            </w:r>
          </w:p>
        </w:tc>
      </w:tr>
      <w:tr w14:paraId="1E0E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DA899C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视频处理</w:t>
            </w:r>
          </w:p>
        </w:tc>
        <w:tc>
          <w:tcPr>
            <w:tcW w:w="32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6404FC">
            <w:pPr>
              <w:spacing w:line="240" w:lineRule="auto"/>
              <w:jc w:val="left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FFmpeg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6B9AD5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跨平台、功能全面的多媒体处理工具</w:t>
            </w:r>
          </w:p>
        </w:tc>
      </w:tr>
      <w:tr w14:paraId="2180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50FCD1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数据验证</w:t>
            </w:r>
          </w:p>
        </w:tc>
        <w:tc>
          <w:tcPr>
            <w:tcW w:w="32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3E81F">
            <w:pPr>
              <w:spacing w:line="240" w:lineRule="auto"/>
              <w:jc w:val="left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Pydanticv2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2FD8E1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类型安全、JSONSchema自动生成、性能优秀</w:t>
            </w:r>
          </w:p>
        </w:tc>
      </w:tr>
      <w:tr w14:paraId="3D01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755DF6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开发语言</w:t>
            </w:r>
          </w:p>
        </w:tc>
        <w:tc>
          <w:tcPr>
            <w:tcW w:w="32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2483C4">
            <w:pPr>
              <w:spacing w:line="240" w:lineRule="auto"/>
              <w:jc w:val="left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Python3.10+</w:t>
            </w:r>
          </w:p>
        </w:tc>
        <w:tc>
          <w:tcPr>
            <w:tcW w:w="386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3D7D9E">
            <w:pPr>
              <w:spacing w:line="240" w:lineRule="auto"/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AI生态最完善、教师二次修改门槛低</w:t>
            </w:r>
          </w:p>
        </w:tc>
      </w:tr>
    </w:tbl>
    <w:p w14:paraId="70E9A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选型原则：全部采用开源/免费工具，确保教师零成本使用。AI大模型支持所有兼容OpenAIAPI的厂商（DeepSeek、Qwen、Kimi、GLM等），用户可根据实际情况自由选择。</w:t>
      </w:r>
    </w:p>
    <w:p w14:paraId="482305EC">
      <w:pPr>
        <w:spacing w:line="560" w:lineRule="exact"/>
        <w:ind w:firstLine="480" w:firstLineChars="200"/>
        <w:rPr>
          <w:rFonts w:hint="eastAsia" w:ascii="方正仿宋_GB18030" w:hAnsi="方正仿宋_GB18030" w:eastAsia="方正仿宋_GB18030" w:cs="方正仿宋_GB18030"/>
          <w:b/>
          <w:bCs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b/>
          <w:bCs/>
          <w:sz w:val="24"/>
          <w:szCs w:val="24"/>
        </w:rPr>
        <w:t>（二）开发过程</w:t>
      </w:r>
    </w:p>
    <w:p w14:paraId="40DF5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第一阶段：流水线架构设计</w:t>
      </w:r>
    </w:p>
    <w:p w14:paraId="1CCED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系统采用11阶段串行流水线架构设计，每个阶段明确定义输入/输出数据模型（PydanticSchema），各阶段通过`StageAgent`基类统一接口：</w:t>
      </w:r>
    </w:p>
    <w:p w14:paraId="4E5A4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关键设计决策：</w:t>
      </w:r>
    </w:p>
    <w:p w14:paraId="4A6F2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-阶段独立性：每个阶段的输出保存为独立的JSON文件，既便于调试审查，也支持断点续跑（可单独重新生成任一阶段）</w:t>
      </w:r>
    </w:p>
    <w:p w14:paraId="7E3EB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-自动修复循环：静态验证失败或渲染出错时，自动将错误信息反馈给代码生成智能体进行修复，最多重试3次</w:t>
      </w:r>
    </w:p>
    <w:p w14:paraId="6170C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-幂等输出：确定模式（deterministic）下保证相同输入产生相同输出，方便比对调试</w:t>
      </w:r>
    </w:p>
    <w:p w14:paraId="3309B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第二阶段：提示词工程</w:t>
      </w:r>
    </w:p>
    <w:p w14:paraId="21E42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这是整个系统的核心工作。每个阶段智能体都有专门定制的系统提示词，包含：</w:t>
      </w:r>
    </w:p>
    <w:p w14:paraId="7653D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提示词设计原则：</w:t>
      </w:r>
    </w:p>
    <w:p w14:paraId="630A5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1.角色设定：每个智能体扮演特定的专家角色（如"经验丰富的数学教师"、"Manim代码专家"）</w:t>
      </w:r>
    </w:p>
    <w:p w14:paraId="298CA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2.输出格式化：明确要求JSON结构化输出，字段名、类型、约束均与Pydantic模型对齐</w:t>
      </w:r>
    </w:p>
    <w:p w14:paraId="2816E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3.知识注入：在提示词中嵌入ManimAPI使用规范、常见模式、版本兼容性注意事项</w:t>
      </w:r>
    </w:p>
    <w:p w14:paraId="6AC4B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4.约束条件：明确禁止使用不存在的API、要求正确处理坐标和位置、要求标签不重叠等</w:t>
      </w:r>
    </w:p>
    <w:p w14:paraId="2B044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5.示例引导：提供少样本示例，引导AI生成符合预期的输出</w:t>
      </w:r>
    </w:p>
    <w:p w14:paraId="1E210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关键提示词策略：</w:t>
      </w:r>
    </w:p>
    <w:p w14:paraId="554AE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-分镜阶段：要求AI用视觉语言描述每个场景（"三角形左下角直角标记"、"渐变动画展示面积变化"），而非抽象描述</w:t>
      </w:r>
    </w:p>
    <w:p w14:paraId="780A6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-代码生成阶段：注入ManimCE最新API文档片段，防止AI使用过时或错误的API</w:t>
      </w:r>
    </w:p>
    <w:p w14:paraId="2DA83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-知识图谱阶段：要求AI标注概念间的先修关系（prerequisite），确保教学逻辑递进合理</w:t>
      </w:r>
    </w:p>
    <w:p w14:paraId="20F87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第三阶段：后端实现</w:t>
      </w:r>
    </w:p>
    <w:p w14:paraId="3CBF4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基于FastAPI构建RESTfulAPI，核心端点：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2380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1131"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端点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6201"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方法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7DB8"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功能</w:t>
            </w:r>
          </w:p>
        </w:tc>
      </w:tr>
      <w:tr w14:paraId="6594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FAE4">
            <w:r>
              <w:rPr>
                <w:rFonts w:ascii="宋体" w:hAnsi="宋体" w:eastAsia="宋体" w:cs="宋体"/>
                <w:sz w:val="24"/>
                <w:szCs w:val="24"/>
              </w:rPr>
              <w:t>`/api/generate`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2C4F"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EA02">
            <w:r>
              <w:rPr>
                <w:rFonts w:ascii="宋体" w:hAnsi="宋体" w:eastAsia="宋体" w:cs="宋体"/>
                <w:sz w:val="24"/>
                <w:szCs w:val="24"/>
              </w:rPr>
              <w:t>触发动画生成流水线</w:t>
            </w:r>
          </w:p>
        </w:tc>
      </w:tr>
      <w:tr w14:paraId="364C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45F8">
            <w:r>
              <w:rPr>
                <w:rFonts w:ascii="宋体" w:hAnsi="宋体" w:eastAsia="宋体" w:cs="宋体"/>
                <w:sz w:val="24"/>
                <w:szCs w:val="24"/>
              </w:rPr>
              <w:t>`/api/runs/{id}/render`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8464"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CB2A">
            <w:r>
              <w:rPr>
                <w:rFonts w:ascii="宋体" w:hAnsi="宋体" w:eastAsia="宋体" w:cs="宋体"/>
                <w:sz w:val="24"/>
                <w:szCs w:val="24"/>
              </w:rPr>
              <w:t>渲染指定运行的视频</w:t>
            </w:r>
          </w:p>
        </w:tc>
      </w:tr>
      <w:tr w14:paraId="001E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EDB4">
            <w:r>
              <w:rPr>
                <w:rFonts w:ascii="宋体" w:hAnsi="宋体" w:eastAsia="宋体" w:cs="宋体"/>
                <w:sz w:val="24"/>
                <w:szCs w:val="24"/>
              </w:rPr>
              <w:t>`/api/runs/{id}/restage`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165C"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85C8">
            <w:r>
              <w:rPr>
                <w:rFonts w:ascii="宋体" w:hAnsi="宋体" w:eastAsia="宋体" w:cs="宋体"/>
                <w:sz w:val="24"/>
                <w:szCs w:val="24"/>
              </w:rPr>
              <w:t>重新生成指定阶段</w:t>
            </w:r>
          </w:p>
        </w:tc>
      </w:tr>
      <w:tr w14:paraId="0F63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568C">
            <w:r>
              <w:rPr>
                <w:rFonts w:ascii="宋体" w:hAnsi="宋体" w:eastAsia="宋体" w:cs="宋体"/>
                <w:sz w:val="24"/>
                <w:szCs w:val="24"/>
              </w:rPr>
              <w:t>`/api/runs`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DA58">
            <w:r>
              <w:rPr>
                <w:rFonts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0320">
            <w:r>
              <w:rPr>
                <w:rFonts w:ascii="宋体" w:hAnsi="宋体" w:eastAsia="宋体" w:cs="宋体"/>
                <w:sz w:val="24"/>
                <w:szCs w:val="24"/>
              </w:rPr>
              <w:t>获取历史运行列表</w:t>
            </w:r>
          </w:p>
        </w:tc>
      </w:tr>
      <w:tr w14:paraId="437C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21B1">
            <w:r>
              <w:rPr>
                <w:rFonts w:ascii="宋体" w:hAnsi="宋体" w:eastAsia="宋体" w:cs="宋体"/>
                <w:sz w:val="24"/>
                <w:szCs w:val="24"/>
              </w:rPr>
              <w:t>`/api/runs/{id}`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4BE86">
            <w:r>
              <w:rPr>
                <w:rFonts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A0FA">
            <w:r>
              <w:rPr>
                <w:rFonts w:ascii="宋体" w:hAnsi="宋体" w:eastAsia="宋体" w:cs="宋体"/>
                <w:sz w:val="24"/>
                <w:szCs w:val="24"/>
              </w:rPr>
              <w:t>获取运行详情</w:t>
            </w:r>
          </w:p>
        </w:tc>
      </w:tr>
      <w:tr w14:paraId="188C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1DA8">
            <w:r>
              <w:rPr>
                <w:rFonts w:ascii="宋体" w:hAnsi="宋体" w:eastAsia="宋体" w:cs="宋体"/>
                <w:sz w:val="24"/>
                <w:szCs w:val="24"/>
              </w:rPr>
              <w:t>`/api/runs/{id}/video`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32D2">
            <w:r>
              <w:rPr>
                <w:rFonts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C1F77">
            <w:r>
              <w:rPr>
                <w:rFonts w:ascii="宋体" w:hAnsi="宋体" w:eastAsia="宋体" w:cs="宋体"/>
                <w:sz w:val="24"/>
                <w:szCs w:val="24"/>
              </w:rPr>
              <w:t>获取渲染视频文件</w:t>
            </w:r>
          </w:p>
        </w:tc>
      </w:tr>
      <w:tr w14:paraId="15EF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6EA8">
            <w:r>
              <w:rPr>
                <w:rFonts w:ascii="宋体" w:hAnsi="宋体" w:eastAsia="宋体" w:cs="宋体"/>
                <w:sz w:val="24"/>
                <w:szCs w:val="24"/>
              </w:rPr>
              <w:t>`/api/config`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323F">
            <w:r>
              <w:rPr>
                <w:rFonts w:ascii="宋体" w:hAnsi="宋体" w:eastAsia="宋体" w:cs="宋体"/>
                <w:sz w:val="24"/>
                <w:szCs w:val="24"/>
              </w:rPr>
              <w:t>GET/POST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3E9A">
            <w:r>
              <w:rPr>
                <w:rFonts w:ascii="宋体" w:hAnsi="宋体" w:eastAsia="宋体" w:cs="宋体"/>
                <w:sz w:val="24"/>
                <w:szCs w:val="24"/>
              </w:rPr>
              <w:t>读取/保存AI模型配置</w:t>
            </w:r>
          </w:p>
        </w:tc>
      </w:tr>
      <w:tr w14:paraId="21C0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2FD1">
            <w:r>
              <w:rPr>
                <w:rFonts w:ascii="宋体" w:hAnsi="宋体" w:eastAsia="宋体" w:cs="宋体"/>
                <w:sz w:val="24"/>
                <w:szCs w:val="24"/>
              </w:rPr>
              <w:t>`/api/config/test`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E359">
            <w:r>
              <w:rPr>
                <w:rFonts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7A2D">
            <w:r>
              <w:rPr>
                <w:rFonts w:ascii="宋体" w:hAnsi="宋体" w:eastAsia="宋体" w:cs="宋体"/>
                <w:sz w:val="24"/>
                <w:szCs w:val="24"/>
              </w:rPr>
              <w:t>测试AI模型连接</w:t>
            </w:r>
          </w:p>
        </w:tc>
      </w:tr>
      <w:tr w14:paraId="2500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46AC">
            <w:r>
              <w:rPr>
                <w:rFonts w:ascii="宋体" w:hAnsi="宋体" w:eastAsia="宋体" w:cs="宋体"/>
                <w:sz w:val="24"/>
                <w:szCs w:val="24"/>
              </w:rPr>
              <w:t>`/api/health/render`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B226">
            <w:r>
              <w:rPr>
                <w:rFonts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312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9523">
            <w:r>
              <w:rPr>
                <w:rFonts w:ascii="宋体" w:hAnsi="宋体" w:eastAsia="宋体" w:cs="宋体"/>
                <w:sz w:val="24"/>
                <w:szCs w:val="24"/>
              </w:rPr>
              <w:t>检查渲染依赖状态</w:t>
            </w:r>
          </w:p>
        </w:tc>
      </w:tr>
    </w:tbl>
    <w:p w14:paraId="6A46A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容错机制实现：</w:t>
      </w:r>
    </w:p>
    <w:p w14:paraId="325E6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-`resolve_binary()`：智能解析Windows/Linux/macOS上的可执行文件路径，跳过无效的Unix脚本文件（解决WinError193问题）</w:t>
      </w:r>
    </w:p>
    <w:p w14:paraId="538EB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-`OSError`捕获：所有`subprocess.run`调用增加OSError异常处理，避免因二进制文件格式错误导致服务崩溃</w:t>
      </w:r>
    </w:p>
    <w:p w14:paraId="69B39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-LaTeX缺失自动降级：检测到LaTeX不可用时，自动将`MathTex/Tex`调用替换为`Text`纯文本显示</w:t>
      </w:r>
    </w:p>
    <w:p w14:paraId="204CB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-AI生成失败自动回退：AI深度生成失败时自动切换为本地确定性模式，保证流程不中断</w:t>
      </w:r>
    </w:p>
    <w:p w14:paraId="6851A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第四阶段：前端实现</w:t>
      </w:r>
    </w:p>
    <w:p w14:paraId="39D36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采用原生JavaScript+CSS构建教师控制台，主要设计决策：</w:t>
      </w:r>
    </w:p>
    <w:p w14:paraId="4C52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-阶段卡片：每个阶段（意图分析、分镜、代码生成、渲染）以独立卡片展示完成状态，支持点击查看详情或重新生成</w:t>
      </w:r>
    </w:p>
    <w:p w14:paraId="028A7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-Tab式内容浏览：教学方案、知识图谱、分镜、代码、运行包等产物以Tab切换方式展示</w:t>
      </w:r>
    </w:p>
    <w:p w14:paraId="19909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-视频预览：渲染完成后直接嵌入视频播放器，支持即时预览</w:t>
      </w:r>
    </w:p>
    <w:p w14:paraId="668BD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-设置面板：模态弹窗形式，集成模型配置和依赖检查两个Tab</w:t>
      </w:r>
    </w:p>
    <w:p w14:paraId="3053B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-运行历史：侧边栏列出所有历史运行，支持快速切换查看</w:t>
      </w:r>
    </w:p>
    <w:p w14:paraId="1F6D6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-示例快速载入：内置4个中学数学教学示例（勾股定理、圆柱体体积、一次函数、相似三角形），一键填充表单</w:t>
      </w:r>
    </w:p>
    <w:p w14:paraId="23637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-忙碌状态保护：生成/渲染过程中禁用阶段卡片点击，防止误操作引起状态混乱</w:t>
      </w:r>
    </w:p>
    <w:p w14:paraId="5A3A9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第五阶段：渲染与容错</w:t>
      </w:r>
    </w:p>
    <w:p w14:paraId="515D5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Manim渲染是系统中最脆弱的环节，针对性地做了以下处理：</w:t>
      </w:r>
    </w:p>
    <w:p w14:paraId="2A218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1.渲染超时保护：`render_timeout_seconds`默认900秒（15分钟），防止渲染卡死</w:t>
      </w:r>
    </w:p>
    <w:p w14:paraId="6D173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2.渲染修复循环：渲染失败后自动将错误日志回传给代码生成智能体进行修复</w:t>
      </w:r>
    </w:p>
    <w:p w14:paraId="72010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3.视频完整性检查：渲染完成后自动检查视频时长≥3秒、分辨率≥640×360、文件非空</w:t>
      </w:r>
    </w:p>
    <w:p w14:paraId="7D7B5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4.帧采样预览：自动从视频中提取7帧关键画面，拼接为联系表（contactsheet），方便教师快速确认视觉效果</w:t>
      </w:r>
    </w:p>
    <w:p w14:paraId="58413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5.LaTeX公式容错：自动检测生成的代码中是否包含`MathTex`/`Tex`调用，若LaTeX不可用则替换为纯文本`Text`，确保基本画面渲染不中断</w:t>
      </w:r>
    </w:p>
    <w:p w14:paraId="06C8F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（三）功能架构</w:t>
      </w:r>
    </w:p>
    <w:p w14:paraId="7F799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核心模块说明：</w:t>
      </w:r>
    </w:p>
    <w:p w14:paraId="7FC71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1.AI智能体层—11个独立智能体，各自负责一个子任务，通过Pydantic数据模型传递中间结果</w:t>
      </w:r>
    </w:p>
    <w:p w14:paraId="57FE1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2.验证与修复引擎—对生成的代码进行AST静态分析，检测语法错误、类名缺失等问题，自动反馈修复</w:t>
      </w:r>
    </w:p>
    <w:p w14:paraId="582C6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3.渲染后端—调用ManimCLI进行视频渲染，支持4种质量等级（草稿/低/中/高/4K），配合FFmpeg进行视频后处理</w:t>
      </w:r>
    </w:p>
    <w:p w14:paraId="034F3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4.运行管理—每次生成/渲染的操作结果以独立目录存储，支持历史查看和阶段级重新生成</w:t>
      </w:r>
    </w:p>
    <w:p w14:paraId="287F1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bCs/>
          <w:color w:val="00000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bCs/>
          <w:color w:val="000000"/>
          <w:sz w:val="24"/>
          <w:szCs w:val="24"/>
        </w:rPr>
        <w:t>三、应用过程与效果</w:t>
      </w:r>
    </w:p>
    <w:p w14:paraId="251E5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3.1应用案例一：勾股定理面积证明</w:t>
      </w:r>
    </w:p>
    <w:p w14:paraId="2DD2E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教学场景：初中八年级"勾股定理"新课讲授</w:t>
      </w:r>
    </w:p>
    <w:p w14:paraId="22F1D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教师输入：</w:t>
      </w:r>
    </w:p>
    <w:p w14:paraId="55E09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&gt;"用面积动画直观展示勾股定理a²+b²=c²，通过正方形面积拼接展示证明过程，适合初中生理解。风格：极简几何。"</w:t>
      </w:r>
    </w:p>
    <w:p w14:paraId="05D8D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系统输出：</w:t>
      </w:r>
    </w:p>
    <w:p w14:paraId="66C4C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系统自动生成了4步动画场景：</w:t>
      </w:r>
    </w:p>
    <w:p w14:paraId="1FC96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1.绘制直角三角形，直角位于左下角，三边分别标注a、b、c，直角标记直角符号</w:t>
      </w:r>
    </w:p>
    <w:p w14:paraId="72B69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2.在三边上分别向外构建正方形（蓝色a²、红色b²、绿色c²），带填充动画</w:t>
      </w:r>
    </w:p>
    <w:p w14:paraId="256F3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3.通过图形分割和拼接动画，直观展示两个小正方形面积之和等于大正方形面积</w:t>
      </w:r>
    </w:p>
    <w:p w14:paraId="60322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4.画面底部居中显示结论公式a²+b²=c²</w:t>
      </w:r>
    </w:p>
    <w:p w14:paraId="72E90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应用效果：动画时长约45秒，画面简洁清晰，学生通过视觉直观理解了"面积拼接法"证明逻辑。教师反馈："以前用板书讲这个证明需要画很多图，学生还不一定看得懂。现在用动画展示面积拼接过程，全班学生一目了然。"</w:t>
      </w:r>
    </w:p>
    <w:p w14:paraId="1F3F3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3.2应用案例二：一次函数图像</w:t>
      </w:r>
    </w:p>
    <w:p w14:paraId="43192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教学场景：高中一年级"函数的概念与图像"习题课</w:t>
      </w:r>
    </w:p>
    <w:p w14:paraId="3D197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教师输入：</w:t>
      </w:r>
    </w:p>
    <w:p w14:paraId="0D631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&gt;"用平面直角坐标系展示一次函数y=kx+b的图像变化，拖动参数k和b观察直线如何变化。学生阶段：高中。风格：清爽课堂。"</w:t>
      </w:r>
    </w:p>
    <w:p w14:paraId="29D9F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系统输出：</w:t>
      </w:r>
    </w:p>
    <w:p w14:paraId="6BF2B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系统生成了包含多个场景的动画：</w:t>
      </w:r>
    </w:p>
    <w:p w14:paraId="2DA9E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1.坐标系建立，标注x轴和y轴，显示刻度</w:t>
      </w:r>
    </w:p>
    <w:p w14:paraId="6A3CE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2.固定b=0，k从-2变化到2，展示斜率变化对直线倾斜角度的影响</w:t>
      </w:r>
    </w:p>
    <w:p w14:paraId="41C9E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3.固定k=1，b从-3变化到3，展示截距变化对直线上下平移的影响</w:t>
      </w:r>
    </w:p>
    <w:p w14:paraId="5B7B8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4.综合展示不同k和b组合下的直线形态对比</w:t>
      </w:r>
    </w:p>
    <w:p w14:paraId="4B0D2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应用效果：教师利用该动画进行课堂演示，学生能直观看到参数变化与函数图像的对应关系。课后小测显示，学生对"斜率决定倾斜程度、截距决定上下位置"这一知识点的掌握率从68%提升至91%。</w:t>
      </w:r>
    </w:p>
    <w:p w14:paraId="4AC8E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3.3应用数据汇总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B1E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080A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142C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b/>
                <w:bCs/>
                <w:sz w:val="24"/>
                <w:szCs w:val="24"/>
              </w:rPr>
              <w:t>数据</w:t>
            </w:r>
          </w:p>
        </w:tc>
      </w:tr>
      <w:tr w14:paraId="0F925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6EEF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已成功生成教学案例数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D79E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4个内置示例 + 多用户自定义案例</w:t>
            </w:r>
          </w:p>
        </w:tc>
      </w:tr>
      <w:tr w14:paraId="6919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675A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平均生成时间（AI模式）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BB17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约60-120秒（取决于网络和模型）</w:t>
            </w:r>
          </w:p>
        </w:tc>
      </w:tr>
      <w:tr w14:paraId="046E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2652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平均生成时间（本地模式）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5719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约5-10秒</w:t>
            </w:r>
          </w:p>
        </w:tc>
      </w:tr>
      <w:tr w14:paraId="7729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B373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平均渲染时间（低清预览）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1ACD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约30-180秒（取决于场景复杂度）</w:t>
            </w:r>
          </w:p>
        </w:tc>
      </w:tr>
      <w:tr w14:paraId="6C683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EC40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AI生成一次通过率（静态验证）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2A35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约75%（剩余25%经自动修复后通过）</w:t>
            </w:r>
          </w:p>
        </w:tc>
      </w:tr>
      <w:tr w14:paraId="7803B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CB4E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渲染一次成功率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F9D6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约85%（剩余15%经自动修复后成功）</w:t>
            </w:r>
          </w:p>
        </w:tc>
      </w:tr>
      <w:tr w14:paraId="008ED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FBCD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教师从输入到获取视频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D5A9">
            <w:pPr>
              <w:rPr>
                <w:rFonts w:hint="eastAsia" w:ascii="方正仿宋_GB18030" w:hAnsi="方正仿宋_GB18030" w:eastAsia="方正仿宋_GB18030" w:cs="方正仿宋_GB18030"/>
              </w:rPr>
            </w:pPr>
            <w:r>
              <w:rPr>
                <w:rFonts w:hint="eastAsia" w:ascii="方正仿宋_GB18030" w:hAnsi="方正仿宋_GB18030" w:eastAsia="方正仿宋_GB18030" w:cs="方正仿宋_GB18030"/>
                <w:sz w:val="24"/>
                <w:szCs w:val="24"/>
              </w:rPr>
              <w:t>最快3分钟内完成</w:t>
            </w:r>
          </w:p>
        </w:tc>
      </w:tr>
    </w:tbl>
    <w:p w14:paraId="3C7E5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bCs/>
          <w:color w:val="000000"/>
          <w:sz w:val="24"/>
          <w:szCs w:val="24"/>
        </w:rPr>
      </w:pPr>
    </w:p>
    <w:p w14:paraId="4DAF8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b/>
          <w:bCs w:val="0"/>
          <w:color w:val="00000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b/>
          <w:bCs w:val="0"/>
          <w:color w:val="000000"/>
          <w:sz w:val="24"/>
          <w:szCs w:val="24"/>
        </w:rPr>
        <w:t>四、创新与反思</w:t>
      </w:r>
    </w:p>
    <w:p w14:paraId="40E15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4.1创新点</w:t>
      </w:r>
    </w:p>
    <w:p w14:paraId="23BDB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端到端AI+动画融合流水线：首次将大语言模型的分阶段生成能力与Manim数学动画引擎深度整合，实现了从自然语言到教学动画的自动化转换。11阶段流水线设计使得复杂任务被有效分解，每个阶段专注处理一个子问题，大幅提升了生成质量。</w:t>
      </w:r>
    </w:p>
    <w:p w14:paraId="2A275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2.双模式自适应生成：AI深度生成模式提供高质量内容，本地确定性模式保证离线可用性。两种模式共享同一套数据模型和渲染管线，教师可根据网络环境和需求灵活切换。</w:t>
      </w:r>
    </w:p>
    <w:p w14:paraId="1673D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多层自动容错架构：从代码静态验证、渲染错误修复、LaTeX自动降级到AI失败自动回退，系统在多个层面建立了容错机制，确保端到端流程的健壮性。特别是Manim渲染环节的修复循环设计，有效应对了AI生成代码中存在的不确定性。</w:t>
      </w:r>
    </w:p>
    <w:p w14:paraId="2C6CF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4.零配置教师控制台：所有功能集成在一个Web控制台中，一键启动即可使用。自动检测和安装依赖（ffmpeg、manim）、提供内置示例、支持阶段级可视化和干预，显著降低了教师的使用门槛。</w:t>
      </w:r>
    </w:p>
    <w:p w14:paraId="185A4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4.2不足与改进方向</w:t>
      </w:r>
    </w:p>
    <w:p w14:paraId="73110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1.复杂场景的生成稳定性：对于包含多个动画对象、复杂交互的教学场景，AI生成的Manim代码质量仍有波动。改进方向包括：构建更全面的ManimAPI知识库、引入RAG（检索增强生成）机制动态注入API文档、增加更多少样本示例。</w:t>
      </w:r>
    </w:p>
    <w:p w14:paraId="1601F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2.视频内容审核：当前系统缺乏对生成视频内容的自动审核能力，教师需要手动确认动画是否符合预期。后续可引入视觉语言模型（VLM）对视频帧进行自动评估和标注。</w:t>
      </w:r>
    </w:p>
    <w:p w14:paraId="04E62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3.题型覆盖不全面：当前主要支持代数、几何等可视化程度高的数学知识点。对概率统计、数列等领域的支持需要进一步扩展各阶段智能体的能力。</w:t>
      </w:r>
    </w:p>
    <w:p w14:paraId="2938C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</w:p>
    <w:p w14:paraId="21CE4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4.多语言支持：当前提示词和界面以中文为主，后续可扩展支持英语等多语言教学场景。</w:t>
      </w:r>
    </w:p>
    <w:p w14:paraId="28ECC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5.协作功能：当前系统为单用户模式，后续可考虑增加多教师协作、教学资源分享等功能。</w:t>
      </w:r>
    </w:p>
    <w:p w14:paraId="11E94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4.3推广价值</w:t>
      </w:r>
    </w:p>
    <w:p w14:paraId="16C1F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Math-To-Manim（M2</w:t>
      </w:r>
      <w:r>
        <w:rPr>
          <w:rFonts w:hint="eastAsia" w:ascii="方正仿宋_GB18030" w:hAnsi="方正仿宋_GB18030" w:eastAsia="方正仿宋_GB18030" w:cs="方正仿宋_GB18030"/>
          <w:sz w:val="24"/>
          <w:szCs w:val="24"/>
          <w:lang w:val="en-US" w:eastAsia="zh-CN"/>
        </w:rPr>
        <w:t>教学动画</w:t>
      </w: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）作为一款开源的教学动画生成工具，具有以下推广价值：</w:t>
      </w:r>
    </w:p>
    <w:p w14:paraId="01A41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-成本优势：全部开源、免费使用，仅在AI深度生成模式下需要APIKey（可按需选择低成本模型如DeepSeek）</w:t>
      </w:r>
    </w:p>
    <w:p w14:paraId="23AFE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-低部署门槛：一键启动脚本自动完成Python虚拟环境创建、依赖安装、ffmpeg配置，无需手动配置</w:t>
      </w:r>
    </w:p>
    <w:p w14:paraId="722CA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-高可定制性：教师可自由修改各阶段智能体的提示词，适配不同学科和教学风格</w:t>
      </w:r>
      <w:bookmarkStart w:id="0" w:name="_GoBack"/>
      <w:bookmarkEnd w:id="0"/>
    </w:p>
    <w:p w14:paraId="2BC25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-跨平台：支持Windows、macOS、Linux三大主流操作系统</w:t>
      </w:r>
    </w:p>
    <w:p w14:paraId="5C7C4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方正仿宋_GB18030" w:hAnsi="方正仿宋_GB18030" w:eastAsia="方正仿宋_GB18030" w:cs="方正仿宋_GB18030"/>
          <w:sz w:val="24"/>
          <w:szCs w:val="24"/>
        </w:rPr>
      </w:pPr>
      <w:r>
        <w:rPr>
          <w:rFonts w:hint="eastAsia" w:ascii="方正仿宋_GB18030" w:hAnsi="方正仿宋_GB18030" w:eastAsia="方正仿宋_GB18030" w:cs="方正仿宋_GB18030"/>
          <w:sz w:val="24"/>
          <w:szCs w:val="24"/>
        </w:rPr>
        <w:t>目前已对接DeepSeek、Qwen、Kimi、GLM、Doubao等多个主流国产AI大模型，教师可根据实际情况选择最合适的服务商。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91887"/>
    <w:rsid w:val="17A986C9"/>
    <w:rsid w:val="35A01F20"/>
    <w:rsid w:val="5559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294</Words>
  <Characters>296</Characters>
  <Lines>0</Lines>
  <Paragraphs>0</Paragraphs>
  <TotalTime>1</TotalTime>
  <ScaleCrop>false</ScaleCrop>
  <LinksUpToDate>false</LinksUpToDate>
  <CharactersWithSpaces>296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2026-05-12T15:45:00Z</dcterms:created>
  <dc:creator>吴雨座</dc:creator>
  <cp:lastModifiedBy>Gakiwu</cp:lastModifiedBy>
  <dcterms:modified xsi:type="dcterms:W3CDTF">2026-05-20T22:29:13Z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90A2E5A5E0BA4DE487329387D7BA1823_11</vt:lpwstr>
  </property>
  <property fmtid="{D5CDD505-2E9C-101B-9397-08002B2CF9AE}" pid="4" name="KSOTemplateDocerSaveRecord">
    <vt:lpwstr>eyJoZGlkIjoiMTAzZjA4NjZmZjA2OGMyYWQ3YWU3Mjc5NzVkNTA1ZDEifQ==</vt:lpwstr>
  </property>
</Properties>
</file>