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B1 / B2 / B3 交易策略文档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基于通达信公式与 Qlib 回测实现的日线强势股交易框架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46"/>
            <w:shd w:fill="EAF2F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文档目的：将 B1 结构成形、B2 确认启动、B3 补票回踩三个战法整理为一套可执行、可回测、可迭代优化的日线交易体系。</w:t>
              <w:br/>
              <w:t>适用范围：A 股日线短中波段；侧重主升前夜、主升起爆点与首次回踩再起三个阶段。</w:t>
            </w:r>
          </w:p>
        </w:tc>
      </w:tr>
    </w:tbl>
    <w:p/>
    <w:p>
      <w:pPr>
        <w:pStyle w:val="Heading1"/>
      </w:pPr>
      <w:r>
        <w:t>1. 策略总览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三个战法并非彼此独立，而是同一套强势股交易链条中的三个阶段信号。建议按“先结构、后启动、再补票”的顺序理解和执行。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381"/>
        <w:gridCol w:w="2891"/>
        <w:gridCol w:w="2778"/>
      </w:tblGrid>
      <w:tr>
        <w:tc>
          <w:tcPr>
            <w:tcW w:type="dxa" w:w="2436"/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策略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核心定位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典型触发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主要用途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结构成形 / 右侧启动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股价围绕短期趋势线与多空线完成整理后转强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捕捉主升前夜或主升初段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B2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确认启动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4% 左右确认阳线，放量突破，随后直接走主升浪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抓主升起爆点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补票回踩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B2 启动后第一次强势回踩，再次止跌走强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补仓或补上车票</w:t>
            </w:r>
          </w:p>
        </w:tc>
      </w:tr>
    </w:tbl>
    <w:p>
      <w:pPr>
        <w:pStyle w:val="Heading1"/>
      </w:pPr>
      <w:r>
        <w:t>2. 共同指标定义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三个战法共用两根核心均线与一组节奏类指标。均线负责判定结构与多空边界，量价和 KDJ 负责确认节奏。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4082"/>
      </w:tblGrid>
      <w:tr>
        <w:tc>
          <w:tcPr>
            <w:tcW w:type="dxa" w:w="3249"/>
            <w:shd w:fill="D9EAD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指标</w:t>
            </w:r>
          </w:p>
        </w:tc>
        <w:tc>
          <w:tcPr>
            <w:tcW w:type="dxa" w:w="3249"/>
            <w:shd w:fill="D9EAD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定义</w:t>
            </w:r>
          </w:p>
        </w:tc>
        <w:tc>
          <w:tcPr>
            <w:tcW w:type="dxa" w:w="3249"/>
            <w:shd w:fill="D9EAD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ST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EMA(EMA(C,10),10)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知行短期趋势线，过滤短期噪音，观察短趋势拐点与加速能力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LT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(MA14 + MA28 + MA57 + MA114) / 4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知行多空线，代表综合持仓成本中枢与多空分界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量能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 与 MA(V,5) 对比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启动要放量，回踩宜缩量，再起时重新放量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KDJ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9,3,3 常规参数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作为节奏确认指标，辅助判断金叉、钝化与死叉位置</w:t>
            </w:r>
          </w:p>
        </w:tc>
      </w:tr>
    </w:tbl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结构优先级：股价与 ST/LT 的相对位置 &gt; 成交量节奏 &gt; KDJ 节奏。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原则：KDJ 只能辅助，不能脱离价格结构和量能单独使用。</w:t>
      </w:r>
    </w:p>
    <w:p>
      <w:pPr>
        <w:pStyle w:val="Heading1"/>
      </w:pPr>
      <w:r>
        <w:t>3. B1 策略：结构成形 / 右侧启动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B1 的目标不是抄最低点，而是在个股完成整理、回踩、挖坑或趋势中继后，等待价格重新站上结构并发出右侧启动信号。</w:t>
      </w:r>
    </w:p>
    <w:p>
      <w:pPr>
        <w:pStyle w:val="Heading2"/>
      </w:pPr>
      <w:r>
        <w:t>3.1 核心逻辑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LT 走平或上行，股价重新站上 LT，说明综合成本中枢不再压制价格。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ST 上拐或重新强于 LT，说明短期趋势开始恢复推进。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回踩阶段以缩量为佳；启动阶段需要出现明显放量。</w:t>
      </w:r>
    </w:p>
    <w:p>
      <w:pPr>
        <w:pStyle w:val="Heading2"/>
      </w:pPr>
      <w:r>
        <w:t>3.2 量化条件（建议版）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趋势底座：C &gt; LT，LT &gt;= REF(LT,1)，ST &gt;= LT×0.99。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整理结构：最近 6 日最低价接近 ST，但不明显跌破 LT；近 5 日至少 3 天波动较小。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启动条件：收盘站上 ST，成交量大于 5 日均量 1.5 倍，K &gt; D 且 J 向上。</w:t>
      </w:r>
    </w:p>
    <w:p>
      <w:pPr>
        <w:pStyle w:val="Heading2"/>
      </w:pPr>
      <w:r>
        <w:t>3.3 实盘执行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c>
          <w:tcPr>
            <w:tcW w:type="dxa" w:w="3249"/>
            <w:shd w:fill="FCE4D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环节</w:t>
            </w:r>
          </w:p>
        </w:tc>
        <w:tc>
          <w:tcPr>
            <w:tcW w:type="dxa" w:w="3249"/>
            <w:shd w:fill="FCE4D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规则</w:t>
            </w:r>
          </w:p>
        </w:tc>
        <w:tc>
          <w:tcPr>
            <w:tcW w:type="dxa" w:w="3249"/>
            <w:shd w:fill="FCE4D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入场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启动日尾盘试错，或 1–3 日内缩量回踩后买入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B1 更适合分批建仓，不宜一把梭哈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止损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跌破启动 K 线低点；或放量跌破 ST / LT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单笔亏损建议控制在 5%–7% 内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止盈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高位长上影、放量阴线、KDJ 死叉并跌破 ST 时分批减仓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若放量跌破 LT，可视为该段行情结束</w:t>
            </w:r>
          </w:p>
        </w:tc>
      </w:tr>
    </w:tbl>
    <w:p>
      <w:pPr>
        <w:pStyle w:val="Heading1"/>
      </w:pPr>
      <w:r>
        <w:t>4. B2 策略：确认启动 / 主升起爆点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B2 是确认启动信号，通常出现在强势结构内的贴线整理之后。一根约 4% 的放量阳线结束整理，并在随后直接转入主升，是该策略的核心识别特征。</w:t>
      </w:r>
    </w:p>
    <w:p>
      <w:pPr>
        <w:pStyle w:val="Heading2"/>
      </w:pPr>
      <w:r>
        <w:t>4.1 核心逻辑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股价长期站在 LT 上方，说明大结构已经偏多。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启动前往往存在 3–6 天贴近 ST 的缩量整理。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启动日应具备：中大阳线、收盘接近最高、有效突破、量能明显增强。</w:t>
      </w:r>
    </w:p>
    <w:p>
      <w:pPr>
        <w:pStyle w:val="Heading2"/>
      </w:pPr>
      <w:r>
        <w:t>4.2 量化条件（建议版）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趋势条件：LT &gt;= REF(LT,1)，C &gt; LT，最近 10 天至少 7 天在 LT 上方。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整理条件：最近 6 天最低价接近 ST，且不明显跌破 LT；整体仍属于压缩区间。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启动条件：当日涨幅 ≥ 4%，收盘接近最高，突破近 10 日局部高点，量能为 5 日均量的 1.3–3.0 倍。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KDJ 辅助：K &gt; D，J 向上且不宜处于极端高位。</w:t>
      </w:r>
    </w:p>
    <w:p>
      <w:pPr>
        <w:pStyle w:val="Heading2"/>
      </w:pPr>
      <w:r>
        <w:t>4.3 实盘执行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c>
          <w:tcPr>
            <w:tcW w:type="dxa" w:w="3249"/>
            <w:shd w:fill="E2F0D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环节</w:t>
            </w:r>
          </w:p>
        </w:tc>
        <w:tc>
          <w:tcPr>
            <w:tcW w:type="dxa" w:w="3249"/>
            <w:shd w:fill="E2F0D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规则</w:t>
            </w:r>
          </w:p>
        </w:tc>
        <w:tc>
          <w:tcPr>
            <w:tcW w:type="dxa" w:w="3249"/>
            <w:shd w:fill="E2F0D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入场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启动日尾盘先买 1/2 仓；次日不大高开且不转弱时再加仓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B2 属于确认跟随，不适合追情绪高潮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止损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跌破启动日最低价；或收盘跌回 ST 下方且放量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若买后 3 日没有延续，可执行时间止损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止盈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急拉 10% 左右先兑现部分仓位；其余沿 ST 持有，跌破 LT 基本结束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高潮巨量、长上影、次日不能创新高时优先兑现</w:t>
            </w:r>
          </w:p>
        </w:tc>
      </w:tr>
    </w:tbl>
    <w:p>
      <w:pPr>
        <w:pStyle w:val="Heading1"/>
      </w:pPr>
      <w:r>
        <w:t>5. B3 策略：补票回踩 / 首次再上车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B3 建立在“已经出现过一次 B2 式启动”的前提下。它抓的不是新的底部，而是强势股启动后的第一次短期回撤，在结构未坏的情况下等待再次止跌走强。</w:t>
      </w:r>
    </w:p>
    <w:p>
      <w:pPr>
        <w:pStyle w:val="Heading2"/>
      </w:pPr>
      <w:r>
        <w:t>5.1 原始公式思想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补票战法通过比较最近 3 天与最近 21 天的区间位置值，刻画“短期回到低位，但长期仍处高位”的状态：短周期回落，长期仍强，即为补票观察区。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短期位置值：100 × (C − LLV(L,3)) / (HHV(C,3) − LLV(L,3))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长期位置值：100 × (C − LLV(L,21)) / (HHV(C,21) − LLV(L,21))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典型阈值：短期 ≤ 30 且长期 ≥ 85，或短期 ≤ 20 且长期 &gt; 80。</w:t>
      </w:r>
    </w:p>
    <w:p>
      <w:pPr>
        <w:pStyle w:val="Heading2"/>
      </w:pPr>
      <w:r>
        <w:t>5.2 量化条件（建议版）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趋势底座：LT 走平或上行，最近 10 天大部分时间收盘在 LT 上方，ST 不明显弱于 LT。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启动记忆：最近 10 天内至少出现过一次 B2 式 4% 放量确认阳线。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补票区：短期位置值很低，但长期位置值仍处高位；回踩阶段量能宜缩小。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再起确认：预警次日突破前一日高点，并重新站上 ST。</w:t>
      </w:r>
    </w:p>
    <w:p>
      <w:pPr>
        <w:pStyle w:val="Heading2"/>
      </w:pPr>
      <w:r>
        <w:t>5.3 实盘执行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c>
          <w:tcPr>
            <w:tcW w:type="dxa" w:w="3249"/>
            <w:shd w:fill="DDEB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环节</w:t>
            </w:r>
          </w:p>
        </w:tc>
        <w:tc>
          <w:tcPr>
            <w:tcW w:type="dxa" w:w="3249"/>
            <w:shd w:fill="DDEB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规则</w:t>
            </w:r>
          </w:p>
        </w:tc>
        <w:tc>
          <w:tcPr>
            <w:tcW w:type="dxa" w:w="3249"/>
            <w:shd w:fill="DDEB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入场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预警日进入观察池；次日突破预警日高点并站上 ST 时买入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B3 更适合做补仓或补上车票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止损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跌破预警日最低点；或收盘有效跌破 LT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买入后 2–3 日无延续，可执行时间止损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止盈</w:t>
            </w:r>
          </w:p>
        </w:tc>
        <w:tc>
          <w:tcPr>
            <w:tcW w:type="dxa" w:w="345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回到前高附近先减仓，其余沿 ST 持有</w:t>
            </w:r>
          </w:p>
        </w:tc>
        <w:tc>
          <w:tcPr>
            <w:tcW w:type="dxa" w:w="408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放量滞涨、长上影时优先兑现</w:t>
            </w:r>
          </w:p>
        </w:tc>
      </w:tr>
    </w:tbl>
    <w:p>
      <w:pPr>
        <w:pStyle w:val="Heading1"/>
      </w:pPr>
      <w:r>
        <w:t>6. 联动框架与执行顺序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三个策略更适合作为一套联动框架使用，而不是孤立地看待每一个买点。建议将市场中的候选个股按所处阶段进行归类。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551"/>
        <w:gridCol w:w="2551"/>
        <w:gridCol w:w="2268"/>
      </w:tblGrid>
      <w:tr>
        <w:tc>
          <w:tcPr>
            <w:tcW w:type="dxa" w:w="2436"/>
            <w:shd w:fill="FFF2CC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阶段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识别重点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执行动作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仓位倾向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B1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结构成形、右侧启动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先建试错仓，等待确认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轻仓到中等仓位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B2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确认启动、主升起爆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加仓或首次重仓介入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中等到较重仓位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B3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强势回踩、再次转强</w:t>
            </w:r>
          </w:p>
        </w:tc>
        <w:tc>
          <w:tcPr>
            <w:tcW w:type="dxa" w:w="255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补仓或补上车票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以已有利润保护为前提</w:t>
            </w:r>
          </w:p>
        </w:tc>
      </w:tr>
    </w:tbl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优先级建议：B2 &gt; B3 &gt; B1。B2 代表确认启动，B3 代表趋势内再起，B1 代表相对早期的右侧试错。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在市场退潮期，应显著降低 B1 与 B3 的参与频率，只保留最强 B2。</w:t>
      </w:r>
    </w:p>
    <w:p>
      <w:pPr>
        <w:pStyle w:val="Heading1"/>
      </w:pPr>
      <w:r>
        <w:t>7. Qlib 回测落地建议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在 Qlib 中，建议将三个战法统一映射为信号列，再由自定义策略按优先级与仓位上限进行调度。这样既便于单独回测，也便于组合回测。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数据层：通过 D.features 获取 open / high / low / close / volume。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特征层：预先计算 ST、LT、量均线、KDJ、区间位置值等指标。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信号层：输出 b1 / b2 / b3 / entry_flag / exit_flag / stop_price / priority_score。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策略层：以 B2 &gt; B3 &gt; B1 的优先级进行选股，采用等权或风险预算持仓。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执行层：收盘计算信号，下一交易日执行，避免未来函数。</w:t>
      </w:r>
    </w:p>
    <w:p>
      <w:pPr>
        <w:pStyle w:val="Heading2"/>
      </w:pPr>
      <w:r>
        <w:t>7.1 回测时必须加入的过滤项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剔除 ST、停牌、上市未满 N 日个股。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增加成交额或换手率阈值，避免过小市值与流动性不足的标的。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区分市场环境：指数趋势、板块热度、涨停家数或情绪温度不过关时降低仓位。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参数网格搜索时注意样本外验证，避免仅凭少量“完美图形”成功样本过拟合。</w:t>
      </w:r>
    </w:p>
    <w:p>
      <w:pPr>
        <w:pStyle w:val="Heading1"/>
      </w:pPr>
      <w:r>
        <w:t>8. 风险提示与优化方向</w:t>
      </w:r>
    </w:p>
    <w:p>
      <w:pPr>
        <w:spacing w:after="80" w:line="300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三个战法均属于强势股趋势跟随体系，成功样本通常具有较强幸存者偏差。实盘中必须通过统一的止损、仓位与市场环境过滤来抑制回撤。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不要脱离 LT 与 ST 盲目追高。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不要把高位情绪高潮误判为 B2 确认启动。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不要把明显破位后的弱反弹误判为 B3 补票。</w:t>
      </w:r>
    </w:p>
    <w:p>
      <w:pPr>
        <w:spacing w:after="40" w:line="276" w:lineRule="auto"/>
        <w:ind w:left="57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后续可以增加行业强度、相对强弱、波动率分层与成交额约束，提升信号质量。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746"/>
            <w:shd w:fill="F3F6F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结论：B1 用于发现结构，B2 用于确认发动，B3 用于趋势内补票。三者组成的是一套“结构—启动—再起”的日线交易框架，而不是三个互不相关的孤立战法。</w:t>
            </w:r>
          </w:p>
        </w:tc>
      </w:tr>
    </w:tbl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