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8C25" w14:textId="1BFDF8BC" w:rsidR="004C7165" w:rsidRPr="004C7165" w:rsidRDefault="004C7165" w:rsidP="004C7165">
      <w:r>
        <w:rPr>
          <w:noProof/>
        </w:rPr>
        <w:drawing>
          <wp:inline distT="0" distB="0" distL="0" distR="0" wp14:anchorId="240AC4A4" wp14:editId="4C05F7BD">
            <wp:extent cx="4594860" cy="4320540"/>
            <wp:effectExtent l="0" t="0" r="0" b="3810"/>
            <wp:docPr id="1" name="Imagen 1" descr="Simbologia de los diagramas de flujo - El futuro es la Pra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bologia de los diagramas de flujo - El futuro es la Pragram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165" w:rsidRPr="004C7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65"/>
    <w:rsid w:val="004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297F"/>
  <w15:chartTrackingRefBased/>
  <w15:docId w15:val="{77678CF5-FF28-43E9-83F9-D2A84458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Artime Guerrero</dc:creator>
  <cp:keywords/>
  <dc:description/>
  <cp:lastModifiedBy>José Manuel Artime Guerrero</cp:lastModifiedBy>
  <cp:revision>1</cp:revision>
  <dcterms:created xsi:type="dcterms:W3CDTF">2020-11-24T10:04:00Z</dcterms:created>
  <dcterms:modified xsi:type="dcterms:W3CDTF">2020-11-24T10:05:00Z</dcterms:modified>
</cp:coreProperties>
</file>