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6"/>
        </w:rPr>
        <w:t>Student Activities Management System (SAMS)</w:t>
      </w:r>
    </w:p>
    <w:p>
      <w:pPr>
        <w:spacing w:after="240"/>
        <w:jc w:val="center"/>
      </w:pPr>
      <w:r>
        <w:rPr>
          <w:rFonts w:ascii="Times New Roman" w:hAnsi="Times New Roman" w:eastAsia="Times New Roman"/>
          <w:b/>
          <w:sz w:val="32"/>
        </w:rPr>
        <w:t>Task 2 - Prototyping</w:t>
      </w:r>
    </w:p>
    <w:tbl>
      <w:tblPr>
        <w:tblStyle w:val="TableGrid"/>
        <w:tblW w:type="auto" w:w="0"/>
        <w:jc w:val="center"/>
        <w:tblLook w:firstColumn="1" w:firstRow="1" w:lastColumn="0" w:lastRow="0" w:noHBand="0" w:noVBand="1" w:val="04A0"/>
      </w:tblPr>
      <w:tblGrid>
        <w:gridCol w:w="5040"/>
        <w:gridCol w:w="5040"/>
      </w:tblGrid>
      <w:tr>
        <w:tc>
          <w:tcPr>
            <w:tcW w:type="dxa" w:w="5040"/>
            <w:shd w:fill="E8EEF3"/>
            <w:vAlign w:val="center"/>
          </w:tcPr>
          <w:p>
            <w:pPr>
              <w:spacing w:after="0"/>
            </w:pPr>
            <w:r/>
            <w:r>
              <w:rPr>
                <w:rFonts w:ascii="Times New Roman" w:hAnsi="Times New Roman" w:eastAsia="Times New Roman"/>
                <w:b/>
                <w:sz w:val="20"/>
              </w:rPr>
              <w:t>Course</w:t>
            </w:r>
          </w:p>
        </w:tc>
        <w:tc>
          <w:tcPr>
            <w:tcW w:type="dxa" w:w="5040"/>
            <w:vAlign w:val="center"/>
          </w:tcPr>
          <w:p>
            <w:pPr>
              <w:spacing w:after="0"/>
            </w:pPr>
            <w:r/>
            <w:r>
              <w:rPr>
                <w:rFonts w:ascii="Times New Roman" w:hAnsi="Times New Roman" w:eastAsia="Times New Roman"/>
                <w:sz w:val="20"/>
              </w:rPr>
              <w:t>System Analysis and Design (IT-353)</w:t>
            </w:r>
          </w:p>
        </w:tc>
      </w:tr>
      <w:tr>
        <w:tc>
          <w:tcPr>
            <w:tcW w:type="dxa" w:w="5040"/>
            <w:shd w:fill="E8EEF3"/>
            <w:vAlign w:val="center"/>
          </w:tcPr>
          <w:p>
            <w:pPr>
              <w:spacing w:after="0"/>
            </w:pPr>
            <w:r/>
            <w:r>
              <w:rPr>
                <w:rFonts w:ascii="Times New Roman" w:hAnsi="Times New Roman" w:eastAsia="Times New Roman"/>
                <w:b/>
                <w:sz w:val="20"/>
              </w:rPr>
              <w:t>CRN</w:t>
            </w:r>
          </w:p>
        </w:tc>
        <w:tc>
          <w:tcPr>
            <w:tcW w:type="dxa" w:w="5040"/>
            <w:vAlign w:val="center"/>
          </w:tcPr>
          <w:p>
            <w:pPr>
              <w:spacing w:after="0"/>
            </w:pPr>
            <w:r/>
            <w:r>
              <w:rPr>
                <w:rFonts w:ascii="Times New Roman" w:hAnsi="Times New Roman" w:eastAsia="Times New Roman"/>
                <w:sz w:val="20"/>
              </w:rPr>
              <w:t>50268</w:t>
            </w:r>
          </w:p>
        </w:tc>
      </w:tr>
      <w:tr>
        <w:tc>
          <w:tcPr>
            <w:tcW w:type="dxa" w:w="5040"/>
            <w:shd w:fill="E8EEF3"/>
            <w:vAlign w:val="center"/>
          </w:tcPr>
          <w:p>
            <w:pPr>
              <w:spacing w:after="0"/>
            </w:pPr>
            <w:r/>
            <w:r>
              <w:rPr>
                <w:rFonts w:ascii="Times New Roman" w:hAnsi="Times New Roman" w:eastAsia="Times New Roman"/>
                <w:b/>
                <w:sz w:val="20"/>
              </w:rPr>
              <w:t>Assigned Student</w:t>
            </w:r>
          </w:p>
        </w:tc>
        <w:tc>
          <w:tcPr>
            <w:tcW w:type="dxa" w:w="5040"/>
            <w:vAlign w:val="center"/>
          </w:tcPr>
          <w:p>
            <w:pPr>
              <w:spacing w:after="0"/>
            </w:pPr>
            <w:r/>
            <w:r>
              <w:rPr>
                <w:rFonts w:ascii="Times New Roman" w:hAnsi="Times New Roman" w:eastAsia="Times New Roman"/>
                <w:sz w:val="20"/>
              </w:rPr>
              <w:t>Gala Algodah - S240031741</w:t>
            </w:r>
          </w:p>
        </w:tc>
      </w:tr>
    </w:tbl>
    <w:p/>
    <w:p>
      <w:pPr>
        <w:pStyle w:val="Heading1"/>
        <w:keepNext/>
        <w:spacing w:before="160" w:after="100"/>
      </w:pPr>
      <w:r>
        <w:rPr>
          <w:rFonts w:ascii="Times New Roman" w:hAnsi="Times New Roman" w:eastAsia="Times New Roman"/>
          <w:b/>
          <w:sz w:val="30"/>
        </w:rPr>
        <w:t>Task Requirement</w:t>
      </w:r>
    </w:p>
    <w:p>
      <w:pPr>
        <w:spacing w:line="276" w:lineRule="auto" w:after="120"/>
        <w:jc w:val="left"/>
      </w:pPr>
      <w:r>
        <w:rPr>
          <w:rFonts w:ascii="Times New Roman" w:hAnsi="Times New Roman" w:eastAsia="Times New Roman"/>
          <w:b w:val="0"/>
          <w:sz w:val="22"/>
        </w:rPr>
        <w:t>Select ONE prototyping approach (Evolutionary Prototyping or Throwaway Prototyping). Develop low-fidelity prototypes for three main screens of the system and justify why the chosen approach is more appropriate for this project. [2 marks]</w:t>
      </w:r>
    </w:p>
    <w:p>
      <w:pPr>
        <w:pStyle w:val="Heading1"/>
        <w:keepNext/>
        <w:spacing w:before="160" w:after="100"/>
      </w:pPr>
      <w:r>
        <w:rPr>
          <w:rFonts w:ascii="Times New Roman" w:hAnsi="Times New Roman" w:eastAsia="Times New Roman"/>
          <w:b/>
          <w:sz w:val="30"/>
        </w:rPr>
        <w:t>Selected Prototyping Approach: Evolutionary Prototyping</w:t>
      </w:r>
    </w:p>
    <w:p>
      <w:pPr>
        <w:spacing w:line="276" w:lineRule="auto" w:after="120"/>
        <w:jc w:val="both"/>
      </w:pPr>
      <w:r>
        <w:rPr>
          <w:rFonts w:ascii="Times New Roman" w:hAnsi="Times New Roman" w:eastAsia="Times New Roman"/>
          <w:b w:val="0"/>
          <w:sz w:val="22"/>
        </w:rPr>
        <w:t>Evolutionary Prototyping is appropriate for SAMS because the system combines several interdependent services and serves three stakeholder groups with different needs. The team can begin with a low-fidelity version, obtain feedback from students on browsing and registration clarity, from activity organizers on activity information and registration rules, and from Student Affairs on approval and policy requirements. The same prototype can then be revised, validated, and progressively refined toward implementation. This iterative cycle is particularly useful for SAMS because changes to registration, waitlist, notifications, attendance, certificates, and activity-history functions must remain consistent across connected screens.</w:t>
      </w:r>
    </w:p>
    <w:p>
      <w:pPr>
        <w:spacing w:line="276" w:lineRule="auto" w:after="120"/>
        <w:jc w:val="both"/>
      </w:pPr>
      <w:r>
        <w:rPr>
          <w:rFonts w:ascii="Times New Roman" w:hAnsi="Times New Roman" w:eastAsia="Times New Roman"/>
          <w:b w:val="0"/>
          <w:sz w:val="22"/>
        </w:rPr>
        <w:t>Throwaway Prototyping would be more suitable if the purpose were only to explore an uncertain requirement and discard the prototype once the requirement became clear. SAMS already has a stable core scope and several related workflows, so repeatedly discarding complete prototypes would create unnecessary rework and make cross-screen consistency harder to maintain. The main trade-off of Evolutionary Prototyping is the risk that temporary design decisions may become permanent. This risk can be controlled by maintaining a stable requirements baseline and reviewing each iteration against the approved scenario before it is accepted into the evolving prototype.</w:t>
      </w:r>
    </w:p>
    <w:p>
      <w:pPr>
        <w:pStyle w:val="Heading1"/>
        <w:keepNext/>
        <w:spacing w:before="160" w:after="100"/>
      </w:pPr>
      <w:r>
        <w:rPr>
          <w:rFonts w:ascii="Times New Roman" w:hAnsi="Times New Roman" w:eastAsia="Times New Roman"/>
          <w:b/>
          <w:sz w:val="30"/>
        </w:rPr>
        <w:t>Low-Fidelity Prototype Screens</w:t>
      </w:r>
    </w:p>
    <w:p>
      <w:pPr>
        <w:spacing w:line="276" w:lineRule="auto" w:after="120"/>
        <w:jc w:val="both"/>
      </w:pPr>
      <w:r>
        <w:rPr>
          <w:rFonts w:ascii="Times New Roman" w:hAnsi="Times New Roman" w:eastAsia="Times New Roman"/>
          <w:b w:val="0"/>
          <w:sz w:val="22"/>
        </w:rPr>
        <w:t>The following wireframes intentionally remain low fidelity. They focus on information structure, navigation, system feedback, and the student workflow rather than visual styling. Each screen is directly traceable to requirements stated in the SAMS scenario.</w:t>
      </w:r>
    </w:p>
    <w:p>
      <w:pPr>
        <w:pStyle w:val="Heading2"/>
        <w:keepNext/>
        <w:spacing w:before="160" w:after="100"/>
      </w:pPr>
      <w:r>
        <w:rPr>
          <w:rFonts w:ascii="Times New Roman" w:hAnsi="Times New Roman" w:eastAsia="Times New Roman"/>
          <w:b/>
          <w:sz w:val="26"/>
        </w:rPr>
        <w:t>Requirements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pPr>
              <w:jc w:val="center"/>
            </w:pPr>
            <w:r/>
            <w:r>
              <w:rPr>
                <w:rFonts w:ascii="Times New Roman" w:hAnsi="Times New Roman" w:eastAsia="Times New Roman"/>
                <w:b/>
                <w:sz w:val="18"/>
              </w:rPr>
              <w:t>Prototype screen</w:t>
            </w:r>
          </w:p>
        </w:tc>
        <w:tc>
          <w:tcPr>
            <w:tcW w:type="dxa" w:w="3360"/>
            <w:shd w:fill="D9EAF7"/>
          </w:tcPr>
          <w:p>
            <w:pPr>
              <w:jc w:val="center"/>
            </w:pPr>
            <w:r/>
            <w:r>
              <w:rPr>
                <w:rFonts w:ascii="Times New Roman" w:hAnsi="Times New Roman" w:eastAsia="Times New Roman"/>
                <w:b/>
                <w:sz w:val="18"/>
              </w:rPr>
              <w:t>Scenario requirements represented</w:t>
            </w:r>
          </w:p>
        </w:tc>
        <w:tc>
          <w:tcPr>
            <w:tcW w:type="dxa" w:w="3360"/>
            <w:shd w:fill="D9EAF7"/>
          </w:tcPr>
          <w:p>
            <w:pPr>
              <w:jc w:val="center"/>
            </w:pPr>
            <w:r/>
            <w:r>
              <w:rPr>
                <w:rFonts w:ascii="Times New Roman" w:hAnsi="Times New Roman" w:eastAsia="Times New Roman"/>
                <w:b/>
                <w:sz w:val="18"/>
              </w:rPr>
              <w:t>Design evidence</w:t>
            </w:r>
          </w:p>
        </w:tc>
      </w:tr>
      <w:tr>
        <w:tc>
          <w:tcPr>
            <w:tcW w:type="dxa" w:w="3360"/>
            <w:vAlign w:val="center"/>
          </w:tcPr>
          <w:p>
            <w:pPr>
              <w:spacing w:after="0"/>
            </w:pPr>
            <w:r/>
            <w:r>
              <w:rPr>
                <w:rFonts w:ascii="Times New Roman" w:hAnsi="Times New Roman" w:eastAsia="Times New Roman"/>
                <w:sz w:val="17"/>
              </w:rPr>
              <w:t>Browse Activities</w:t>
            </w:r>
          </w:p>
        </w:tc>
        <w:tc>
          <w:tcPr>
            <w:tcW w:type="dxa" w:w="3360"/>
            <w:vAlign w:val="center"/>
          </w:tcPr>
          <w:p>
            <w:pPr>
              <w:spacing w:after="0"/>
            </w:pPr>
            <w:r/>
            <w:r>
              <w:rPr>
                <w:rFonts w:ascii="Times New Roman" w:hAnsi="Times New Roman" w:eastAsia="Times New Roman"/>
                <w:sz w:val="17"/>
              </w:rPr>
              <w:t>Browse by category, campus, or date; discover available activities.</w:t>
            </w:r>
          </w:p>
        </w:tc>
        <w:tc>
          <w:tcPr>
            <w:tcW w:type="dxa" w:w="3360"/>
            <w:vAlign w:val="center"/>
          </w:tcPr>
          <w:p>
            <w:pPr>
              <w:spacing w:after="0"/>
            </w:pPr>
            <w:r/>
            <w:r>
              <w:rPr>
                <w:rFonts w:ascii="Times New Roman" w:hAnsi="Times New Roman" w:eastAsia="Times New Roman"/>
                <w:sz w:val="17"/>
              </w:rPr>
              <w:t>Search field, three filters, activity cards, availability status, and View Details action.</w:t>
            </w:r>
          </w:p>
        </w:tc>
      </w:tr>
      <w:tr>
        <w:tc>
          <w:tcPr>
            <w:tcW w:type="dxa" w:w="3360"/>
            <w:vAlign w:val="center"/>
          </w:tcPr>
          <w:p>
            <w:pPr>
              <w:spacing w:after="0"/>
            </w:pPr>
            <w:r/>
            <w:r>
              <w:rPr>
                <w:rFonts w:ascii="Times New Roman" w:hAnsi="Times New Roman" w:eastAsia="Times New Roman"/>
                <w:sz w:val="17"/>
              </w:rPr>
              <w:t>Activity Details and Registration</w:t>
            </w:r>
          </w:p>
        </w:tc>
        <w:tc>
          <w:tcPr>
            <w:tcW w:type="dxa" w:w="3360"/>
            <w:vAlign w:val="center"/>
          </w:tcPr>
          <w:p>
            <w:pPr>
              <w:spacing w:after="0"/>
            </w:pPr>
            <w:r/>
            <w:r>
              <w:rPr>
                <w:rFonts w:ascii="Times New Roman" w:hAnsi="Times New Roman" w:eastAsia="Times New Roman"/>
                <w:sz w:val="17"/>
              </w:rPr>
              <w:t>View details; reserve a seat; apply eligibility, capacity, deadline, and waitlist rules.</w:t>
            </w:r>
          </w:p>
        </w:tc>
        <w:tc>
          <w:tcPr>
            <w:tcW w:type="dxa" w:w="3360"/>
            <w:vAlign w:val="center"/>
          </w:tcPr>
          <w:p>
            <w:pPr>
              <w:spacing w:after="0"/>
            </w:pPr>
            <w:r/>
            <w:r>
              <w:rPr>
                <w:rFonts w:ascii="Times New Roman" w:hAnsi="Times New Roman" w:eastAsia="Times New Roman"/>
                <w:sz w:val="17"/>
              </w:rPr>
              <w:t>Schedule, location, deadline, eligibility, attendance method, capacity/availability, and state-dependent primary action.</w:t>
            </w:r>
          </w:p>
        </w:tc>
      </w:tr>
      <w:tr>
        <w:tc>
          <w:tcPr>
            <w:tcW w:type="dxa" w:w="3360"/>
            <w:vAlign w:val="center"/>
          </w:tcPr>
          <w:p>
            <w:pPr>
              <w:spacing w:after="0"/>
            </w:pPr>
            <w:r/>
            <w:r>
              <w:rPr>
                <w:rFonts w:ascii="Times New Roman" w:hAnsi="Times New Roman" w:eastAsia="Times New Roman"/>
                <w:sz w:val="17"/>
              </w:rPr>
              <w:t>My Activities</w:t>
            </w:r>
          </w:p>
        </w:tc>
        <w:tc>
          <w:tcPr>
            <w:tcW w:type="dxa" w:w="3360"/>
            <w:vAlign w:val="center"/>
          </w:tcPr>
          <w:p>
            <w:pPr>
              <w:spacing w:after="0"/>
            </w:pPr>
            <w:r/>
            <w:r>
              <w:rPr>
                <w:rFonts w:ascii="Times New Roman" w:hAnsi="Times New Roman" w:eastAsia="Times New Roman"/>
                <w:sz w:val="17"/>
              </w:rPr>
              <w:t>Cancel before deadline; receive waitlist updates; use electronic attendance; view history, hours, certificates, and transcript.</w:t>
            </w:r>
          </w:p>
        </w:tc>
        <w:tc>
          <w:tcPr>
            <w:tcW w:type="dxa" w:w="3360"/>
            <w:vAlign w:val="center"/>
          </w:tcPr>
          <w:p>
            <w:pPr>
              <w:spacing w:after="0"/>
            </w:pPr>
            <w:r/>
            <w:r>
              <w:rPr>
                <w:rFonts w:ascii="Times New Roman" w:hAnsi="Times New Roman" w:eastAsia="Times New Roman"/>
                <w:sz w:val="17"/>
              </w:rPr>
              <w:t>Cancel Reservation, waitlist status/exit, QR attendance, summary, certificates, and Activity Transcript access.</w:t>
            </w:r>
          </w:p>
        </w:tc>
      </w:tr>
    </w:tbl>
    <w:p>
      <w:pPr>
        <w:spacing w:line="276" w:lineRule="auto" w:after="120"/>
        <w:jc w:val="both"/>
      </w:pPr>
      <w:r>
        <w:rPr>
          <w:rFonts w:ascii="Times New Roman" w:hAnsi="Times New Roman" w:eastAsia="Times New Roman"/>
          <w:b w:val="0"/>
          <w:sz w:val="20"/>
        </w:rPr>
        <w:t>Traceability purpose: the table shows that the three screens were selected from the official scenario rather than added as generic interface examples.</w:t>
      </w:r>
    </w:p>
    <w:p>
      <w:pPr>
        <w:pStyle w:val="Heading2"/>
        <w:keepNext/>
        <w:pageBreakBefore/>
        <w:spacing w:before="160" w:after="100"/>
      </w:pPr>
      <w:r>
        <w:rPr>
          <w:rFonts w:ascii="Times New Roman" w:hAnsi="Times New Roman" w:eastAsia="Times New Roman"/>
          <w:b/>
          <w:sz w:val="26"/>
        </w:rPr>
        <w:t>Screen 1: Browse Activities</w:t>
      </w:r>
    </w:p>
    <w:p>
      <w:pPr>
        <w:spacing w:line="276" w:lineRule="auto" w:after="120"/>
        <w:jc w:val="both"/>
      </w:pPr>
      <w:r>
        <w:rPr>
          <w:rFonts w:ascii="Times New Roman" w:hAnsi="Times New Roman" w:eastAsia="Times New Roman"/>
          <w:b w:val="0"/>
          <w:sz w:val="22"/>
        </w:rPr>
        <w:t>This screen supports activity discovery through search and filters for category, campus, and date. Activity cards show availability status and direct the student to the details screen, where registration rules and the appropriate next action can be evaluated consistently.</w:t>
      </w:r>
    </w:p>
    <w:p>
      <w:pPr>
        <w:spacing w:after="40"/>
        <w:jc w:val="center"/>
      </w:pPr>
      <w:r>
        <w:drawing>
          <wp:inline xmlns:a="http://schemas.openxmlformats.org/drawingml/2006/main" xmlns:pic="http://schemas.openxmlformats.org/drawingml/2006/picture">
            <wp:extent cx="6035040" cy="3583305"/>
            <wp:docPr id="1" name="Picture 1"/>
            <wp:cNvGraphicFramePr>
              <a:graphicFrameLocks noChangeAspect="1"/>
            </wp:cNvGraphicFramePr>
            <a:graphic>
              <a:graphicData uri="http://schemas.openxmlformats.org/drawingml/2006/picture">
                <pic:pic>
                  <pic:nvPicPr>
                    <pic:cNvPr id="0" name="screen1_browse.png"/>
                    <pic:cNvPicPr/>
                  </pic:nvPicPr>
                  <pic:blipFill>
                    <a:blip r:embed="rId11"/>
                    <a:stretch>
                      <a:fillRect/>
                    </a:stretch>
                  </pic:blipFill>
                  <pic:spPr>
                    <a:xfrm>
                      <a:off x="0" y="0"/>
                      <a:ext cx="6035040" cy="3583305"/>
                    </a:xfrm>
                    <a:prstGeom prst="rect"/>
                  </pic:spPr>
                </pic:pic>
              </a:graphicData>
            </a:graphic>
          </wp:inline>
        </w:drawing>
      </w:r>
    </w:p>
    <w:p>
      <w:pPr>
        <w:keepNext w:val="0"/>
        <w:spacing w:after="120" w:before="40"/>
        <w:jc w:val="center"/>
      </w:pPr>
      <w:r>
        <w:rPr>
          <w:rFonts w:ascii="Times New Roman" w:hAnsi="Times New Roman" w:eastAsia="Times New Roman"/>
          <w:i/>
          <w:sz w:val="18"/>
        </w:rPr>
        <w:t>Figure 1. Low-fidelity Browse Activities screen.</w:t>
      </w:r>
    </w:p>
    <w:p>
      <w:pPr>
        <w:pStyle w:val="Heading2"/>
        <w:keepNext/>
        <w:pageBreakBefore/>
        <w:spacing w:before="160" w:after="100"/>
      </w:pPr>
      <w:r>
        <w:rPr>
          <w:rFonts w:ascii="Times New Roman" w:hAnsi="Times New Roman" w:eastAsia="Times New Roman"/>
          <w:b/>
          <w:sz w:val="26"/>
        </w:rPr>
        <w:t>Screen 2: Activity Details and Registration</w:t>
      </w:r>
    </w:p>
    <w:p>
      <w:pPr>
        <w:spacing w:line="276" w:lineRule="auto" w:after="120"/>
        <w:jc w:val="both"/>
      </w:pPr>
      <w:r>
        <w:rPr>
          <w:rFonts w:ascii="Times New Roman" w:hAnsi="Times New Roman" w:eastAsia="Times New Roman"/>
          <w:b w:val="0"/>
          <w:sz w:val="22"/>
        </w:rPr>
        <w:t>This screen presents the information required for an informed registration decision: category, campus, schedule, location, registration deadline, eligibility requirements, attendance method, capacity, and current availability. The primary action is state-dependent: Register when registration is open and the student is eligible and a seat is available; Join Waitlist when capacity is full; Registration Closed after the deadline; and Not Eligible when eligibility rules are not satisfied.</w:t>
      </w:r>
    </w:p>
    <w:p>
      <w:pPr>
        <w:spacing w:after="40"/>
        <w:jc w:val="center"/>
      </w:pPr>
      <w:r>
        <w:drawing>
          <wp:inline xmlns:a="http://schemas.openxmlformats.org/drawingml/2006/main" xmlns:pic="http://schemas.openxmlformats.org/drawingml/2006/picture">
            <wp:extent cx="6035040" cy="3583305"/>
            <wp:docPr id="2" name="Picture 2"/>
            <wp:cNvGraphicFramePr>
              <a:graphicFrameLocks noChangeAspect="1"/>
            </wp:cNvGraphicFramePr>
            <a:graphic>
              <a:graphicData uri="http://schemas.openxmlformats.org/drawingml/2006/picture">
                <pic:pic>
                  <pic:nvPicPr>
                    <pic:cNvPr id="0" name="screen2_details.png"/>
                    <pic:cNvPicPr/>
                  </pic:nvPicPr>
                  <pic:blipFill>
                    <a:blip r:embed="rId12"/>
                    <a:stretch>
                      <a:fillRect/>
                    </a:stretch>
                  </pic:blipFill>
                  <pic:spPr>
                    <a:xfrm>
                      <a:off x="0" y="0"/>
                      <a:ext cx="6035040" cy="3583305"/>
                    </a:xfrm>
                    <a:prstGeom prst="rect"/>
                  </pic:spPr>
                </pic:pic>
              </a:graphicData>
            </a:graphic>
          </wp:inline>
        </w:drawing>
      </w:r>
    </w:p>
    <w:p>
      <w:pPr>
        <w:keepNext w:val="0"/>
        <w:spacing w:after="120" w:before="40"/>
        <w:jc w:val="center"/>
      </w:pPr>
      <w:r>
        <w:rPr>
          <w:rFonts w:ascii="Times New Roman" w:hAnsi="Times New Roman" w:eastAsia="Times New Roman"/>
          <w:i/>
          <w:sz w:val="18"/>
        </w:rPr>
        <w:t>Figure 2. Low-fidelity Activity Details and Registration screen.</w:t>
      </w:r>
    </w:p>
    <w:p>
      <w:pPr>
        <w:pStyle w:val="Heading2"/>
        <w:keepNext/>
        <w:pageBreakBefore/>
        <w:spacing w:before="160" w:after="100"/>
      </w:pPr>
      <w:r>
        <w:rPr>
          <w:rFonts w:ascii="Times New Roman" w:hAnsi="Times New Roman" w:eastAsia="Times New Roman"/>
          <w:b/>
          <w:sz w:val="26"/>
        </w:rPr>
        <w:t>Screen 3: My Activities</w:t>
      </w:r>
    </w:p>
    <w:p>
      <w:pPr>
        <w:spacing w:line="276" w:lineRule="auto" w:after="120"/>
        <w:jc w:val="both"/>
      </w:pPr>
      <w:r>
        <w:rPr>
          <w:rFonts w:ascii="Times New Roman" w:hAnsi="Times New Roman" w:eastAsia="Times New Roman"/>
          <w:b w:val="0"/>
          <w:sz w:val="22"/>
        </w:rPr>
        <w:t>This screen supports the student after registration by combining confirmed activities, waitlist status, attendance access, activity history, participation hours, certificates, and the activity transcript. A confirmed reservation can be cancelled before the registration deadline, and the electronic attendance code is available for the upcoming activity. Waitlisted students can also leave the waitlist and receive automatic status updates when a vacancy becomes available.</w:t>
      </w:r>
    </w:p>
    <w:p>
      <w:pPr>
        <w:spacing w:after="40"/>
        <w:jc w:val="center"/>
      </w:pPr>
      <w:r>
        <w:drawing>
          <wp:inline xmlns:a="http://schemas.openxmlformats.org/drawingml/2006/main" xmlns:pic="http://schemas.openxmlformats.org/drawingml/2006/picture">
            <wp:extent cx="6035040" cy="3583305"/>
            <wp:docPr id="3" name="Picture 3"/>
            <wp:cNvGraphicFramePr>
              <a:graphicFrameLocks noChangeAspect="1"/>
            </wp:cNvGraphicFramePr>
            <a:graphic>
              <a:graphicData uri="http://schemas.openxmlformats.org/drawingml/2006/picture">
                <pic:pic>
                  <pic:nvPicPr>
                    <pic:cNvPr id="0" name="screen3_my_activities.png"/>
                    <pic:cNvPicPr/>
                  </pic:nvPicPr>
                  <pic:blipFill>
                    <a:blip r:embed="rId13"/>
                    <a:stretch>
                      <a:fillRect/>
                    </a:stretch>
                  </pic:blipFill>
                  <pic:spPr>
                    <a:xfrm>
                      <a:off x="0" y="0"/>
                      <a:ext cx="6035040" cy="3583305"/>
                    </a:xfrm>
                    <a:prstGeom prst="rect"/>
                  </pic:spPr>
                </pic:pic>
              </a:graphicData>
            </a:graphic>
          </wp:inline>
        </w:drawing>
      </w:r>
    </w:p>
    <w:p>
      <w:pPr>
        <w:keepNext w:val="0"/>
        <w:spacing w:after="120" w:before="40"/>
        <w:jc w:val="center"/>
      </w:pPr>
      <w:r>
        <w:rPr>
          <w:rFonts w:ascii="Times New Roman" w:hAnsi="Times New Roman" w:eastAsia="Times New Roman"/>
          <w:i/>
          <w:sz w:val="18"/>
        </w:rPr>
        <w:t>Figure 3. Low-fidelity My Activities screen.</w:t>
      </w:r>
    </w:p>
    <w:p>
      <w:pPr>
        <w:pStyle w:val="Heading1"/>
        <w:keepNext/>
        <w:pageBreakBefore w:val="0"/>
        <w:spacing w:before="160" w:after="100"/>
      </w:pPr>
      <w:r>
        <w:rPr>
          <w:rFonts w:ascii="Times New Roman" w:hAnsi="Times New Roman" w:eastAsia="Times New Roman"/>
          <w:b/>
          <w:sz w:val="30"/>
        </w:rPr>
        <w:t>Prototype Interaction Flow and Design Rationale</w:t>
      </w:r>
    </w:p>
    <w:p>
      <w:pPr>
        <w:spacing w:line="276" w:lineRule="auto" w:after="120"/>
        <w:jc w:val="left"/>
      </w:pPr>
      <w:r>
        <w:rPr>
          <w:rFonts w:ascii="Times New Roman" w:hAnsi="Times New Roman" w:eastAsia="Times New Roman"/>
          <w:b/>
          <w:sz w:val="22"/>
        </w:rPr>
        <w:t>Student flow: Browse Activities -&gt; View Activity Details -&gt; Register or Join Waitlist -&gt; My Activities -&gt; QR Attendance / History / Certificates / Activity Transcript.</w:t>
      </w:r>
    </w:p>
    <w:p>
      <w:pPr>
        <w:spacing w:line="276" w:lineRule="auto" w:after="120"/>
        <w:jc w:val="both"/>
      </w:pPr>
      <w:r>
        <w:rPr>
          <w:rFonts w:ascii="Times New Roman" w:hAnsi="Times New Roman" w:eastAsia="Times New Roman"/>
          <w:b w:val="0"/>
          <w:sz w:val="22"/>
        </w:rPr>
        <w:t>Design rationale: Screen 1 reduces discovery effort by grouping the required filters with concise availability feedback. Screen 2 places eligibility, deadline, capacity, and attendance information before the primary action so invalid or unavailable actions can be prevented. Screen 3 centralizes the post-registration lifecycle, including cancellation, waitlist status, attendance, certificates, and the graduation transcript.</w:t>
      </w:r>
    </w:p>
    <w:p>
      <w:pPr>
        <w:spacing w:line="276" w:lineRule="auto" w:after="120"/>
        <w:jc w:val="both"/>
      </w:pPr>
      <w:r>
        <w:rPr>
          <w:rFonts w:ascii="Times New Roman" w:hAnsi="Times New Roman" w:eastAsia="Times New Roman"/>
          <w:b w:val="0"/>
          <w:sz w:val="22"/>
        </w:rPr>
        <w:t>Evolutionary iteration cycle: low-fidelity draft -&gt; stakeholder feedback -&gt; revise navigation and information -&gt; validate business rules and workflow -&gt; evolve the accepted prototype toward implementation. This keeps the prototype simple enough for early feedback while ensuring that each revision remains traceable to the approved SAMS requirements.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System Analysis and Design - Task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8"/>
      </w:rPr>
      <w:t>Saudi Electronic University | College of Computing and Informatics | IT-353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IT353 SAMS - Task 2 Prototyping</dc:title>
  <dc:subject>Standalone Task 2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