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ptos Display" w:hAnsi="Aptos Display"/>
          <w:b/>
          <w:color w:val="17365D"/>
          <w:sz w:val="56"/>
        </w:rPr>
        <w:t>SPÉCIFICATION DU FLUX ETL</w:t>
      </w:r>
    </w:p>
    <w:p>
      <w:pPr>
        <w:jc w:val="center"/>
      </w:pPr>
      <w:r>
        <w:rPr>
          <w:color w:val="2F5597"/>
          <w:sz w:val="32"/>
        </w:rPr>
        <w:t>[Nom du flux / projet]</w:t>
      </w:r>
    </w:p>
    <w:p>
      <w:pPr>
        <w:spacing w:before="160"/>
        <w:jc w:val="center"/>
      </w:pPr>
      <w:r>
        <w:rPr>
          <w:i/>
          <w:color w:val="646464"/>
          <w:sz w:val="22"/>
        </w:rPr>
        <w:t>Modèle léger de spécification technique</w:t>
      </w:r>
    </w:p>
    <w:p>
      <w:pPr>
        <w:spacing w:before="6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Projet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[Nom du projet]</w:t>
            </w:r>
          </w:p>
        </w:tc>
      </w:tr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Auteur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[Nom et prénom]</w:t>
            </w:r>
          </w:p>
        </w:tc>
      </w:tr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[JJ/MM/AAAA]</w:t>
            </w:r>
          </w:p>
        </w:tc>
      </w:tr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Brouillon / À valider / Validé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Sommaire</w:t>
      </w:r>
    </w:p>
    <w:p>
      <w:pPr>
        <w:spacing w:after="40"/>
      </w:pPr>
      <w:r>
        <w:t>1. Objectif</w:t>
      </w:r>
    </w:p>
    <w:p>
      <w:pPr>
        <w:spacing w:after="40"/>
      </w:pPr>
      <w:r>
        <w:t>2. Contexte</w:t>
      </w:r>
    </w:p>
    <w:p>
      <w:pPr>
        <w:spacing w:after="40"/>
      </w:pPr>
      <w:r>
        <w:t>3. Vue d’ensemble du flux</w:t>
      </w:r>
    </w:p>
    <w:p>
      <w:pPr>
        <w:spacing w:after="40"/>
      </w:pPr>
      <w:r>
        <w:t xml:space="preserve">   3.1 Résumé technique</w:t>
      </w:r>
    </w:p>
    <w:p>
      <w:pPr>
        <w:spacing w:after="40"/>
      </w:pPr>
      <w:r>
        <w:t xml:space="preserve">   3.2 Diagramme du flux</w:t>
      </w:r>
    </w:p>
    <w:p>
      <w:pPr>
        <w:spacing w:after="40"/>
      </w:pPr>
      <w:r>
        <w:t xml:space="preserve">   3.3 Périmètre</w:t>
      </w:r>
    </w:p>
    <w:p>
      <w:pPr>
        <w:spacing w:after="40"/>
      </w:pPr>
      <w:r>
        <w:t>4. Sources de données</w:t>
      </w:r>
    </w:p>
    <w:p>
      <w:pPr>
        <w:spacing w:after="40"/>
      </w:pPr>
      <w:r>
        <w:t>5. Règles de transformation</w:t>
      </w:r>
    </w:p>
    <w:p>
      <w:pPr>
        <w:spacing w:after="40"/>
      </w:pPr>
      <w:r>
        <w:t>6. Méthode de chargement</w:t>
      </w:r>
    </w:p>
    <w:p>
      <w:pPr>
        <w:spacing w:after="40"/>
      </w:pPr>
      <w:r>
        <w:t>7. Volumétrie et performances</w:t>
      </w:r>
    </w:p>
    <w:p>
      <w:pPr>
        <w:spacing w:after="40"/>
      </w:pPr>
      <w:r>
        <w:t>8. Journalisation et supervision</w:t>
      </w:r>
    </w:p>
    <w:p>
      <w:pPr>
        <w:spacing w:after="40"/>
      </w:pPr>
      <w:r>
        <w:t>9. Architecture des tables</w:t>
      </w:r>
    </w:p>
    <w:p>
      <w:pPr>
        <w:spacing w:after="40"/>
      </w:pPr>
      <w:r>
        <w:t>10. Gestion des erreurs</w:t>
      </w:r>
    </w:p>
    <w:p>
      <w:pPr>
        <w:pStyle w:val="Heading1"/>
        <w:keepNext/>
      </w:pPr>
      <w:r>
        <w:t>1. Objectif</w:t>
      </w:r>
    </w:p>
    <w:p>
      <w:pPr>
        <w:spacing w:after="160"/>
        <w:ind w:left="173"/>
      </w:pPr>
      <w:r>
        <w:rPr>
          <w:i/>
          <w:color w:val="646464"/>
          <w:sz w:val="19"/>
        </w:rPr>
        <w:t>Présenter l’objectif métier et technique du flux ETL, ainsi que le résultat attendu.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pStyle w:val="Heading1"/>
        <w:keepNext/>
      </w:pPr>
      <w:r>
        <w:t>2. Contexte</w:t>
      </w:r>
    </w:p>
    <w:p>
      <w:pPr>
        <w:spacing w:after="160"/>
        <w:ind w:left="173"/>
      </w:pPr>
      <w:r>
        <w:rPr>
          <w:i/>
          <w:color w:val="646464"/>
          <w:sz w:val="19"/>
        </w:rPr>
        <w:t>Décrire le besoin, le projet, les applications concernées et les principales contraintes.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pStyle w:val="Heading1"/>
        <w:keepNext/>
      </w:pPr>
      <w:r>
        <w:t>3. Vue d’ensemble du flux</w:t>
      </w:r>
    </w:p>
    <w:p>
      <w:pPr>
        <w:pStyle w:val="Heading2"/>
        <w:keepNext/>
      </w:pPr>
      <w:r>
        <w:t>3.1 Résumé technique</w:t>
      </w:r>
    </w:p>
    <w:p>
      <w:pPr>
        <w:spacing w:after="160"/>
        <w:ind w:left="173"/>
      </w:pPr>
      <w:r>
        <w:rPr>
          <w:i/>
          <w:color w:val="646464"/>
          <w:sz w:val="19"/>
        </w:rPr>
        <w:t>Résumer le fonctionnement du flux : origine des données, principaux traitements, destination et fréquence.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pStyle w:val="Heading2"/>
        <w:keepNext/>
      </w:pPr>
      <w:r>
        <w:t>3.2 Diagramme du flux</w:t>
      </w:r>
    </w:p>
    <w:p>
      <w:pPr>
        <w:spacing w:after="160"/>
        <w:ind w:left="173"/>
      </w:pPr>
      <w:r>
        <w:rPr>
          <w:i/>
          <w:color w:val="646464"/>
          <w:sz w:val="19"/>
        </w:rPr>
        <w:t>Insérer ici un schéma simple représentant les sources, les étapes de traitement et les tables cibles.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color w:val="7F7F7F"/>
                <w:sz w:val="22"/>
              </w:rPr>
              <w:t>[Insérer le diagramme du flux ETL ici]</w:t>
            </w:r>
          </w:p>
        </w:tc>
      </w:tr>
    </w:tbl>
    <w:p>
      <w:pPr>
        <w:pStyle w:val="Heading2"/>
        <w:keepNext/>
      </w:pPr>
      <w:r>
        <w:t>3.3 Périmètre</w:t>
      </w:r>
    </w:p>
    <w:p>
      <w:pPr>
        <w:spacing w:after="160"/>
        <w:ind w:left="173"/>
      </w:pPr>
      <w:r>
        <w:rPr>
          <w:i/>
          <w:color w:val="646464"/>
          <w:sz w:val="19"/>
        </w:rPr>
        <w:t>Préciser ce qui est inclus dans le flux et ce qui est explicitement exclu.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pStyle w:val="Heading1"/>
        <w:keepNext/>
      </w:pPr>
      <w:r>
        <w:t>4. Sources de données</w:t>
      </w:r>
    </w:p>
    <w:p>
      <w:pPr>
        <w:spacing w:after="160"/>
        <w:ind w:left="173"/>
      </w:pPr>
      <w:r>
        <w:rPr>
          <w:i/>
          <w:color w:val="646464"/>
          <w:sz w:val="19"/>
        </w:rPr>
        <w:t>Lister les systèmes, fichiers, API ou tables sources, ainsi que leur format et leur mode d’accès.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Objet / fichier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Accès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Fréquence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[À compléter]</w:t>
            </w:r>
          </w:p>
        </w:tc>
      </w:tr>
    </w:tbl>
    <w:p>
      <w:pPr>
        <w:pStyle w:val="Heading1"/>
        <w:keepNext/>
      </w:pPr>
      <w:r>
        <w:t>5. Règles de transformation</w:t>
      </w:r>
    </w:p>
    <w:p>
      <w:pPr>
        <w:spacing w:after="160"/>
        <w:ind w:left="173"/>
      </w:pPr>
      <w:r>
        <w:rPr>
          <w:i/>
          <w:color w:val="646464"/>
          <w:sz w:val="19"/>
        </w:rPr>
        <w:t>Décrire les mappings, filtres, calculs, conversions et règles de gestion appliqués aux données.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Champ source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Champ cible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Règle de transformation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Contrôle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[À compléter]</w:t>
            </w:r>
          </w:p>
        </w:tc>
      </w:tr>
    </w:tbl>
    <w:p>
      <w:pPr>
        <w:pStyle w:val="Heading1"/>
        <w:keepNext/>
      </w:pPr>
      <w:r>
        <w:t>6. Méthode de chargement</w:t>
      </w:r>
    </w:p>
    <w:p>
      <w:pPr>
        <w:spacing w:after="160"/>
        <w:ind w:left="173"/>
      </w:pPr>
      <w:r>
        <w:rPr>
          <w:i/>
          <w:color w:val="646464"/>
          <w:sz w:val="19"/>
        </w:rPr>
        <w:t>Indiquer le type de chargement : initial, complet ou incrémental. Préciser la gestion des doublons, mises à jour et suppressions.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pStyle w:val="Heading1"/>
        <w:keepNext/>
      </w:pPr>
      <w:r>
        <w:t>7. Volumétrie et performances</w:t>
      </w:r>
    </w:p>
    <w:p>
      <w:pPr>
        <w:spacing w:after="160"/>
        <w:ind w:left="173"/>
      </w:pPr>
      <w:r>
        <w:rPr>
          <w:i/>
          <w:color w:val="646464"/>
          <w:sz w:val="19"/>
        </w:rPr>
        <w:t>Préciser les volumes attendus, la fréquence d’exécution, la fenêtre de traitement et le temps cible.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9"/>
              </w:rPr>
              <w:t>Volume moyen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[nombre de lignes / taille]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9"/>
              </w:rPr>
              <w:t>Volume maximal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[nombre de lignes / taille]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9"/>
              </w:rPr>
              <w:t>Fréquence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[horaire / quotidienne / autre]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9"/>
              </w:rPr>
              <w:t>Durée cible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[HH:MM]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365D"/>
                <w:sz w:val="19"/>
              </w:rPr>
              <w:t>Fenêtre de traitement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[créneau]</w:t>
            </w:r>
          </w:p>
        </w:tc>
      </w:tr>
    </w:tbl>
    <w:p>
      <w:pPr>
        <w:pStyle w:val="Heading1"/>
        <w:keepNext/>
      </w:pPr>
      <w:r>
        <w:t>8. Journalisation et supervision</w:t>
      </w:r>
    </w:p>
    <w:p>
      <w:pPr>
        <w:spacing w:after="160"/>
        <w:ind w:left="173"/>
      </w:pPr>
      <w:r>
        <w:rPr>
          <w:i/>
          <w:color w:val="646464"/>
          <w:sz w:val="19"/>
        </w:rPr>
        <w:t>Définir les informations enregistrées, les indicateurs de suivi et les alertes générées.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pStyle w:val="Heading1"/>
        <w:keepNext/>
      </w:pPr>
      <w:r>
        <w:t>9. Architecture des tables</w:t>
      </w:r>
    </w:p>
    <w:p>
      <w:pPr>
        <w:spacing w:after="160"/>
        <w:ind w:left="173"/>
      </w:pPr>
      <w:r>
        <w:rPr>
          <w:i/>
          <w:color w:val="646464"/>
          <w:sz w:val="19"/>
        </w:rPr>
        <w:t>Présenter les tables de staging, intermédiaires, cibles, de journalisation et de rejet.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Rôle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Clé principale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Mode de chargement</w:t>
            </w:r>
          </w:p>
        </w:tc>
        <w:tc>
          <w:tcPr>
            <w:tcW w:type="dxa" w:w="2016"/>
            <w:vAlign w:val="center"/>
            <w:shd w:fill="2F5597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Conservation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[À compléter]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[À compléter]</w:t>
            </w:r>
          </w:p>
        </w:tc>
      </w:tr>
    </w:tbl>
    <w:p>
      <w:pPr>
        <w:pStyle w:val="Heading1"/>
        <w:keepNext/>
      </w:pPr>
      <w:r>
        <w:t>10. Gestion des erreurs</w:t>
      </w:r>
    </w:p>
    <w:p>
      <w:pPr>
        <w:spacing w:after="160"/>
        <w:ind w:left="173"/>
      </w:pPr>
      <w:r>
        <w:rPr>
          <w:i/>
          <w:color w:val="646464"/>
          <w:sz w:val="19"/>
        </w:rPr>
        <w:t>Décrire les contrôles, les rejets, les alertes et la procédure de reprise après incident.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p>
      <w:pPr>
        <w:spacing w:after="60"/>
      </w:pPr>
      <w:r>
        <w:rPr>
          <w:color w:val="BEBEBE"/>
          <w:sz w:val="16"/>
        </w:rPr>
        <w:t>........................................................................................................................................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Spécification ETL — [Nom du flux]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