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pStyle w:val="Heading3"/></w:pPr><w:r><w:rPr/><w:t xml:space="preserve">Digital Presence Audit of Public Companies</w:t></w:r></w:p><w:p><w:pPr/><w:r><w:rPr/><w:t xml:space="preserve"> </w:t></w:r></w:p><w:p><w:pPr><w:pStyle w:val="Heading3"/></w:pPr><w:r><w:rPr/><w:t xml:space="preserve">1. Company General Information</w:t></w:r></w:p><w:p><w:pPr/><w:r><w:rPr><w:rFonts w:ascii="'Times New Roman'" w:hAnsi="'Times New Roman'" w:eastAsia="'Times New Roman'" w:cs="'Times New Roman'"/><w:sz w:val="20"/><w:szCs w:val="20"/><w:b w:val="1"/><w:bCs w:val="1"/></w:rPr><w:t xml:space="preserve">Official Name</w:t></w:r></w:p><w:p><w:pPr/><w:r><w:rPr><w:rFonts w:ascii="'Times New Roman'" w:hAnsi="'Times New Roman'" w:eastAsia="'Times New Roman'" w:cs="'Times New Roman'"/><w:sz w:val="20"/><w:szCs w:val="20"/></w:rPr><w:t xml:space="preserve">: DreamComeTrue</w:t></w:r></w:p><w:p><w:pPr/><w:r><w:rPr/><w:t xml:space="preserve"> </w:t></w:r></w:p><w:p><w:pPr/><w:r><w:rPr><w:rFonts w:ascii="'Times New Roman'" w:hAnsi="'Times New Roman'" w:eastAsia="'Times New Roman'" w:cs="'Times New Roman'"/><w:sz w:val="20"/><w:szCs w:val="20"/><w:b w:val="1"/><w:bCs w:val="1"/></w:rPr><w:t xml:space="preserve">Tax Identification Code (CUI/IDNO)</w:t></w:r></w:p><w:p><w:pPr/><w:r><w:rPr><w:rFonts w:ascii="'Times New Roman'" w:hAnsi="'Times New Roman'" w:eastAsia="'Times New Roman'" w:cs="'Times New Roman'"/><w:sz w:val="20"/><w:szCs w:val="20"/></w:rPr><w:t xml:space="preserve">: –</w:t></w:r></w:p><w:p><w:pPr/><w:r><w:rPr/><w:t xml:space="preserve"> </w:t></w:r></w:p><w:p><w:pPr/><w:r><w:rPr><w:rFonts w:ascii="'Times New Roman'" w:hAnsi="'Times New Roman'" w:eastAsia="'Times New Roman'" w:cs="'Times New Roman'"/><w:sz w:val="20"/><w:szCs w:val="20"/><w:b w:val="1"/><w:bCs w:val="1"/></w:rPr><w:t xml:space="preserve">Website Audited</w:t></w:r></w:p><w:p><w:pPr/><w:r><w:rPr><w:rFonts w:ascii="'Times New Roman'" w:hAnsi="'Times New Roman'" w:eastAsia="'Times New Roman'" w:cs="'Times New Roman'"/><w:sz w:val="20"/><w:szCs w:val="20"/></w:rPr><w:t xml:space="preserve">: –</w:t></w:r></w:p><w:p><w:pPr/><w:r><w:rPr/><w:t xml:space="preserve"> </w:t></w:r></w:p><w:p><w:pPr/><w:r><w:rPr><w:rFonts w:ascii="'Times New Roman'" w:hAnsi="'Times New Roman'" w:eastAsia="'Times New Roman'" w:cs="'Times New Roman'"/><w:sz w:val="20"/><w:szCs w:val="20"/><w:b w:val="1"/><w:bCs w:val="1"/></w:rPr><w:t xml:space="preserve">Date of Audit</w:t></w:r></w:p><w:p><w:pPr/><w:r><w:rPr><w:rFonts w:ascii="'Times New Roman'" w:hAnsi="'Times New Roman'" w:eastAsia="'Times New Roman'" w:cs="'Times New Roman'"/><w:sz w:val="20"/><w:szCs w:val="20"/></w:rPr><w:t xml:space="preserve">: July 31, 2025</w:t></w:r></w:p><w:p><w:pPr><w:spacing w:before="240" w:after="240"/></w:pPr><w:r><w:rPr/><w:t xml:space="preserve"> </w:t></w:r></w:p><w:p><w:pPr><w:pStyle w:val="Heading2"/></w:pPr><w:r><w:rPr/><w:t xml:space="preserve">Legal Notice and Galac-Web’s Right to Conduct Public Audits</w:t></w:r></w:p><w:p><w:pPr><w:spacing w:before="240" w:after="240"/></w:pPr><w:r><w:rPr><w:rFonts w:ascii="'Times New Roman'" w:hAnsi="'Times New Roman'" w:eastAsia="'Times New Roman'" w:cs="'Times New Roman'"/><w:sz w:val="26"/><w:szCs w:val="26"/></w:rPr><w:t xml:space="preserve">The present audit was conducted lawfully, ethically, and objectively by </w:t></w:r><w:r><w:rPr><w:rFonts w:ascii="'Times New Roman'" w:hAnsi="'Times New Roman'" w:eastAsia="'Times New Roman'" w:cs="'Times New Roman'"/><w:sz w:val="26"/><w:szCs w:val="26"/><w:b w:val="1"/><w:bCs w:val="1"/></w:rPr><w:t xml:space="preserve">GALAC-WEB S.R.L.</w:t></w:r><w:r><w:rPr><w:rFonts w:ascii="'Times New Roman'" w:hAnsi="'Times New Roman'" w:eastAsia="'Times New Roman'" w:cs="'Times New Roman'"/><w:sz w:val="26"/><w:szCs w:val="26"/></w:rPr><w:t xml:space="preserve">, a legally registered entity, which holds full rights to collect, analyze, and interpret publicly available information for purposes of research, public awareness, and professional advisory.</w:t></w:r></w:p><w:p><w:pPr><w:pStyle w:val="Heading3"/></w:pPr><w:r><w:rPr/><w:t xml:space="preserve">Legal Grounds Supporting This Right</w:t></w:r></w:p><w:p><w:pPr><w:spacing w:before="240" w:after="240"/></w:pPr><w:r><w:rPr><w:rFonts w:ascii="'Times New Roman'" w:hAnsi="'Times New Roman'" w:eastAsia="'Times New Roman'" w:cs="'Times New Roman'"/><w:sz w:val="26"/><w:szCs w:val="26"/><w:b w:val="1"/><w:bCs w:val="1"/></w:rPr><w:t xml:space="preserve">1. Freedom of Expression and Access to Public Information</w:t></w:r><w:br/><w:r><w:rPr><w:rFonts w:ascii="'Times New Roman'" w:hAnsi="'Times New Roman'" w:eastAsia="'Times New Roman'" w:cs="'Times New Roman'"/><w:sz w:val="26"/><w:szCs w:val="26"/></w:rPr><w:t xml:space="preserve"> According to </w:t></w:r><w:r><w:rPr><w:rFonts w:ascii="'Times New Roman'" w:hAnsi="'Times New Roman'" w:eastAsia="'Times New Roman'" w:cs="'Times New Roman'"/><w:sz w:val="26"/><w:szCs w:val="26"/><w:b w:val="1"/><w:bCs w:val="1"/></w:rPr><w:t xml:space="preserve">Articles 30 and 31 of the Romanian Constitution</w:t></w:r><w:r><w:rPr><w:rFonts w:ascii="'Times New Roman'" w:hAnsi="'Times New Roman'" w:eastAsia="'Times New Roman'" w:cs="'Times New Roman'"/><w:sz w:val="26"/><w:szCs w:val="26"/></w:rPr><w:t xml:space="preserve"> and </w:t></w:r><w:r><w:rPr><w:rFonts w:ascii="'Times New Roman'" w:hAnsi="'Times New Roman'" w:eastAsia="'Times New Roman'" w:cs="'Times New Roman'"/><w:sz w:val="26"/><w:szCs w:val="26"/><w:b w:val="1"/><w:bCs w:val="1"/></w:rPr><w:t xml:space="preserve">Article 10 of the European Convention on Human Rights (ECHR)</w:t></w:r><w:r><w:rPr><w:rFonts w:ascii="'Times New Roman'" w:hAnsi="'Times New Roman'" w:eastAsia="'Times New Roman'" w:cs="'Times New Roman'"/><w:sz w:val="26"/><w:szCs w:val="26"/></w:rPr><w:t xml:space="preserve">, every individual or legal entity has the right to access and disseminate information of public interest, while respecting the dignity and rights of others.</w:t></w:r></w:p><w:p><w:pPr><w:spacing w:before="240" w:after="240"/></w:pPr><w:r><w:rPr><w:rFonts w:ascii="'Times New Roman'" w:hAnsi="'Times New Roman'" w:eastAsia="'Times New Roman'" w:cs="'Times New Roman'"/><w:sz w:val="26"/><w:szCs w:val="26"/><w:b w:val="1"/><w:bCs w:val="1"/></w:rPr><w:t xml:space="preserve">2. Freedom of Information Laws</w:t></w:r></w:p><w:p><w:pPr/><w:r><w:rPr><w:rFonts w:ascii="'Times New Roman'" w:hAnsi="'Times New Roman'" w:eastAsia="'Times New Roman'" w:cs="'Times New Roman'"/><w:sz w:val="26"/><w:szCs w:val="26"/><w:b w:val="1"/><w:bCs w:val="1"/></w:rPr><w:t xml:space="preserve">Law no. 544/2001 (Romania)</w:t></w:r></w:p><w:p><w:pPr/><w:r><w:rPr/><w:t xml:space="preserve"> </w:t></w:r></w:p><w:p><w:pPr/><w:r><w:rPr><w:rFonts w:ascii="'Times New Roman'" w:hAnsi="'Times New Roman'" w:eastAsia="'Times New Roman'" w:cs="'Times New Roman'"/><w:sz w:val="26"/><w:szCs w:val="26"/><w:b w:val="1"/><w:bCs w:val="1"/></w:rPr><w:t xml:space="preserve">Law no. 982/2000 (Republic of Moldova)</w:t></w:r></w:p><w:p><w:pPr/><w:r><w:rPr/><w:t xml:space="preserve"> </w:t></w:r></w:p><w:p><w:pPr/><w:r><w:rPr><w:rFonts w:ascii="'Times New Roman'" w:hAnsi="'Times New Roman'" w:eastAsia="'Times New Roman'" w:cs="'Times New Roman'"/><w:sz w:val="26"/><w:szCs w:val="26"/></w:rPr><w:t xml:space="preserve"> These laws guarantee the right to access publicly available information, including content published on websites, social media platforms, public registries, and other official sources.</w:t></w:r></w:p><w:p><w:pPr><w:spacing w:before="240" w:after="240"/></w:pPr><w:r><w:rPr><w:rFonts w:ascii="'Times New Roman'" w:hAnsi="'Times New Roman'" w:eastAsia="'Times New Roman'" w:cs="'Times New Roman'"/><w:sz w:val="26"/><w:szCs w:val="26"/><w:b w:val="1"/><w:bCs w:val="1"/></w:rPr><w:t xml:space="preserve">3. Regulation (EU) 2016/679 – General Data Protection Regulation (GDPR)</w:t></w:r><w:br/><w:r><w:rPr><w:rFonts w:ascii="'Times New Roman'" w:hAnsi="'Times New Roman'" w:eastAsia="'Times New Roman'" w:cs="'Times New Roman'"/><w:sz w:val="26"/><w:szCs w:val="26"/></w:rPr><w:t xml:space="preserve"> This report does </w:t></w:r><w:r><w:rPr><w:rFonts w:ascii="'Times New Roman'" w:hAnsi="'Times New Roman'" w:eastAsia="'Times New Roman'" w:cs="'Times New Roman'"/><w:sz w:val="26"/><w:szCs w:val="26"/><w:b w:val="1"/><w:bCs w:val="1"/></w:rPr><w:t xml:space="preserve">not process or disclose personal data</w:t></w:r><w:r><w:rPr><w:rFonts w:ascii="'Times New Roman'" w:hAnsi="'Times New Roman'" w:eastAsia="'Times New Roman'" w:cs="'Times New Roman'"/><w:sz w:val="26"/><w:szCs w:val="26"/></w:rPr><w:t xml:space="preserve">, but only evaluates </w:t></w:r><w:r><w:rPr><w:rFonts w:ascii="'Times New Roman'" w:hAnsi="'Times New Roman'" w:eastAsia="'Times New Roman'" w:cs="'Times New Roman'"/><w:sz w:val="26"/><w:szCs w:val="26"/><w:b w:val="1"/><w:bCs w:val="1"/></w:rPr><w:t xml:space="preserve">publicly available information</w:t></w:r><w:r><w:rPr><w:rFonts w:ascii="'Times New Roman'" w:hAnsi="'Times New Roman'" w:eastAsia="'Times New Roman'" w:cs="'Times New Roman'"/><w:sz w:val="26"/><w:szCs w:val="26"/></w:rPr><w:t xml:space="preserve"> that was voluntarily published by the subject company (e.g., company name, registration code, website, reviews, social presence). Galac-Web does not process sensitive data, only assesses the level of digital transparency and public-facing ethics.</w:t></w:r></w:p><w:p><w:pPr><w:spacing w:before="240" w:after="240"/></w:pPr><w:r><w:rPr><w:rFonts w:ascii="'Times New Roman'" w:hAnsi="'Times New Roman'" w:eastAsia="'Times New Roman'" w:cs="'Times New Roman'"/><w:sz w:val="26"/><w:szCs w:val="26"/><w:b w:val="1"/><w:bCs w:val="1"/></w:rPr><w:t xml:space="preserve">4. Commercial Right to Provide Analysis and Advisory Services</w:t></w:r><w:br/><w:r><w:rPr><w:rFonts w:ascii="'Times New Roman'" w:hAnsi="'Times New Roman'" w:eastAsia="'Times New Roman'" w:cs="'Times New Roman'"/><w:sz w:val="26"/><w:szCs w:val="26"/></w:rPr><w:t xml:space="preserve"> As a digital service provider, </w:t></w:r><w:r><w:rPr><w:rFonts w:ascii="'Times New Roman'" w:hAnsi="'Times New Roman'" w:eastAsia="'Times New Roman'" w:cs="'Times New Roman'"/><w:sz w:val="26"/><w:szCs w:val="26"/><w:b w:val="1"/><w:bCs w:val="1"/></w:rPr><w:t xml:space="preserve">Galac-Web S.R.L.</w:t></w:r><w:r><w:rPr><w:rFonts w:ascii="'Times New Roman'" w:hAnsi="'Times New Roman'" w:eastAsia="'Times New Roman'" w:cs="'Times New Roman'"/><w:sz w:val="26"/><w:szCs w:val="26"/></w:rPr><w:t xml:space="preserve"> is legally entitled (as per its registered business activity) to conduct digital audits, market analysis, visibility studies, and advisory in the field of </w:t></w:r><w:r><w:rPr><w:rFonts w:ascii="'Times New Roman'" w:hAnsi="'Times New Roman'" w:eastAsia="'Times New Roman'" w:cs="'Times New Roman'"/><w:sz w:val="26"/><w:szCs w:val="26"/><w:b w:val="1"/><w:bCs w:val="1"/></w:rPr><w:t xml:space="preserve">digital ethics and public reputation</w:t></w:r><w:r><w:rPr><w:rFonts w:ascii="'Times New Roman'" w:hAnsi="'Times New Roman'" w:eastAsia="'Times New Roman'" w:cs="'Times New Roman'"/><w:sz w:val="26"/><w:szCs w:val="26"/></w:rPr><w:t xml:space="preserve">.</w:t></w:r></w:p><w:p><w:pPr><w:pStyle w:val="Heading3"/></w:pPr><w:r><w:rPr/><w:t xml:space="preserve">Ethical Disclaimer and Purpose of the Audit</w:t></w:r></w:p><w:p><w:pPr><w:spacing w:before="240" w:after="240"/></w:pPr><w:r><w:rPr><w:rFonts w:ascii="'Times New Roman'" w:hAnsi="'Times New Roman'" w:eastAsia="'Times New Roman'" w:cs="'Times New Roman'"/><w:sz w:val="26"/><w:szCs w:val="26"/></w:rPr><w:t xml:space="preserve">This report:</w:t></w:r></w:p><w:p><w:pPr/><w:r><w:rPr><w:rFonts w:ascii="'Times New Roman'" w:hAnsi="'Times New Roman'" w:eastAsia="'Times New Roman'" w:cs="'Times New Roman'"/><w:sz w:val="26"/><w:szCs w:val="26"/></w:rPr><w:t xml:space="preserve">Does </w:t></w:r></w:p><w:p><w:pPr/><w:r><w:rPr><w:rFonts w:ascii="'Times New Roman'" w:hAnsi="'Times New Roman'" w:eastAsia="'Times New Roman'" w:cs="'Times New Roman'"/><w:sz w:val="26"/><w:szCs w:val="26"/><w:b w:val="1"/><w:bCs w:val="1"/></w:rPr><w:t xml:space="preserve">not constitute defamation or criticism</w:t></w:r></w:p><w:p><w:pPr/><w:r><w:rPr><w:rFonts w:ascii="'Times New Roman'" w:hAnsi="'Times New Roman'" w:eastAsia="'Times New Roman'" w:cs="'Times New Roman'"/><w:sz w:val="26"/><w:szCs w:val="26"/></w:rPr><w:t xml:space="preserve">, but rather a </w:t></w:r></w:p><w:p><w:pPr/><w:r><w:rPr><w:rFonts w:ascii="'Times New Roman'" w:hAnsi="'Times New Roman'" w:eastAsia="'Times New Roman'" w:cs="'Times New Roman'"/><w:sz w:val="26"/><w:szCs w:val="26"/><w:b w:val="1"/><w:bCs w:val="1"/></w:rPr><w:t xml:space="preserve">constructive advisory effort</w:t></w:r></w:p><w:p><w:pPr/><w:r><w:rPr><w:rFonts w:ascii="'Times New Roman'" w:hAnsi="'Times New Roman'" w:eastAsia="'Times New Roman'" w:cs="'Times New Roman'"/><w:sz w:val="26"/><w:szCs w:val="26"/></w:rPr><w:t xml:space="preserve">.</w:t></w:r></w:p><w:p><w:pPr/><w:r><w:rPr><w:rFonts w:ascii="'Times New Roman'" w:hAnsi="'Times New Roman'" w:eastAsia="'Times New Roman'" w:cs="'Times New Roman'"/><w:sz w:val="26"/><w:szCs w:val="26"/></w:rPr><w:t xml:space="preserve">Is </w:t></w:r></w:p><w:p><w:pPr/><w:r><w:rPr><w:rFonts w:ascii="'Times New Roman'" w:hAnsi="'Times New Roman'" w:eastAsia="'Times New Roman'" w:cs="'Times New Roman'"/><w:sz w:val="26"/><w:szCs w:val="26"/><w:b w:val="1"/><w:bCs w:val="1"/></w:rPr><w:t xml:space="preserve">exclusively based on publicly available digital information</w:t></w:r></w:p><w:p><w:pPr/><w:r><w:rPr><w:rFonts w:ascii="'Times New Roman'" w:hAnsi="'Times New Roman'" w:eastAsia="'Times New Roman'" w:cs="'Times New Roman'"/><w:sz w:val="26"/><w:szCs w:val="26"/></w:rPr><w:t xml:space="preserve">.</w:t></w:r></w:p><w:p><w:pPr/><w:r><w:rPr><w:rFonts w:ascii="'Times New Roman'" w:hAnsi="'Times New Roman'" w:eastAsia="'Times New Roman'" w:cs="'Times New Roman'"/><w:sz w:val="26"/><w:szCs w:val="26"/></w:rPr><w:t xml:space="preserve">Does </w:t></w:r></w:p><w:p><w:pPr/><w:r><w:rPr><w:rFonts w:ascii="'Times New Roman'" w:hAnsi="'Times New Roman'" w:eastAsia="'Times New Roman'" w:cs="'Times New Roman'"/><w:sz w:val="26"/><w:szCs w:val="26"/><w:b w:val="1"/><w:bCs w:val="1"/></w:rPr><w:t xml:space="preserve">not impose any penalties or sanctions</w:t></w:r></w:p><w:p><w:pPr/><w:r><w:rPr><w:rFonts w:ascii="'Times New Roman'" w:hAnsi="'Times New Roman'" w:eastAsia="'Times New Roman'" w:cs="'Times New Roman'"/><w:sz w:val="26"/><w:szCs w:val="26"/></w:rPr><w:t xml:space="preserve">, but offers professional recommendations for improvement.</w:t></w:r></w:p><w:p><w:pPr/><w:r><w:rPr/><w:t xml:space="preserve"> </w:t></w:r></w:p><w:p><w:pPr><w:pStyle w:val="Heading3"/></w:pPr><w:r><w:rPr/><w:t xml:space="preserve">Right to Reply and Clarification</w:t></w:r></w:p><w:p><w:pPr><w:spacing w:before="240" w:after="240"/></w:pPr><w:r><w:rPr><w:rFonts w:ascii="'Times New Roman'" w:hAnsi="'Times New Roman'" w:eastAsia="'Times New Roman'" w:cs="'Times New Roman'"/><w:sz w:val="26"/><w:szCs w:val="26"/></w:rPr><w:t xml:space="preserve">In accordance with legal and ethical standards, </w:t></w:r><w:r><w:rPr><w:rFonts w:ascii="'Times New Roman'" w:hAnsi="'Times New Roman'" w:eastAsia="'Times New Roman'" w:cs="'Times New Roman'"/><w:sz w:val="26"/><w:szCs w:val="26"/><w:b w:val="1"/><w:bCs w:val="1"/></w:rPr><w:t xml:space="preserve">any audited entity has the right to reply, update, or request clarification</w:t></w:r><w:r><w:rPr><w:rFonts w:ascii="'Times New Roman'" w:hAnsi="'Times New Roman'" w:eastAsia="'Times New Roman'" w:cs="'Times New Roman'"/><w:sz w:val="26"/><w:szCs w:val="26"/></w:rPr><w:t xml:space="preserve">.</w:t></w:r><w:br/><w:r><w:rPr><w:rFonts w:ascii="'Times New Roman'" w:hAnsi="'Times New Roman'" w:eastAsia="'Times New Roman'" w:cs="'Times New Roman'"/><w:sz w:val="26"/><w:szCs w:val="26"/></w:rPr><w:t xml:space="preserve"> Such requests may be submitted in writing to:</w:t></w:r></w:p><w:p><w:pPr><w:spacing w:before="240" w:after="240"/></w:pPr><w:r><w:rPr><w:rFonts w:ascii="'Times New Roman'" w:hAnsi="'Times New Roman'" w:eastAsia="'Times New Roman'" w:cs="'Times New Roman'"/><w:sz w:val="26"/><w:szCs w:val="26"/></w:rPr><w:t xml:space="preserve">📧 </w:t></w:r><w:r><w:rPr><w:rFonts w:ascii="'Times New Roman'" w:hAnsi="'Times New Roman'" w:eastAsia="'Times New Roman'" w:cs="'Times New Roman'"/><w:sz w:val="26"/><w:szCs w:val="26"/><w:b w:val="1"/><w:bCs w:val="1"/></w:rPr><w:t xml:space="preserve">info@galactrust.com</w:t></w:r></w:p><w:p><w:pPr><w:spacing w:before="240" w:after="240"/></w:pPr><w:r><w:rPr/><w:t xml:space="preserve"> </w:t></w:r></w:p><w:p><w:pPr><w:spacing w:before="240" w:after="240"/></w:pPr><w:r><w:rPr/><w:t xml:space="preserve"> </w:t></w:r></w:p><w:p><w:pPr><w:pStyle w:val="Heading3"/></w:pPr><w:r><w:rPr/><w:t xml:space="preserve">Observațiile Noastre</w:t></w:r></w:p><w:p><w:pPr/><w:r><w:rPr/><w:t xml:space="preserve"> </w:t></w:r></w:p><w:p><w:pPr><w:pStyle w:val="Heading3"/></w:pPr><w:r><w:rPr/><w:t xml:space="preserve">Summary Table (Based on Public Information)</w:t></w:r></w:p><w:tbl><w:tblGrid><w:gridCol/><w:gridCol/><w:gridCol/></w:tblGrid><w:tblPr><w:tblW w:w="0" w:type="auto"/><w:tblLayout w:type="autofit"/></w:tblPr><w:tr><w:trPr/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Category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Status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Short Observation</w:t></w:r></w:p></w:tc></w:tr><w:tr><w:trPr/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Identity & Legality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🟢 OK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No clear legal registration found in open databases, but no explicit violations observed.</w:t></w:r></w:p></w:tc></w:tr><w:tr><w:trPr/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Image and UX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🟡 Partial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hyperlink r:id="rId7" w:history="1"><w:r><w:rPr/><w:t xml:space="preserve">https://dctnetwork.info/</w:t></w:r></w:hyperlink><w:r><w:rPr/><w:t xml:space="preserve"> offers a visually strong presentation with structured layout. However, subdomains like</w:t></w:r><w:hyperlink r:id="rId8" w:history="1"><w:r><w:rPr/><w:t xml:space="preserve">https://dreamcometrue.ai/</w:t></w:r></w:hyperlink><w:r><w:rPr/><w:t xml:space="preserve"> and /event.html lack legal documents (terms, policies), and the company’s legal name is not clearly stated.</w:t></w:r></w:p></w:tc></w:tr><w:tr><w:trPr/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Technical Security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🟡 Partial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Website lacks multiple recommended security headers: HSTS, X-Content-Type-Options, ClickJacking Protection, CSP. This exposes users to minor-to-moderate risks.</w:t></w:r></w:p></w:tc></w:tr><w:tr><w:trPr/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Public Reputation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🟢 OK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Shows high visibility with over 4,638,181 Google reviews, although this figure should be independently verified for authenticity.</w:t></w:r></w:p></w:tc></w:tr><w:tr><w:trPr/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SEO & Performance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🔴 Poor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Google PageSpeed Score: 54 on mobile / 96 on desktop. Poor mobile performance may affect user experience and SEO ranking.</w:t></w:r></w:p></w:tc></w:tr><w:tr><w:trPr/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Advertising Ethics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🟢 OK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No deceptive claims observed. Google reviews show strong user engagement.</w:t></w:r></w:p></w:tc></w:tr><w:tr><w:trPr/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Automation & Client Interaction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🔴 Lacking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No clear contact forms, live chat, or automated client support systems were found.</w:t></w:r></w:p></w:tc></w:tr><w:tr><w:trPr/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Social Responsibility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🔴 Lacking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Although the Facebook page "Dream Come True Information Technology" has 2.8K likes and 17K followers, no visible actions or declarations of social responsibility, ethics, or consumer commitment are present.</w:t></w:r></w:p></w:tc></w:tr></w:tbl><w:p><w:pPr><w:pStyle w:val="Heading2"/></w:pPr><w:r><w:rPr/><w:t xml:space="preserve">Recommendations</w:t></w:r></w:p><w:p><w:pPr/><w:r><w:rPr><w:b w:val="1"/><w:bCs w:val="1"/></w:rPr><w:t xml:space="preserve">Legal and Policy Transparency</w:t></w:r></w:p><w:p><w:pPr/><w:r><w:rPr/><w:t xml:space="preserve"> </w:t></w:r></w:p><w:p><w:pPr/><w:r><w:rPr/><w:t xml:space="preserve"> Add essential legal documents to the main domain and subdomains:</w:t></w:r></w:p><w:p><w:pPr/><w:r><w:rPr/><w:t xml:space="preserve"> </w:t></w:r></w:p><w:p><w:pPr/><w:r><w:rPr/><w:t xml:space="preserve">Terms & Conditions</w:t></w:r></w:p><w:p><w:pPr/><w:r><w:rPr/><w:t xml:space="preserve">Privacy Policy (GDPR-compliant)</w:t></w:r></w:p><w:p><w:pPr/><w:r><w:rPr/><w:t xml:space="preserve">Cookie Policy</w:t></w:r></w:p><w:p><w:pPr/><w:r><w:rPr/><w:t xml:space="preserve">Legal Entity Name and Contact Information</w:t></w:r></w:p><w:p><w:pPr/><w:r><w:rPr/><w:t xml:space="preserve"> </w:t></w:r></w:p><w:p><w:pPr/><w:r><w:rPr><w:b w:val="1"/><w:bCs w:val="1"/></w:rPr><w:t xml:space="preserve">Technical Security Improvements</w:t></w:r></w:p><w:p><w:pPr/><w:r><w:rPr/><w:t xml:space="preserve"> </w:t></w:r></w:p><w:p><w:pPr/><w:r><w:rPr/><w:t xml:space="preserve"> Implement the following HTTP headers to ensure a secure environment:</w:t></w:r></w:p><w:p><w:pPr/><w:r><w:rPr/><w:t xml:space="preserve"> </w:t></w:r></w:p><w:p><w:pPr/><w:r><w:rPr><w:rFonts w:ascii="'Roboto Mono'" w:hAnsi="'Roboto Mono'" w:eastAsia="'Roboto Mono'" w:cs="'Roboto Mono'"/><w:color w:val="188038"/></w:rPr><w:t xml:space="preserve">Strict-Transport-Security</w:t></w:r></w:p><w:p><w:pPr/><w:r><w:rPr><w:rFonts w:ascii="'Roboto Mono'" w:hAnsi="'Roboto Mono'" w:eastAsia="'Roboto Mono'" w:cs="'Roboto Mono'"/><w:color w:val="188038"/></w:rPr><w:t xml:space="preserve">X-Content-Type-Options: nosniff</w:t></w:r></w:p><w:p><w:pPr/><w:r><w:rPr><w:rFonts w:ascii="'Roboto Mono'" w:hAnsi="'Roboto Mono'" w:eastAsia="'Roboto Mono'" w:cs="'Roboto Mono'"/><w:color w:val="188038"/></w:rPr><w:t xml:space="preserve">Content-Security-Policy</w:t></w:r></w:p><w:p><w:pPr/><w:r><w:rPr><w:rFonts w:ascii="'Roboto Mono'" w:hAnsi="'Roboto Mono'" w:eastAsia="'Roboto Mono'" w:cs="'Roboto Mono'"/><w:color w:val="188038"/></w:rPr><w:t xml:space="preserve">X-Frame-Options: DENY</w:t></w:r></w:p><w:p><w:pPr/><w:r><w:rPr/><w:t xml:space="preserve"> </w:t></w:r></w:p><w:p><w:pPr/><w:r><w:rPr/><w:t xml:space="preserve"> These are considered industry best practices to protect users from clickjacking, MIME sniffing, and other attacks.</w:t></w:r></w:p><w:p><w:pPr/><w:r><w:rPr/><w:t xml:space="preserve"> </w:t></w:r></w:p><w:p><w:pPr/><w:r><w:rPr><w:b w:val="1"/><w:bCs w:val="1"/></w:rPr><w:t xml:space="preserve">Improve Mobile SEO and Loading Speed</w:t></w:r></w:p><w:p><w:pPr/><w:r><w:rPr/><w:t xml:space="preserve"> </w:t></w:r></w:p><w:p><w:pPr/><w:r><w:rPr/><w:t xml:space="preserve"> Optimize mobile performance by reducing image sizes, enabling caching, and removing render-blocking resources. A score of 54/100 on mobile is below the minimum acceptable level for modern digital presence.</w:t></w:r></w:p><w:p><w:pPr/><w:r><w:rPr><w:b w:val="1"/><w:bCs w:val="1"/></w:rPr><w:t xml:space="preserve">Clarify Legal Identity</w:t></w:r></w:p><w:p><w:pPr/><w:r><w:rPr/><w:t xml:space="preserve"> </w:t></w:r></w:p><w:p><w:pPr/><w:r><w:rPr/><w:t xml:space="preserve"> Clearly display the name of the registered legal entity (company), with contact data and official jurisdiction, on all domains and communication channels.</w:t></w:r></w:p><w:p><w:pPr/><w:r><w:rPr><w:b w:val="1"/><w:bCs w:val="1"/></w:rPr><w:t xml:space="preserve">Client Communication & Automation</w:t></w:r></w:p><w:p><w:pPr/><w:r><w:rPr/><w:t xml:space="preserve"> </w:t></w:r></w:p><w:p><w:pPr/><w:r><w:rPr/><w:t xml:space="preserve"> Introduce a contact form, chatbot, or integration with WhatsApp/Telegram to support fast client communication and enhance credibility.</w:t></w:r></w:p><w:p><w:pPr/><w:r><w:rPr><w:b w:val="1"/><w:bCs w:val="1"/></w:rPr><w:t xml:space="preserve">Social Responsibility Disclosure</w:t></w:r></w:p><w:p><w:pPr/><w:r><w:rPr/><w:t xml:space="preserve"> </w:t></w:r></w:p><w:p><w:pPr/><w:r><w:rPr/><w:t xml:space="preserve"> Include a short statement or section on the website describing ethical principles, consumer protection practices, and community contributions. This increases trust and aligns with global business standards.</w:t></w:r></w:p><w:p><w:pPr><w:pStyle w:val="Heading2"/></w:pPr><w:r><w:rPr/><w:t xml:space="preserve">Conclusion</w:t></w:r></w:p><w:p><w:pPr><w:spacing w:before="240" w:after="240"/></w:pPr><w:r><w:rPr/><w:t xml:space="preserve">The DCT Network / Dream Come True platform presents a strong digital appearance on the surface (design and public visibility), but lacks </w:t></w:r><w:r><w:rPr><w:b w:val="1"/><w:bCs w:val="1"/></w:rPr><w:t xml:space="preserve">legal transparency</w:t></w:r><w:r><w:rPr/><w:t xml:space="preserve">, </w:t></w:r><w:r><w:rPr><w:b w:val="1"/><w:bCs w:val="1"/></w:rPr><w:t xml:space="preserve">technical security hardening</w:t></w:r><w:r><w:rPr/><w:t xml:space="preserve">, and </w:t></w:r><w:r><w:rPr><w:b w:val="1"/><w:bCs w:val="1"/></w:rPr><w:t xml:space="preserve">ethical communication standards</w:t></w:r><w:r><w:rPr/><w:t xml:space="preserve"> that are necessary for trust-based ecosystems.</w:t></w:r></w:p><w:p><w:pPr><w:spacing w:before="240" w:after="240"/></w:pPr><w:r><w:rPr/><w:t xml:space="preserve">While the number of followers and reviews is impressive, the absence of verified legal identity, security best practices, and public accountability poses a </w:t></w:r><w:r><w:rPr><w:b w:val="1"/><w:bCs w:val="1"/></w:rPr><w:t xml:space="preserve">moderate-to-high reputational risk</w:t></w:r><w:r><w:rPr/><w:t xml:space="preserve">, especially in the fintech, blockchain, or investment context.</w:t></w:r></w:p><w:p><w:pPr><w:spacing w:before="240" w:after="240"/></w:pPr><w:r><w:rPr/><w:t xml:space="preserve">To align with Galac Trust standards and international best practices, the entity must demonstrate:</w:t></w:r></w:p><w:p><w:pPr/><w:r><w:rPr/><w:t xml:space="preserve">Transparency,</w:t></w:r></w:p><w:p><w:pPr/><w:r><w:rPr/><w:t xml:space="preserve">Authentic engagement,</w:t></w:r></w:p><w:p><w:pPr/><w:r><w:rPr/><w:t xml:space="preserve">User protection mechanisms.</w:t></w:r></w:p><w:p><w:pPr><w:spacing w:before="240" w:after="240"/></w:pPr><w:r><w:rPr/><w:t xml:space="preserve">Until these issues are resolved, the platform cannot be considered fully trustworthy from a digital ethics and compliance standpoint.</w:t></w:r></w:p><w:p><w:pPr><w:spacing w:before="240" w:after="240"/></w:pPr><w:r><w:rPr/><w:t xml:space="preserve"> </w:t></w:r></w:p><w:p><w:pPr><w:spacing w:before="240" w:after="240"/></w:pPr><w:r><w:rPr/><w:t xml:space="preserve"> </w:t></w:r></w:p><w:p><w:pPr><w:spacing w:before="240" w:after="240"/></w:pPr><w:r><w:rPr/><w:t xml:space="preserve"> </w:t></w:r></w:p><w:p><w:pPr><w:jc w:val="start"/><w:spacing w:before="0" w:after="0"/></w:pPr><w:r><w:rPr/><w:t xml:space="preserve"> </w:t></w:r></w:p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ejaVu Sans" w:hAnsi="DejaVu Sans" w:eastAsia="Arial" w:cs="DejaVu Sans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dctnetwork.info/" TargetMode="External"/><Relationship Id="rId8" Type="http://schemas.openxmlformats.org/officeDocument/2006/relationships/hyperlink" Target="https://dreamcometrue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2025-08-21T13:52:46+01:00</dcterms:created>
  <dcterms:modified xsi:type="dcterms:W3CDTF">2025-08-21T13:52:46+01:00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