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Політика повернення</w:t>
      </w:r>
    </w:p>
    <w:p>
      <w:r>
        <w:t>Покупець може повернути товар протягом 14 календарних днів з дати отримання, за умови збереження товарного вигляду та упаковки.</w:t>
      </w:r>
    </w:p>
    <w:p>
      <w:pPr>
        <w:pStyle w:val="Heading1"/>
      </w:pPr>
      <w:r>
        <w:t>Відшкодування</w:t>
      </w:r>
    </w:p>
    <w:p>
      <w:r>
        <w:t>Кошти повертаються на рахунок покупця протягом 7 банківських днів після отримання товару складом.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Категорія</w:t>
            </w:r>
          </w:p>
        </w:tc>
        <w:tc>
          <w:tcPr>
            <w:tcW w:type="dxa" w:w="4320"/>
          </w:tcPr>
          <w:p>
            <w:r>
              <w:t>Строк повернення</w:t>
            </w:r>
          </w:p>
        </w:tc>
      </w:tr>
      <w:tr>
        <w:tc>
          <w:tcPr>
            <w:tcW w:type="dxa" w:w="4320"/>
          </w:tcPr>
          <w:p>
            <w:r>
              <w:t>Електроніка</w:t>
            </w:r>
          </w:p>
        </w:tc>
        <w:tc>
          <w:tcPr>
            <w:tcW w:type="dxa" w:w="4320"/>
          </w:tcPr>
          <w:p>
            <w:r>
              <w:t>14 днів</w:t>
            </w:r>
          </w:p>
        </w:tc>
      </w:tr>
      <w:tr>
        <w:tc>
          <w:tcPr>
            <w:tcW w:type="dxa" w:w="4320"/>
          </w:tcPr>
          <w:p>
            <w:r>
              <w:t>Побутова техніка</w:t>
            </w:r>
          </w:p>
        </w:tc>
        <w:tc>
          <w:tcPr>
            <w:tcW w:type="dxa" w:w="4320"/>
          </w:tcPr>
          <w:p>
            <w:r>
              <w:t>30 днів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