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/>
        <w:jc w:val="center"/>
        <w:rPr>
          <w:b/>
          <w:sz w:val="18"/>
        </w:rPr>
      </w:pPr>
      <w:r>
        <w:rPr>
          <w:b/>
          <w:szCs w:val="28"/>
        </w:rPr>
        <w:t xml:space="preserve">КИЇВСЬКА МУНІЦИПАЛЬНА АКАДЕМІЯ МУЗИКИ імені Р.М. ГЛІЄРА </w:t>
      </w:r>
    </w:p>
    <w:tbl>
      <w:tblPr>
        <w:tblStyle w:val="a3"/>
        <w:tblW w:w="96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67"/>
        <w:gridCol w:w="7259"/>
      </w:tblGrid>
      <w:tr>
        <w:trPr/>
        <w:tc>
          <w:tcPr>
            <w:tcW w:w="2367" w:type="dxa"/>
            <w:tcBorders/>
          </w:tcPr>
          <w:p>
            <w:pPr>
              <w:pStyle w:val="Normal"/>
              <w:widowControl/>
              <w:spacing w:lineRule="atLeast" w:line="0" w:before="0" w:after="0"/>
              <w:jc w:val="both"/>
              <w:rPr>
                <w:b/>
                <w:sz w:val="20"/>
              </w:rPr>
            </w:pPr>
            <w:r>
              <w:rPr>
                <w:b/>
                <w:kern w:val="0"/>
                <w:sz w:val="20"/>
                <w:lang w:val="uk-UA" w:bidi="ar-SA"/>
              </w:rPr>
              <w:t>ЗАТВЕРДЖУЮ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sz w:val="16"/>
              </w:rPr>
            </w:pPr>
            <w:r>
              <w:rPr>
                <w:kern w:val="0"/>
                <w:sz w:val="16"/>
                <w:lang w:val="uk-UA" w:bidi="ar-SA"/>
              </w:rPr>
              <w:t>Декан факультету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sz w:val="16"/>
              </w:rPr>
            </w:pPr>
            <w:r>
              <w:rPr>
                <w:kern w:val="0"/>
                <w:sz w:val="16"/>
                <w:lang w:val="uk-UA" w:bidi="ar-SA"/>
              </w:rPr>
              <w:t xml:space="preserve">виконавського 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sz w:val="16"/>
              </w:rPr>
            </w:pPr>
            <w:r>
              <w:rPr>
                <w:kern w:val="0"/>
                <w:sz w:val="16"/>
                <w:lang w:val="uk-UA" w:bidi="ar-SA"/>
              </w:rPr>
              <w:t xml:space="preserve">мистецтва та 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sz w:val="16"/>
              </w:rPr>
            </w:pPr>
            <w:r>
              <w:rPr>
                <w:kern w:val="0"/>
                <w:sz w:val="16"/>
                <w:lang w:val="uk-UA" w:bidi="ar-SA"/>
              </w:rPr>
              <w:t>музикознавства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sz w:val="16"/>
              </w:rPr>
            </w:pPr>
            <w:r>
              <w:rPr>
                <w:kern w:val="0"/>
                <w:sz w:val="16"/>
                <w:lang w:val="uk-UA" w:bidi="ar-SA"/>
              </w:rPr>
              <w:t>КМАМ ім. Р.М. Глієра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371475" cy="161925"/>
                  <wp:effectExtent l="0" t="0" r="0" b="0"/>
                  <wp:docPr id="1" name="Рисунок 1" descr="изображение_viber_2022-12-08_15-36-01-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_viber_2022-12-08_15-36-01-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0"/>
                <w:lang w:val="ru-RU" w:bidi="ar-SA"/>
              </w:rPr>
              <w:t>С.В.Борисова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i/>
                <w:i/>
                <w:color w:val="FF0000"/>
                <w:sz w:val="20"/>
                <w:lang w:val="ru-RU"/>
              </w:rPr>
            </w:pPr>
            <w:r>
              <w:rPr>
                <w:i/>
                <w:kern w:val="0"/>
                <w:sz w:val="20"/>
                <w:lang w:val="uk-UA" w:bidi="ar-SA"/>
              </w:rPr>
              <w:t>«_25__»__лютого__20</w:t>
            </w:r>
            <w:r>
              <w:rPr>
                <w:i/>
                <w:kern w:val="0"/>
                <w:sz w:val="20"/>
                <w:lang w:val="ru-RU" w:bidi="ar-SA"/>
              </w:rPr>
              <w:t xml:space="preserve">25 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color w:val="FF0000"/>
                <w:sz w:val="20"/>
              </w:rPr>
            </w:pPr>
            <w:r>
              <w:rPr>
                <w:color w:val="FF0000"/>
                <w:kern w:val="0"/>
                <w:sz w:val="20"/>
                <w:lang w:val="uk-UA" w:bidi="ar-SA"/>
              </w:rPr>
            </w:r>
          </w:p>
        </w:tc>
        <w:tc>
          <w:tcPr>
            <w:tcW w:w="72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  <w:t>ОС «</w:t>
            </w:r>
            <w:r>
              <w:rPr>
                <w:b/>
                <w:kern w:val="0"/>
                <w:sz w:val="28"/>
                <w:szCs w:val="28"/>
                <w:lang w:val="en-US" w:bidi="ar-SA"/>
              </w:rPr>
              <w:t>{OS}</w:t>
            </w:r>
            <w:r>
              <w:rPr>
                <w:b/>
                <w:kern w:val="0"/>
                <w:sz w:val="28"/>
                <w:szCs w:val="28"/>
                <w:lang w:val="ru-RU" w:bidi="ar-SA"/>
              </w:rPr>
              <w:t>»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Cs w:val="28"/>
              </w:rPr>
            </w:pPr>
            <w:r>
              <w:rPr>
                <w:b/>
                <w:kern w:val="0"/>
                <w:szCs w:val="28"/>
                <w:lang w:val="uk-UA" w:bidi="ar-SA"/>
              </w:rPr>
              <w:t>ІНДИВІДУАЛЬНИЙ НАВЧАЛЬНИЙ ПЛАН ЗДОБУВАЧА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Cs w:val="28"/>
              </w:rPr>
            </w:pPr>
            <w:r>
              <w:rPr>
                <w:b/>
                <w:kern w:val="0"/>
                <w:szCs w:val="28"/>
                <w:lang w:val="uk-UA" w:bidi="ar-SA"/>
              </w:rPr>
              <w:t>профілізації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Cs w:val="28"/>
              </w:rPr>
            </w:pPr>
            <w:r>
              <w:rPr>
                <w:b/>
                <w:kern w:val="0"/>
                <w:szCs w:val="28"/>
                <w:lang w:val="uk-UA" w:bidi="ar-SA"/>
              </w:rPr>
              <w:t>«</w:t>
            </w:r>
            <w:r>
              <w:rPr>
                <w:b/>
                <w:kern w:val="0"/>
                <w:szCs w:val="28"/>
                <w:lang w:val="en-US" w:bidi="ar-SA"/>
              </w:rPr>
              <w:t>{prof}</w:t>
            </w:r>
            <w:r>
              <w:rPr>
                <w:b/>
                <w:kern w:val="0"/>
                <w:szCs w:val="28"/>
                <w:lang w:val="uk-UA" w:bidi="ar-SA"/>
              </w:rPr>
              <w:t>»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Cs w:val="28"/>
                <w:lang w:val="uk-UA" w:bidi="ar-SA"/>
              </w:rPr>
              <w:t>(П.І.Б.)</w:t>
            </w:r>
            <w:r>
              <w:rPr>
                <w:b/>
                <w:kern w:val="0"/>
                <w:szCs w:val="28"/>
                <w:u w:val="single"/>
                <w:lang w:val="en-US" w:bidi="ar-SA"/>
              </w:rPr>
              <w:t>{studentName}</w:t>
            </w:r>
          </w:p>
          <w:p>
            <w:pPr>
              <w:pStyle w:val="Normal"/>
              <w:widowControl/>
              <w:spacing w:lineRule="atLeast" w:line="0" w:before="0" w:after="0"/>
              <w:jc w:val="both"/>
              <w:rPr>
                <w:color w:val="FF0000"/>
                <w:sz w:val="20"/>
              </w:rPr>
            </w:pPr>
            <w:r>
              <w:rPr>
                <w:color w:val="FF0000"/>
                <w:kern w:val="0"/>
                <w:sz w:val="20"/>
                <w:lang w:val="uk-UA" w:bidi="ar-SA"/>
              </w:rPr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87"/>
        <w:gridCol w:w="2981"/>
        <w:gridCol w:w="852"/>
        <w:gridCol w:w="1134"/>
        <w:gridCol w:w="710"/>
        <w:gridCol w:w="1988"/>
        <w:gridCol w:w="984"/>
      </w:tblGrid>
      <w:tr>
        <w:trPr>
          <w:trHeight w:val="1261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0"/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Код</w:t>
            </w:r>
          </w:p>
          <w:p>
            <w:pPr>
              <w:pStyle w:val="BodyTextIndent2"/>
              <w:spacing w:lineRule="auto" w:line="240" w:before="0" w:after="0"/>
              <w:ind w:left="0"/>
              <w:jc w:val="center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н</w:t>
            </w:r>
            <w:r>
              <w:rPr>
                <w:b/>
                <w:sz w:val="20"/>
                <w:szCs w:val="24"/>
                <w:lang w:val="en-US"/>
              </w:rPr>
              <w:t>/</w:t>
            </w:r>
            <w:r>
              <w:rPr>
                <w:b/>
                <w:sz w:val="20"/>
                <w:szCs w:val="24"/>
              </w:rPr>
              <w:t>п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-81" w:right="-10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Компоненти освітньо-професійної програми (О-ПП)</w:t>
            </w:r>
          </w:p>
          <w:p>
            <w:pPr>
              <w:pStyle w:val="BodyTextIndent2"/>
              <w:spacing w:lineRule="auto" w:line="240" w:before="0" w:after="0"/>
              <w:ind w:left="-81" w:right="-107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(навчальні освітні компоненти, курсові проекти, практики, кваліфікаційна робота)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-109" w:right="-139"/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</w:rPr>
              <w:t>Кількість кредитів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Семестр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Кількість годин на тиждень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Заключна форма атестації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2"/>
              <w:spacing w:lineRule="auto" w:line="240" w:before="0" w:after="0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Відмітка про вибір </w:t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5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6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20"/>
                <w:szCs w:val="28"/>
              </w:rPr>
            </w:pPr>
            <w:r>
              <w:rPr>
                <w:rStyle w:val="Hps"/>
                <w:b/>
                <w:sz w:val="20"/>
                <w:szCs w:val="2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Cs w:val="28"/>
              </w:rPr>
            </w:pPr>
            <w:r>
              <w:rPr>
                <w:rStyle w:val="Hps"/>
                <w:b/>
                <w:szCs w:val="28"/>
              </w:rPr>
              <w:t>І. ОБОВ’ЯЗКОВІ ОСВІТНІ КОМПОНЕНТИ</w:t>
            </w:r>
          </w:p>
        </w:tc>
      </w:tr>
      <w:tr>
        <w:trPr>
          <w:trHeight w:val="250" w:hRule="atLeast"/>
        </w:trPr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Style w:val="Hps"/>
                <w:b/>
                <w:sz w:val="20"/>
              </w:rPr>
            </w:pPr>
            <w:r>
              <w:rPr>
                <w:b/>
                <w:sz w:val="20"/>
              </w:rPr>
              <w:t>ОСВІТНІ КОМПОНЕНТИ, ЩО ФОРМУЮТЬ ЗАГАЛЬНІ КОМПЕТЕНТНОСТІ</w:t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{#F}{code}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lang w:val="en-US"/>
              </w:rPr>
            </w:pPr>
            <w:r>
              <w:rPr>
                <w:sz w:val="20"/>
                <w:lang w:val="en-US"/>
              </w:rPr>
              <w:t>{name}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{cred}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ps"/>
                <w:sz w:val="20"/>
                <w:szCs w:val="16"/>
                <w:lang w:val="en-US"/>
              </w:rPr>
              <w:t>{sem}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16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ps"/>
                <w:sz w:val="20"/>
                <w:lang w:val="en-US"/>
              </w:rPr>
              <w:t>{type}{/F}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ВСЬОГО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/>
            </w:pPr>
            <w:r>
              <w:rPr>
                <w:rStyle w:val="Hps"/>
                <w:b/>
                <w:sz w:val="16"/>
                <w:szCs w:val="16"/>
                <w:lang w:val="en-US"/>
              </w:rPr>
              <w:t>{totalOK}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16"/>
              </w:rPr>
            </w:pPr>
            <w:r>
              <w:rPr>
                <w:sz w:val="20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302" w:hRule="atLeast"/>
        </w:trPr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b/>
                <w:sz w:val="20"/>
              </w:rPr>
              <w:t>ІІ. ОСВІТНІ КОМПОНЕНТИ ПРОФЕСІЙНОЇ ПІДГОТОВКИ ЗА ФАХОМ</w:t>
            </w:r>
          </w:p>
        </w:tc>
      </w:tr>
      <w:tr>
        <w:trPr/>
        <w:tc>
          <w:tcPr>
            <w:tcW w:w="86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color w:val="FF0000"/>
                <w:szCs w:val="24"/>
              </w:rPr>
            </w:pPr>
            <w:r>
              <w:rPr>
                <w:b/>
                <w:szCs w:val="24"/>
              </w:rPr>
              <w:t>2.1 ФОРТЕПІАНО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ОК 2.1.1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sz w:val="20"/>
                <w:szCs w:val="14"/>
              </w:rPr>
            </w:pPr>
            <w:r>
              <w:rPr>
                <w:sz w:val="20"/>
              </w:rPr>
              <w:t>Музична інтерпретація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rStyle w:val="Hps"/>
                <w:sz w:val="20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rStyle w:val="Hps"/>
                <w:sz w:val="20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sz w:val="20"/>
              </w:rPr>
              <w:t>залік, 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ОК 2.1.2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 xml:space="preserve">Камерний ансамбль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3-8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диф.залік, екзамен,</w:t>
            </w:r>
          </w:p>
          <w:p>
            <w:pPr>
              <w:pStyle w:val="Normal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атест. екзамен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ОК 2.1.3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Концертмейстерський клас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диф.залік, екзамен,</w:t>
            </w:r>
          </w:p>
          <w:p>
            <w:pPr>
              <w:pStyle w:val="Normal"/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атест. екзамен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63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ОК 2.1.4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Концертмейстерська практика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ОК 2.1.5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 xml:space="preserve">Фортепіанний ансамбль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2"/>
              </w:rPr>
            </w:pPr>
            <w:r>
              <w:rPr>
                <w:sz w:val="20"/>
              </w:rPr>
              <w:t>залік, 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ОК 2.1.6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Історія виконавства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20"/>
                <w:lang w:val="ru-RU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rStyle w:val="Hps"/>
                <w:sz w:val="20"/>
              </w:rPr>
              <w:t>7-8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rStyle w:val="Hps"/>
                <w:sz w:val="20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sz w:val="20"/>
                <w:szCs w:val="22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2.1.7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 xml:space="preserve">Поліфонія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6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16"/>
              </w:rPr>
            </w:pPr>
            <w:r>
              <w:rPr>
                <w:rStyle w:val="Hps"/>
                <w:sz w:val="20"/>
                <w:szCs w:val="16"/>
              </w:rPr>
              <w:t>3-4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16"/>
              </w:rPr>
            </w:pPr>
            <w:r>
              <w:rPr>
                <w:rStyle w:val="Hps"/>
                <w:sz w:val="20"/>
                <w:szCs w:val="16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диф.залік, екзамен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ВСЬОГО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tLeast" w:line="0"/>
              <w:ind w:left="-108" w:right="-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b/>
                <w:sz w:val="22"/>
              </w:rPr>
              <w:t>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16"/>
              </w:rPr>
            </w:pPr>
            <w:r>
              <w:rPr>
                <w:sz w:val="20"/>
                <w:szCs w:val="16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themeFill="background1" w:themeFillShade="a6" w:val="clear"/>
            <w:vAlign w:val="center"/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Style w:val="Hps"/>
                <w:b/>
                <w:szCs w:val="22"/>
              </w:rPr>
            </w:pPr>
            <w:r>
              <w:rPr>
                <w:rStyle w:val="Hps"/>
                <w:b/>
                <w:szCs w:val="22"/>
              </w:rPr>
              <w:t>ІІІ. ОСВІТНІ КОМПОНЕНТИ  ДЛЯ ОТРИМАННЯ ПРОФЕСІЙНОЇ КВАЛІФІКАЦІЇ</w:t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</w:r>
          </w:p>
        </w:tc>
        <w:tc>
          <w:tcPr>
            <w:tcW w:w="76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3.1 АРАНЖУВАЛЬНИК (МУЗИЧНИЙ)</w:t>
            </w:r>
            <w:r>
              <w:rPr>
                <w:sz w:val="18"/>
                <w:szCs w:val="18"/>
              </w:rPr>
              <w:t xml:space="preserve"> **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color w:val="FF0000"/>
                <w:szCs w:val="22"/>
                <w:u w:val="single"/>
              </w:rPr>
            </w:pPr>
            <w:r>
              <w:rPr>
                <w:b/>
                <w:color w:val="FF0000"/>
                <w:szCs w:val="22"/>
                <w:u w:val="single"/>
              </w:rPr>
            </w:r>
          </w:p>
        </w:tc>
      </w:tr>
      <w:tr>
        <w:trPr>
          <w:trHeight w:val="413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3.1.1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Інструментування та аранжування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</w:rPr>
            </w:pPr>
            <w:r>
              <w:rPr>
                <w:sz w:val="20"/>
                <w:szCs w:val="14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залік, диф.залік/</w:t>
            </w:r>
          </w:p>
          <w:p>
            <w:pPr>
              <w:pStyle w:val="Normal"/>
              <w:jc w:val="center"/>
              <w:rPr>
                <w:rStyle w:val="Hps"/>
                <w:color w:val="FF0000"/>
              </w:rPr>
            </w:pPr>
            <w:r>
              <w:rPr>
                <w:rStyle w:val="Hps"/>
                <w:sz w:val="20"/>
                <w:szCs w:val="22"/>
              </w:rPr>
              <w:t>атест. екзамен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10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3.1.2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Аранжувальні станції-синтезатори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</w:rPr>
            </w:pPr>
            <w:r>
              <w:rPr>
                <w:sz w:val="20"/>
                <w:szCs w:val="14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lang w:val="en-US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559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3.1.3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Основи композиції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right="-123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</w:rPr>
            </w:pPr>
            <w:r>
              <w:rPr>
                <w:sz w:val="20"/>
                <w:szCs w:val="14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lang w:val="en-US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rStyle w:val="Hps"/>
                <w:sz w:val="20"/>
                <w:szCs w:val="22"/>
              </w:rPr>
              <w:t xml:space="preserve">залік, </w:t>
            </w: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568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3.1.4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Комп’ютерні системи в студійній практиці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</w:rPr>
            </w:pPr>
            <w:r>
              <w:rPr>
                <w:sz w:val="20"/>
                <w:szCs w:val="14"/>
              </w:rPr>
              <w:t>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lang w:val="ru-RU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8"/>
              </w:rPr>
            </w:pPr>
            <w:r>
              <w:rPr>
                <w:sz w:val="20"/>
              </w:rPr>
              <w:t>ОК 3.1.5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b/>
                <w:sz w:val="18"/>
                <w:szCs w:val="14"/>
              </w:rPr>
            </w:pPr>
            <w:r>
              <w:rPr>
                <w:sz w:val="20"/>
              </w:rPr>
              <w:t>Практика аранжування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</w:rPr>
            </w:pPr>
            <w:r>
              <w:rPr>
                <w:sz w:val="20"/>
                <w:szCs w:val="14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lang w:val="ru-RU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right"/>
              <w:rPr>
                <w:sz w:val="20"/>
                <w:szCs w:val="14"/>
              </w:rPr>
            </w:pPr>
            <w:r>
              <w:rPr>
                <w:b/>
                <w:sz w:val="18"/>
                <w:szCs w:val="14"/>
              </w:rPr>
              <w:t>Всього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4"/>
              </w:rPr>
            </w:pPr>
            <w:r>
              <w:rPr>
                <w:b/>
                <w:bCs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sz w:val="20"/>
                <w:szCs w:val="22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284" w:hRule="exac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br/>
            </w:r>
          </w:p>
        </w:tc>
        <w:tc>
          <w:tcPr>
            <w:tcW w:w="76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FF0000"/>
                <w:sz w:val="20"/>
              </w:rPr>
            </w:pPr>
            <w:r>
              <w:rPr>
                <w:b/>
                <w:sz w:val="20"/>
              </w:rPr>
              <w:t>3.2 РЕДАКТОР (МУЗИЧНИЙ)</w:t>
            </w:r>
            <w:r>
              <w:rPr>
                <w:sz w:val="20"/>
              </w:rPr>
              <w:t>**</w:t>
            </w:r>
            <w:bookmarkStart w:id="0" w:name="_GoBack"/>
            <w:bookmarkEnd w:id="0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color w:val="FF0000"/>
                <w:szCs w:val="22"/>
              </w:rPr>
            </w:pPr>
            <w:r>
              <w:rPr>
                <w:b/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3.2.1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b/>
                <w:sz w:val="20"/>
                <w:szCs w:val="14"/>
              </w:rPr>
            </w:pPr>
            <w:r>
              <w:rPr>
                <w:sz w:val="20"/>
              </w:rPr>
              <w:t>Основи редагування та журналістики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</w:rPr>
            </w:pP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556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3.2.2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Основи менеджменту в мистецтві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lang w:val="en-US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</w:rPr>
            </w:pP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20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3.2.3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Музичне редагування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lang w:val="en-US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залік, диф.залік/</w:t>
            </w:r>
          </w:p>
          <w:p>
            <w:pPr>
              <w:pStyle w:val="Normal"/>
              <w:jc w:val="center"/>
              <w:rPr>
                <w:rStyle w:val="Hps"/>
              </w:rPr>
            </w:pPr>
            <w:r>
              <w:rPr>
                <w:rStyle w:val="Hps"/>
                <w:sz w:val="20"/>
                <w:szCs w:val="22"/>
              </w:rPr>
              <w:t>атест. екзамен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556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ОК 3.2.4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sz w:val="20"/>
              </w:rPr>
              <w:t>Редакторська практика в засобах масової інформації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4"/>
              </w:rPr>
            </w:pPr>
            <w:r>
              <w:rPr>
                <w:bCs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lang w:val="ru-RU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rStyle w:val="Hps"/>
                <w:sz w:val="20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2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sz w:val="20"/>
                <w:szCs w:val="14"/>
              </w:rPr>
            </w:pPr>
            <w:r>
              <w:rPr>
                <w:b/>
                <w:sz w:val="18"/>
                <w:szCs w:val="14"/>
              </w:rPr>
              <w:t>Всього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sz w:val="20"/>
                <w:szCs w:val="22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752" w:hRule="atLeast"/>
        </w:trPr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  </w:t>
            </w:r>
          </w:p>
          <w:p>
            <w:pPr>
              <w:pStyle w:val="Normal"/>
              <w:spacing w:before="0" w:after="0"/>
              <w:ind w:right="-108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ВИБІРКОВІ ОСВІТНІ КОМПОНЕНТИ</w:t>
            </w:r>
          </w:p>
          <w:p>
            <w:pPr>
              <w:pStyle w:val="Normal"/>
              <w:spacing w:before="0" w:after="0"/>
              <w:ind w:right="-108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>(Каталог)</w:t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ind w:right="-108"/>
              <w:rPr>
                <w:sz w:val="18"/>
                <w:szCs w:val="18"/>
              </w:rPr>
            </w:pPr>
            <w:r>
              <w:rPr>
                <w:sz w:val="20"/>
              </w:rPr>
              <w:t>Іноземна мова/Українська мова як іноземна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1-2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диф.залік</w:t>
            </w:r>
          </w:p>
          <w:p>
            <w:pPr>
              <w:pStyle w:val="Normal"/>
              <w:jc w:val="center"/>
              <w:rPr>
                <w:rStyle w:val="Hps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41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rPr>
                <w:sz w:val="18"/>
                <w:szCs w:val="18"/>
              </w:rPr>
            </w:pPr>
            <w:r>
              <w:rPr>
                <w:sz w:val="20"/>
              </w:rPr>
              <w:t>Релігієзнавство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Базова загальновійськова підготовка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3-4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</w:rPr>
            </w:pPr>
            <w:r>
              <w:rPr>
                <w:rStyle w:val="Hps"/>
                <w:sz w:val="20"/>
                <w:szCs w:val="22"/>
              </w:rPr>
              <w:t xml:space="preserve">диф. залік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16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20"/>
              </w:rPr>
              <w:t>Безпека життєдіяльності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84" w:right="-132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1-2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залік, 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21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ВК 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sz w:val="16"/>
                <w:szCs w:val="16"/>
              </w:rPr>
            </w:pPr>
            <w:r>
              <w:rPr>
                <w:sz w:val="20"/>
              </w:rPr>
              <w:t>Фізичне виховання</w:t>
            </w:r>
            <w:r>
              <w:rPr>
                <w:sz w:val="18"/>
                <w:szCs w:val="18"/>
              </w:rPr>
              <w:t>*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1-4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  <w:lang w:val="ru-RU"/>
              </w:rPr>
            </w:pPr>
            <w:r>
              <w:rPr>
                <w:rStyle w:val="Hps"/>
                <w:sz w:val="20"/>
                <w:szCs w:val="22"/>
                <w:lang w:val="ru-RU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>
          <w:trHeight w:val="421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sz w:val="16"/>
                <w:szCs w:val="16"/>
              </w:rPr>
            </w:pPr>
            <w:r>
              <w:rPr>
                <w:sz w:val="20"/>
              </w:rPr>
              <w:t>Педагогіка інклюзивної освіти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color w:val="FF0000"/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color w:val="FF0000"/>
                <w:sz w:val="20"/>
                <w:szCs w:val="14"/>
              </w:rPr>
            </w:pPr>
            <w:r>
              <w:rPr>
                <w:sz w:val="20"/>
                <w:szCs w:val="14"/>
              </w:rPr>
              <w:t>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rPr>
                <w:sz w:val="16"/>
                <w:szCs w:val="16"/>
              </w:rPr>
            </w:pPr>
            <w:r>
              <w:rPr>
                <w:sz w:val="20"/>
              </w:rPr>
              <w:t>Музична критика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color w:val="FF0000"/>
                <w:sz w:val="20"/>
                <w:szCs w:val="1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Комп`ютерні технології в музичному мистецтві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1-2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залік,диф.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9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Бібліографія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10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Введення в історію мистецтв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28" w:leader="none"/>
              </w:tabs>
              <w:rPr>
                <w:sz w:val="16"/>
                <w:szCs w:val="16"/>
              </w:rPr>
            </w:pPr>
            <w:r>
              <w:rPr>
                <w:sz w:val="20"/>
              </w:rPr>
              <w:t>Історія і теорія культури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Основи режисури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color w:val="FF0000"/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  <w:lang w:val="en-US"/>
              </w:rPr>
            </w:pPr>
            <w:r>
              <w:rPr>
                <w:sz w:val="20"/>
                <w:szCs w:val="14"/>
              </w:rPr>
              <w:t>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Основи композиції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залік, 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Наукові та правові основи управління в мистецтві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Основи менеджменту в мистецтві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6-7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16"/>
                <w:szCs w:val="16"/>
              </w:rPr>
            </w:pPr>
            <w:r>
              <w:rPr>
                <w:sz w:val="20"/>
              </w:rPr>
              <w:t>Організація концертної та гастрольної діяльності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16"/>
                <w:szCs w:val="16"/>
              </w:rPr>
            </w:pPr>
            <w:r>
              <w:rPr>
                <w:bCs/>
                <w:sz w:val="20"/>
              </w:rPr>
              <w:t>Менеджерська практика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7-8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16"/>
                <w:szCs w:val="16"/>
              </w:rPr>
            </w:pPr>
            <w:r>
              <w:rPr>
                <w:sz w:val="20"/>
              </w:rPr>
              <w:t>Звукорежисура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19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bCs/>
                <w:sz w:val="20"/>
              </w:rPr>
              <w:t>Звукорежисерська практика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7-8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20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Акустичні та електронні  системи в студійній практиці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left="-293" w:right="-132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21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Іноземна мова/Італійська мова (за професійним спрямуванням)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1-4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залік, екзамен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ВК 22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Іноземна мова/Французька мова (за професійним спрямуванням)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5-6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08" w:right="-54"/>
              <w:jc w:val="center"/>
              <w:rPr>
                <w:sz w:val="18"/>
                <w:szCs w:val="18"/>
              </w:rPr>
            </w:pPr>
            <w:r>
              <w:rPr>
                <w:sz w:val="20"/>
              </w:rPr>
              <w:t>ВК 23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</w:rPr>
              <w:t>Іноземна мова/Англійська мова (за професійним спрямуванням)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left="-93" w:right="-123"/>
              <w:jc w:val="center"/>
              <w:rPr>
                <w:sz w:val="20"/>
                <w:szCs w:val="1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  <w:t>5-8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sz w:val="20"/>
                <w:szCs w:val="22"/>
              </w:rPr>
            </w:pPr>
            <w:r>
              <w:rPr>
                <w:rStyle w:val="Hps"/>
                <w:sz w:val="20"/>
                <w:szCs w:val="22"/>
              </w:rPr>
              <w:t>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color w:val="FF0000"/>
                <w:szCs w:val="22"/>
              </w:rPr>
            </w:pPr>
            <w:r>
              <w:rPr>
                <w:color w:val="FF0000"/>
                <w:szCs w:val="22"/>
              </w:rPr>
            </w:r>
          </w:p>
        </w:tc>
      </w:tr>
      <w:tr>
        <w:trPr/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РЕКОМЕНДОВАНІ ВИБІРКОВІ </w:t>
            </w:r>
            <w:r>
              <w:rPr>
                <w:b/>
                <w:sz w:val="20"/>
              </w:rPr>
              <w:t>КОМПОНЕНТИ</w:t>
            </w:r>
            <w:r>
              <w:rPr>
                <w:b/>
                <w:bCs/>
                <w:sz w:val="20"/>
              </w:rPr>
              <w:t xml:space="preserve"> ДЛЯ ОКРЕМИХ ПРОФІЛІЗАЦІЙ:</w:t>
            </w:r>
          </w:p>
        </w:tc>
      </w:tr>
      <w:tr>
        <w:trPr/>
        <w:tc>
          <w:tcPr>
            <w:tcW w:w="96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Для профілізації «Фортепіано»</w:t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8" w:right="-54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20"/>
              </w:rPr>
              <w:t>ВК 24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20"/>
              </w:rPr>
              <w:t>Клавесин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18"/>
                <w:szCs w:val="18"/>
              </w:rPr>
            </w:pPr>
            <w:r>
              <w:rPr>
                <w:rStyle w:val="Hps"/>
                <w:b/>
                <w:sz w:val="18"/>
                <w:szCs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18"/>
                <w:szCs w:val="18"/>
              </w:rPr>
            </w:pPr>
            <w:r>
              <w:rPr>
                <w:rStyle w:val="Hps"/>
                <w:b/>
                <w:sz w:val="18"/>
                <w:szCs w:val="18"/>
              </w:rPr>
              <w:t>1-8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  <w:sz w:val="18"/>
                <w:szCs w:val="18"/>
              </w:rPr>
            </w:pPr>
            <w:r>
              <w:rPr>
                <w:rStyle w:val="Hps"/>
                <w:b/>
                <w:sz w:val="18"/>
                <w:szCs w:val="18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</w:rPr>
            </w:pPr>
            <w:r>
              <w:rPr>
                <w:rStyle w:val="Hps"/>
                <w:sz w:val="20"/>
                <w:szCs w:val="22"/>
              </w:rPr>
              <w:t>залік, диф. залік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Hps"/>
                <w:b/>
              </w:rPr>
            </w:pPr>
            <w:r>
              <w:rPr>
                <w:rStyle w:val="Hps"/>
                <w:b/>
              </w:rPr>
              <w:t>Загальний обсяг вибіркових компонентів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</w:rPr>
            </w:pPr>
            <w:r>
              <w:rPr>
                <w:b/>
              </w:rPr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</w:rPr>
            </w:pPr>
            <w:r>
              <w:rPr>
                <w:rStyle w:val="Hps"/>
                <w:b/>
              </w:rPr>
              <w:t>62</w:t>
            </w:r>
          </w:p>
        </w:tc>
      </w:tr>
      <w:tr>
        <w:trPr/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Hps"/>
                <w:b/>
              </w:rPr>
            </w:pPr>
            <w:r>
              <w:rPr>
                <w:rStyle w:val="Hps"/>
                <w:b/>
              </w:rPr>
              <w:t>Загальний обсяг ОПП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</w:rPr>
            </w:pPr>
            <w:r>
              <w:rPr>
                <w:b/>
              </w:rPr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Style w:val="Hps"/>
                <w:b/>
              </w:rPr>
            </w:pPr>
            <w:r>
              <w:rPr>
                <w:rStyle w:val="Hps"/>
                <w:b/>
              </w:rPr>
              <w:t>240</w:t>
            </w:r>
          </w:p>
        </w:tc>
      </w:tr>
    </w:tbl>
    <w:p>
      <w:pPr>
        <w:pStyle w:val="Normal"/>
        <w:spacing w:lineRule="atLeast" w:line="0"/>
        <w:jc w:val="both"/>
        <w:rPr>
          <w:sz w:val="18"/>
          <w:szCs w:val="18"/>
        </w:rPr>
      </w:pPr>
      <w:r>
        <w:rPr>
          <w:sz w:val="18"/>
          <w:szCs w:val="18"/>
        </w:rPr>
        <w:t>*Години фізичної культури не входять до граничнодопустимого навантаження здобувачів.</w:t>
      </w:r>
    </w:p>
    <w:p>
      <w:pPr>
        <w:pStyle w:val="Normal"/>
        <w:spacing w:lineRule="atLeast" w:line="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tLeast" w:line="0"/>
        <w:jc w:val="both"/>
        <w:rPr>
          <w:sz w:val="18"/>
          <w:szCs w:val="18"/>
        </w:rPr>
      </w:pPr>
      <w:r>
        <w:rPr>
          <w:sz w:val="18"/>
          <w:szCs w:val="18"/>
        </w:rPr>
        <w:t>**Якщо здобувач обирає всі навчальні освітні компоненти кваліфікації, то наприкінці курсу складає атестаційний екзамен та отримує додаткову кваліфікацію. У такому випадку здобувач зобов’язаний вивчити усі запропоновані освітні компоненти у повному обсязі. Якщо здобувач обирає окремі освітні компоненти (за виключенням практик), то він не складає атестаційний екзамен та не отримує кваліфікацію. Кваліфікація «Диригент / Керівник ансамблю (вокального, вокально-інструментального, інструментального, камерного)» не надається здобувачам, які не вивчали освітню компоненту «Основи диригування» та не отримали рекомендацію кафедри.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>_____________ (число)</w:t>
        <w:tab/>
        <w:tab/>
        <w:tab/>
        <w:tab/>
        <w:tab/>
        <w:tab/>
        <w:t xml:space="preserve">          _________________ (підпис)</w:t>
      </w:r>
    </w:p>
    <w:sectPr>
      <w:type w:val="nextPage"/>
      <w:pgSz w:w="11906" w:h="16838"/>
      <w:pgMar w:left="1418" w:right="851" w:gutter="0" w:header="0" w:top="536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02d17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ru-RU" w:val="uk-U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ий текст з відступом 2 Знак"/>
    <w:basedOn w:val="DefaultParagraphFont"/>
    <w:link w:val="BodyTextIndent2"/>
    <w:uiPriority w:val="99"/>
    <w:qFormat/>
    <w:rsid w:val="00102d17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Hps" w:customStyle="1">
    <w:name w:val="hps"/>
    <w:basedOn w:val="DefaultParagraphFont"/>
    <w:qFormat/>
    <w:rsid w:val="00102d17"/>
    <w:rPr/>
  </w:style>
  <w:style w:type="character" w:styleId="Style14" w:customStyle="1">
    <w:name w:val="Текст у виносці Знак"/>
    <w:basedOn w:val="DefaultParagraphFont"/>
    <w:link w:val="BalloonText"/>
    <w:uiPriority w:val="99"/>
    <w:semiHidden/>
    <w:qFormat/>
    <w:rsid w:val="005d766d"/>
    <w:rPr>
      <w:rFonts w:ascii="Segoe UI" w:hAnsi="Segoe UI" w:eastAsia="Times New Roman" w:cs="Segoe UI"/>
      <w:sz w:val="18"/>
      <w:szCs w:val="18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Покажчик"/>
    <w:basedOn w:val="Normal"/>
    <w:qFormat/>
    <w:pPr>
      <w:suppressLineNumbers/>
    </w:pPr>
    <w:rPr>
      <w:rFonts w:cs="Lucida Sans"/>
    </w:rPr>
  </w:style>
  <w:style w:type="paragraph" w:styleId="BodyTextIndent2">
    <w:name w:val="Body Text Indent 2"/>
    <w:basedOn w:val="Normal"/>
    <w:link w:val="2"/>
    <w:uiPriority w:val="99"/>
    <w:unhideWhenUsed/>
    <w:qFormat/>
    <w:rsid w:val="00102d17"/>
    <w:pPr>
      <w:spacing w:lineRule="auto" w:line="480" w:before="0" w:after="120"/>
      <w:ind w:left="283"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5d766d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d700f"/>
    <w:pPr>
      <w:spacing w:beforeAutospacing="1" w:afterAutospacing="1"/>
    </w:pPr>
    <w:rPr>
      <w:szCs w:val="24"/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02d1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07C85-62AC-4973-893F-7A2A7F11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Application>LibreOffice/7.6.0.3$Windows_X86_64 LibreOffice_project/69edd8b8ebc41d00b4de3915dc82f8f0fc3b6265</Application>
  <AppVersion>15.0000</AppVersion>
  <Pages>2</Pages>
  <Words>627</Words>
  <Characters>3581</Characters>
  <CharactersWithSpaces>3935</CharactersWithSpaces>
  <Paragraphs>307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2023-06-15T13:43:00Z</dcterms:created>
  <dc:creator>User</dc:creator>
  <dc:description/>
  <dc:language>uk-UA</dc:language>
  <cp:lastModifiedBy/>
  <cp:lastPrinted>2022-09-27T08:42:00Z</cp:lastPrinted>
  <dcterms:modified xsi:type="dcterms:W3CDTF">2025-08-23T15:38:59Z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