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DFA65D" w14:textId="77777777" w:rsidR="00D52AB3" w:rsidRPr="00D52AB3" w:rsidRDefault="00D52AB3" w:rsidP="00D52AB3">
      <w:pPr>
        <w:spacing w:before="100" w:beforeAutospacing="1" w:after="120" w:line="240" w:lineRule="auto"/>
        <w:outlineLvl w:val="0"/>
        <w:rPr>
          <w:rFonts w:ascii="Times New Roman" w:eastAsia="Times New Roman" w:hAnsi="Times New Roman" w:cs="Times New Roman"/>
          <w:b/>
          <w:bCs/>
          <w:color w:val="1F1F1F"/>
          <w:kern w:val="36"/>
          <w:sz w:val="48"/>
          <w:szCs w:val="48"/>
          <w:lang w:val="pt-BR" w:eastAsia="es-ES"/>
        </w:rPr>
      </w:pPr>
      <w:r w:rsidRPr="00D52AB3">
        <w:rPr>
          <w:rFonts w:ascii="Times New Roman" w:eastAsia="Times New Roman" w:hAnsi="Times New Roman" w:cs="Times New Roman"/>
          <w:b/>
          <w:bCs/>
          <w:color w:val="1F1F1F"/>
          <w:kern w:val="36"/>
          <w:sz w:val="48"/>
          <w:szCs w:val="48"/>
          <w:lang w:val="pt-BR" w:eastAsia="es-ES"/>
        </w:rPr>
        <w:t>O Sistema de Proteção à Mulher sob a Égide da Lei Maria da Penha e a Práxis Jurídica no Estado do Pará</w:t>
      </w:r>
    </w:p>
    <w:p w14:paraId="48FE0258"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 promulgação da Lei nº 11.340, em 7 de agosto de 2006, conhecida como Lei Maria da Penha, não representou apenas uma mudança na legislação penal brasileira, mas uma ruptura paradigmática na forma como o Estado e a sociedade compreendem a violência doméstica e familiar. Historicamente, as agressões contra mulheres no âmbito privado eram tratadas como questões de menor potencial ofensivo, muitas vezes resolvidas por meio de institutos despenalizadores, como o pagamento de cestas básicas ou multas, o que perpetuava um ciclo de impunidade e invisibilidade. A gênese dessa norma remonta à luta de Maria da Penha Maia Fernandes, cuja resistência contra a negligência estatal brasileira levou o país a ser denunciado perante a Comissão Interamericana de Direitos Humanos, resultando em uma condenação que exigiu a criação de mecanismos eficazes para coibir a violência de gênero.</w:t>
      </w:r>
    </w:p>
    <w:p w14:paraId="53ACCB86" w14:textId="77777777" w:rsidR="00D52AB3" w:rsidRPr="00D52AB3" w:rsidRDefault="00D52AB3" w:rsidP="00D52AB3">
      <w:pPr>
        <w:spacing w:before="100" w:beforeAutospacing="1" w:after="15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lang w:val="pt-BR" w:eastAsia="es-ES"/>
        </w:rPr>
        <w:t>No contexto contemporâneo, especialmente no estado do Pará, a implementação desta lei enfrenta desafios geográficos e sociais singulares, exigindo uma rede de proteção capilarizada que integre o Poder Judiciário, o Ministério Público, a Defensoria Pública e as forças de segurança. A análise detalhada da proteção à mulher exige a compreensão das diversas faces da violência, da tipicidade penal das condutas e do fluxo procedimental para a garantia da integridade física e psicossocial das vítimas.</w:t>
      </w:r>
    </w:p>
    <w:p w14:paraId="2708C08D" w14:textId="77777777" w:rsidR="00D52AB3" w:rsidRPr="00D52AB3" w:rsidRDefault="00D52AB3" w:rsidP="00D52AB3">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D52AB3">
        <w:rPr>
          <w:rFonts w:ascii="Times New Roman" w:eastAsia="Times New Roman" w:hAnsi="Times New Roman" w:cs="Times New Roman"/>
          <w:b/>
          <w:bCs/>
          <w:color w:val="1F1F1F"/>
          <w:sz w:val="36"/>
          <w:szCs w:val="36"/>
          <w:lang w:val="pt-BR" w:eastAsia="es-ES"/>
        </w:rPr>
        <w:t>Dimensões e Tipologias da Violência no Ambiente Doméstico</w:t>
      </w:r>
    </w:p>
    <w:p w14:paraId="15CFB824"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 Lei Maria da Penha, em seu artigo 7º, estabelece um rol exemplificativo de cinco formas de violência. É imperativo compreender que estas modalidades não ocorrem de forma isolada; frequentemente, a violência patrimonial serve como prelúdio para a violência física, enquanto a psicológica é o pano de fundo constante que aniquila a resistência da mulher. A jurisprudência e a doutrina convergem para o entendimento de que a proteção deve ser multidimensional, visando não apenas a punição do agressor, mas a autonomia plena da vítima.</w:t>
      </w:r>
    </w:p>
    <w:p w14:paraId="5CD80B87"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A Violência Física e a Integridade Corporal</w:t>
      </w:r>
    </w:p>
    <w:p w14:paraId="673F1AB3"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 violência física é definida como qualquer conduta que ofenda a integridade ou a saúde corporal da mulher. Na prática jurídica, observa-se que o dano não precisa necessariamente deixar marcas visíveis ou cicatrizes permanentes para que a agressão seja configurada. Tapas, empurrões, sacudidas e puxões de cabelo são exemplos de agressões que, embora possam não resultar em hematomas imediatos, constituem violação clara da integridade física.</w:t>
      </w:r>
    </w:p>
    <w:p w14:paraId="7AF02B00"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Em cenários mais graves, a violência manifesta-se por meio de espancamentos, estrangulamento, sufocamento, uso de objetos cortantes ou perfurantes, e ferimentos por armas de fogo. A relevância da palavra da vítima nesses casos é reforçada pelo Superior </w:t>
      </w:r>
      <w:r w:rsidRPr="00D52AB3">
        <w:rPr>
          <w:rFonts w:ascii="Times New Roman" w:eastAsia="Times New Roman" w:hAnsi="Times New Roman" w:cs="Times New Roman"/>
          <w:color w:val="1F1F1F"/>
          <w:sz w:val="24"/>
          <w:szCs w:val="24"/>
          <w:bdr w:val="none" w:sz="0" w:space="0" w:color="auto" w:frame="1"/>
          <w:lang w:val="pt-BR" w:eastAsia="es-ES"/>
        </w:rPr>
        <w:lastRenderedPageBreak/>
        <w:t>Tribunal de Justiça, dado que a maioria das agressões ocorre no interior do domicílio, sem testemunhas oculares. A integridade física, protegida pelo inciso I do artigo 7º, é o direito mais basilar, cuja violação frequentemente precede o feminicídio.</w:t>
      </w:r>
    </w:p>
    <w:p w14:paraId="6AAEA75E"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A Violência Psicológica e o Crime de Dano Emocional</w:t>
      </w:r>
    </w:p>
    <w:p w14:paraId="4957B177"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 violência psicológica é talvez a forma mais insidiosa de abuso, pois ataca a identidade e a autodeterminação da mulher. Ela é caracterizada por ações que causam dano emocional, diminuição da autoestima, ou que visem controlar comportamentos, crenças e decisões da vítima. Práticas como a humilhação constante, o isolamento social — proibindo a mulher de estudar, trabalhar ou visitar familiares — e a vigilância constante são mecanismos de degradação da saúde mental.</w:t>
      </w:r>
    </w:p>
    <w:p w14:paraId="444006C9"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Um conceito de extrema relevância no acolhimento de vítimas é o </w:t>
      </w:r>
      <w:r w:rsidRPr="00D52AB3">
        <w:rPr>
          <w:rFonts w:ascii="Times New Roman" w:eastAsia="Times New Roman" w:hAnsi="Times New Roman" w:cs="Times New Roman"/>
          <w:i/>
          <w:iCs/>
          <w:color w:val="1F1F1F"/>
          <w:sz w:val="24"/>
          <w:szCs w:val="24"/>
          <w:bdr w:val="none" w:sz="0" w:space="0" w:color="auto" w:frame="1"/>
          <w:lang w:val="pt-BR" w:eastAsia="es-ES"/>
        </w:rPr>
        <w:t>gaslighting</w:t>
      </w:r>
      <w:r w:rsidRPr="00D52AB3">
        <w:rPr>
          <w:rFonts w:ascii="Times New Roman" w:eastAsia="Times New Roman" w:hAnsi="Times New Roman" w:cs="Times New Roman"/>
          <w:color w:val="1F1F1F"/>
          <w:sz w:val="24"/>
          <w:szCs w:val="24"/>
          <w:bdr w:val="none" w:sz="0" w:space="0" w:color="auto" w:frame="1"/>
          <w:lang w:val="pt-BR" w:eastAsia="es-ES"/>
        </w:rPr>
        <w:t>, que consiste na distorção ou omissão de fatos para fazer a mulher duvidar de sua própria memória e sanidade. Com a inovação trazida pela Lei nº 14.188/2021, a violência psicológica passou a ter tipicidade própria no Código Penal através do artigo 147-B, punindo condutas que causem prejuízo à saúde psicológica e à autodeterminação da mulher. Recentemente, a legislação foi ampliada para prever causas de aumento de pena quando tal violência é praticada mediante o uso de tecnologias de inteligência artificial, demonstrando a adaptação do direito às novas formas de agressão digital.</w:t>
      </w:r>
    </w:p>
    <w:p w14:paraId="67511DB7"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A Violência Sexual e a Autonomia Reprodutiva</w:t>
      </w:r>
    </w:p>
    <w:p w14:paraId="2DEDE75F"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 violência sexual no âmbito doméstico é frequentemente subnotificada devido a tabus culturais sobre o "débito conjugal". No entanto, a lei é clara ao definir que qualquer conduta que constranja a mulher a presenciar, manter ou participar de relação sexual não desejada mediante intimidação, ameaça ou força constitui violência sexual. Isso inclui o estupro marital e situações em que o parceiro utiliza a sexualidade da mulher como forma de controle ou suborno.</w:t>
      </w:r>
    </w:p>
    <w:p w14:paraId="1AD204F3"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Além do ato sexual em si, esta categoria abarca a violação dos direitos reprodutivos. Impedir o uso de métodos contraceptivos, forçar a gravidez, o aborto ou a prostituição são formas graves de violência sexual que ferem a autonomia sobre o próprio corpo. A lei protege o direito da mulher de decidir sobre sua sexualidade independentemente do vínculo afetivo ou jurídico que mantenha com o agressor.</w:t>
      </w:r>
    </w:p>
    <w:p w14:paraId="0614A52A"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A Violência Patrimonial e o Controle Econômico</w:t>
      </w:r>
    </w:p>
    <w:p w14:paraId="6110E94A"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 violência patrimonial é configurada pela retenção, subtração, destruição parcial ou total de objetos, instrumentos de trabalho, documentos pessoais, bens ou valores da mulher. Muitas vezes, o agressor utiliza a destruição do celular ou a retenção do cartão bancário para impedir que a mulher busque ajuda ou tenha meios de subsistência independentes.</w:t>
      </w:r>
    </w:p>
    <w:p w14:paraId="60D29C17"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A destruição de ferramentas de trabalho, como máquinas de costura ou computadores, visa aniquilar a autonomia financeira da vítima, mantendo-a presa ao ciclo de violência por necessidade econômica. Juridicamente, essas condutas podem se enquadrar como furto, roubo ou dano, mas a Lei Maria da Penha permite que o juiz determine medidas </w:t>
      </w:r>
      <w:r w:rsidRPr="00D52AB3">
        <w:rPr>
          <w:rFonts w:ascii="Times New Roman" w:eastAsia="Times New Roman" w:hAnsi="Times New Roman" w:cs="Times New Roman"/>
          <w:color w:val="1F1F1F"/>
          <w:sz w:val="24"/>
          <w:szCs w:val="24"/>
          <w:bdr w:val="none" w:sz="0" w:space="0" w:color="auto" w:frame="1"/>
          <w:lang w:val="pt-BR" w:eastAsia="es-ES"/>
        </w:rPr>
        <w:lastRenderedPageBreak/>
        <w:t>protetivas específicas, como a restituição de bens subtraídos e a suspensão de procurações conferidas ao agressor.</w:t>
      </w:r>
    </w:p>
    <w:p w14:paraId="0ABB00E4"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A Violência Moral e a Honra da Mulher</w:t>
      </w:r>
    </w:p>
    <w:p w14:paraId="431DD8D6"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Finalmente, a violência moral refere-se a condutas que configurem calúnia (acusar falsamente de crime), difamação (atacar a reputação perante terceiros) ou injúria (ofender a dignidade com xingamentos). No contexto doméstico, o agressor frequentemente utiliza essas ofensas para desqualificar a mulher como mãe ou profissional, buscando deslegitimar seu papel social e destruir sua rede de apoio.</w:t>
      </w:r>
    </w:p>
    <w:p w14:paraId="6B145172" w14:textId="77777777" w:rsidR="00D52AB3" w:rsidRPr="00D52AB3" w:rsidRDefault="00D52AB3" w:rsidP="00D52AB3">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D52AB3">
        <w:rPr>
          <w:rFonts w:ascii="Times New Roman" w:eastAsia="Times New Roman" w:hAnsi="Times New Roman" w:cs="Times New Roman"/>
          <w:b/>
          <w:bCs/>
          <w:color w:val="1F1F1F"/>
          <w:sz w:val="36"/>
          <w:szCs w:val="36"/>
          <w:lang w:val="pt-BR" w:eastAsia="es-ES"/>
        </w:rPr>
        <w:t>Tipicidade Penal e a Correlação com o Código Penal</w:t>
      </w:r>
    </w:p>
    <w:p w14:paraId="05857C1A" w14:textId="77777777" w:rsidR="00D52AB3" w:rsidRPr="00D52AB3" w:rsidRDefault="00D52AB3" w:rsidP="00D52AB3">
      <w:pPr>
        <w:spacing w:before="100" w:beforeAutospacing="1" w:after="15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lang w:val="pt-BR" w:eastAsia="es-ES"/>
        </w:rPr>
        <w:t>A Lei Maria da Penha não criou crimes novos em sua origem, mas estabeleceu um sistema de agravamento e proteção. Contudo, reformas sucessivas no Código Penal brasileiro buscaram punir com maior rigor as condutas praticadas contra a mulher em razão da condição do sexo feminino. A tabela abaixo sintetiza a correlação entre as condutas de violência e os artigos correspondentes no Código Penal (CP), facilitando a identificação técnica para fins de denúncia e registro de ocorrência.</w:t>
      </w:r>
    </w:p>
    <w:p w14:paraId="6CF6A452"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Tabela 1: Tipificação de Crimes no Contexto da Lei Maria da Penha</w:t>
      </w:r>
    </w:p>
    <w:tbl>
      <w:tblPr>
        <w:tblW w:w="0" w:type="auto"/>
        <w:tblCellSpacing w:w="15" w:type="dxa"/>
        <w:tblCellMar>
          <w:left w:w="0" w:type="dxa"/>
          <w:right w:w="0" w:type="dxa"/>
        </w:tblCellMar>
        <w:tblLook w:val="04A0" w:firstRow="1" w:lastRow="0" w:firstColumn="1" w:lastColumn="0" w:noHBand="0" w:noVBand="1"/>
      </w:tblPr>
      <w:tblGrid>
        <w:gridCol w:w="1966"/>
        <w:gridCol w:w="2514"/>
        <w:gridCol w:w="1849"/>
        <w:gridCol w:w="2159"/>
      </w:tblGrid>
      <w:tr w:rsidR="00D52AB3" w:rsidRPr="00D52AB3" w14:paraId="269E7CA5" w14:textId="77777777" w:rsidTr="00D52AB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AC471"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proofErr w:type="spellStart"/>
            <w:r w:rsidRPr="00D52AB3">
              <w:rPr>
                <w:rFonts w:ascii="Times New Roman" w:eastAsia="Times New Roman" w:hAnsi="Times New Roman" w:cs="Times New Roman"/>
                <w:b/>
                <w:bCs/>
                <w:color w:val="1F1F1F"/>
                <w:sz w:val="24"/>
                <w:szCs w:val="24"/>
                <w:bdr w:val="none" w:sz="0" w:space="0" w:color="auto" w:frame="1"/>
                <w:lang w:eastAsia="es-ES"/>
              </w:rPr>
              <w:t>Natureza</w:t>
            </w:r>
            <w:proofErr w:type="spellEnd"/>
            <w:r w:rsidRPr="00D52AB3">
              <w:rPr>
                <w:rFonts w:ascii="Times New Roman" w:eastAsia="Times New Roman" w:hAnsi="Times New Roman" w:cs="Times New Roman"/>
                <w:b/>
                <w:bCs/>
                <w:color w:val="1F1F1F"/>
                <w:sz w:val="24"/>
                <w:szCs w:val="24"/>
                <w:bdr w:val="none" w:sz="0" w:space="0" w:color="auto" w:frame="1"/>
                <w:lang w:eastAsia="es-ES"/>
              </w:rPr>
              <w:t xml:space="preserve"> da </w:t>
            </w:r>
            <w:proofErr w:type="spellStart"/>
            <w:r w:rsidRPr="00D52AB3">
              <w:rPr>
                <w:rFonts w:ascii="Times New Roman" w:eastAsia="Times New Roman" w:hAnsi="Times New Roman" w:cs="Times New Roman"/>
                <w:b/>
                <w:bCs/>
                <w:color w:val="1F1F1F"/>
                <w:sz w:val="24"/>
                <w:szCs w:val="24"/>
                <w:bdr w:val="none" w:sz="0" w:space="0" w:color="auto" w:frame="1"/>
                <w:lang w:eastAsia="es-ES"/>
              </w:rPr>
              <w:t>Violência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EF732"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proofErr w:type="spellStart"/>
            <w:r w:rsidRPr="00D52AB3">
              <w:rPr>
                <w:rFonts w:ascii="Times New Roman" w:eastAsia="Times New Roman" w:hAnsi="Times New Roman" w:cs="Times New Roman"/>
                <w:b/>
                <w:bCs/>
                <w:color w:val="1F1F1F"/>
                <w:sz w:val="24"/>
                <w:szCs w:val="24"/>
                <w:bdr w:val="none" w:sz="0" w:space="0" w:color="auto" w:frame="1"/>
                <w:lang w:eastAsia="es-ES"/>
              </w:rPr>
              <w:t>Conduta</w:t>
            </w:r>
            <w:proofErr w:type="spellEnd"/>
            <w:r w:rsidRPr="00D52AB3">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D52AB3">
              <w:rPr>
                <w:rFonts w:ascii="Times New Roman" w:eastAsia="Times New Roman" w:hAnsi="Times New Roman" w:cs="Times New Roman"/>
                <w:b/>
                <w:bCs/>
                <w:color w:val="1F1F1F"/>
                <w:sz w:val="24"/>
                <w:szCs w:val="24"/>
                <w:bdr w:val="none" w:sz="0" w:space="0" w:color="auto" w:frame="1"/>
                <w:lang w:eastAsia="es-ES"/>
              </w:rPr>
              <w:t>Exemplificativa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E1255"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b/>
                <w:bCs/>
                <w:color w:val="1F1F1F"/>
                <w:sz w:val="24"/>
                <w:szCs w:val="24"/>
                <w:bdr w:val="none" w:sz="0" w:space="0" w:color="auto" w:frame="1"/>
                <w:lang w:val="pt-BR" w:eastAsia="es-ES"/>
              </w:rPr>
              <w:t>Artigo do Código Penal / Lei Especial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20033"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b/>
                <w:bCs/>
                <w:color w:val="1F1F1F"/>
                <w:sz w:val="24"/>
                <w:szCs w:val="24"/>
                <w:bdr w:val="none" w:sz="0" w:space="0" w:color="auto" w:frame="1"/>
                <w:lang w:eastAsia="es-ES"/>
              </w:rPr>
              <w:t>Pena Base Prevista</w:t>
            </w:r>
          </w:p>
        </w:tc>
      </w:tr>
      <w:tr w:rsidR="00D52AB3" w:rsidRPr="00D52AB3" w14:paraId="4397F72E"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090CC"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Física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FA731"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Lesão corporal leve, grave ou gravíssima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DEEC6"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Art. 129, § 9º e § 13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DF1F5"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Reclusão de 1 a 4 anos (se motivada pelo gênero) </w:t>
            </w:r>
          </w:p>
        </w:tc>
      </w:tr>
      <w:tr w:rsidR="00D52AB3" w:rsidRPr="00D52AB3" w14:paraId="59CB5A40"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27BE0"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Psicológica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703E2"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Causar dano emocional ou controlar decisões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CE832"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Art. 147-B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479A5"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Reclusão de 6 meses a 2 anos e multa </w:t>
            </w:r>
          </w:p>
        </w:tc>
      </w:tr>
      <w:tr w:rsidR="00D52AB3" w:rsidRPr="00D52AB3" w14:paraId="171C2944"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222A3"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Psicológica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7BBCE"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Ameaçar causar mal injusto e grave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C9997"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Art. 147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D01D4"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Detenção de 1 a 6 meses ou multa </w:t>
            </w:r>
          </w:p>
        </w:tc>
      </w:tr>
      <w:tr w:rsidR="00D52AB3" w:rsidRPr="00D52AB3" w14:paraId="01C62B6D"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7C3EF"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Sexual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4846F"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Constrangimento ao ato sexual sem consentimento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983A5"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Art. 213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C2B4E"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eastAsia="es-ES"/>
              </w:rPr>
            </w:pPr>
            <w:proofErr w:type="spellStart"/>
            <w:r w:rsidRPr="00D52AB3">
              <w:rPr>
                <w:rFonts w:ascii="Times New Roman" w:eastAsia="Times New Roman" w:hAnsi="Times New Roman" w:cs="Times New Roman"/>
                <w:color w:val="1F1F1F"/>
                <w:sz w:val="24"/>
                <w:szCs w:val="24"/>
                <w:bdr w:val="none" w:sz="0" w:space="0" w:color="auto" w:frame="1"/>
                <w:lang w:eastAsia="es-ES"/>
              </w:rPr>
              <w:t>Reclusão</w:t>
            </w:r>
            <w:proofErr w:type="spellEnd"/>
            <w:r w:rsidRPr="00D52AB3">
              <w:rPr>
                <w:rFonts w:ascii="Times New Roman" w:eastAsia="Times New Roman" w:hAnsi="Times New Roman" w:cs="Times New Roman"/>
                <w:color w:val="1F1F1F"/>
                <w:sz w:val="24"/>
                <w:szCs w:val="24"/>
                <w:bdr w:val="none" w:sz="0" w:space="0" w:color="auto" w:frame="1"/>
                <w:lang w:eastAsia="es-ES"/>
              </w:rPr>
              <w:t xml:space="preserve"> de 6 a 10 anos </w:t>
            </w:r>
          </w:p>
        </w:tc>
      </w:tr>
      <w:tr w:rsidR="00D52AB3" w:rsidRPr="00D52AB3" w14:paraId="2C0FF34B"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CB124"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Patrimonial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482EE"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Subtrair bens da vítima (furto)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FAE91"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Art. 155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8BCCE"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Reclusão de 1 a 4 anos e multa </w:t>
            </w:r>
          </w:p>
        </w:tc>
      </w:tr>
      <w:tr w:rsidR="00D52AB3" w:rsidRPr="00D52AB3" w14:paraId="57CF1CC3"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55085"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Patrimonial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EFB13"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Destruir objetos ou instrumentos de trabalho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2CC03"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Art. 163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96D34"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Detenção de 1 a 6 meses ou multa </w:t>
            </w:r>
          </w:p>
        </w:tc>
      </w:tr>
      <w:tr w:rsidR="00D52AB3" w:rsidRPr="00D52AB3" w14:paraId="59E4705E"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F3982"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lastRenderedPageBreak/>
              <w:t>Moral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E13CE"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Xingamentos e ofensas à dignidade (injúria)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AAF08"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Art. 140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9C701"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Detenção de 1 a 6 meses ou multa </w:t>
            </w:r>
          </w:p>
        </w:tc>
      </w:tr>
      <w:tr w:rsidR="00D52AB3" w:rsidRPr="00D52AB3" w14:paraId="5B0A3D1C"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79B7E"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Moral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50658"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Imputar fato ofensivo à reputação (difamação)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12214"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Art. 139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53761"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Detenção de 3 meses a 1 ano e multa </w:t>
            </w:r>
          </w:p>
        </w:tc>
      </w:tr>
      <w:tr w:rsidR="00D52AB3" w:rsidRPr="00D52AB3" w14:paraId="58E0BEAF"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72FD8"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Moral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32EB0"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Acusar falsamente de crime (calúnia)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2D8C7"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Art. 138 (CP)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2FEAA"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Detenção de 6 meses a 2 anos e multa </w:t>
            </w:r>
          </w:p>
        </w:tc>
      </w:tr>
      <w:tr w:rsidR="00D52AB3" w:rsidRPr="00D52AB3" w14:paraId="52CFE256"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0343D"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proofErr w:type="spellStart"/>
            <w:r w:rsidRPr="00D52AB3">
              <w:rPr>
                <w:rFonts w:ascii="Times New Roman" w:eastAsia="Times New Roman" w:hAnsi="Times New Roman" w:cs="Times New Roman"/>
                <w:color w:val="1F1F1F"/>
                <w:sz w:val="24"/>
                <w:szCs w:val="24"/>
                <w:bdr w:val="none" w:sz="0" w:space="0" w:color="auto" w:frame="1"/>
                <w:lang w:eastAsia="es-ES"/>
              </w:rPr>
              <w:t>Desobediência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0DAE2"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Descumprir medida protetiva de urgência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9D7F6"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Art. 24-A (</w:t>
            </w:r>
            <w:proofErr w:type="spellStart"/>
            <w:r w:rsidRPr="00D52AB3">
              <w:rPr>
                <w:rFonts w:ascii="Times New Roman" w:eastAsia="Times New Roman" w:hAnsi="Times New Roman" w:cs="Times New Roman"/>
                <w:color w:val="1F1F1F"/>
                <w:sz w:val="24"/>
                <w:szCs w:val="24"/>
                <w:bdr w:val="none" w:sz="0" w:space="0" w:color="auto" w:frame="1"/>
                <w:lang w:eastAsia="es-ES"/>
              </w:rPr>
              <w:t>Lei</w:t>
            </w:r>
            <w:proofErr w:type="spellEnd"/>
            <w:r w:rsidRPr="00D52AB3">
              <w:rPr>
                <w:rFonts w:ascii="Times New Roman" w:eastAsia="Times New Roman" w:hAnsi="Times New Roman" w:cs="Times New Roman"/>
                <w:color w:val="1F1F1F"/>
                <w:sz w:val="24"/>
                <w:szCs w:val="24"/>
                <w:bdr w:val="none" w:sz="0" w:space="0" w:color="auto" w:frame="1"/>
                <w:lang w:eastAsia="es-ES"/>
              </w:rPr>
              <w:t xml:space="preserve"> 11.340/06)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EB343"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Reclusão de 2 a 5 anos e multa (Atualização 2024) </w:t>
            </w:r>
          </w:p>
        </w:tc>
      </w:tr>
    </w:tbl>
    <w:p w14:paraId="0C2AE4A6"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É fundamental notar que, nos crimes de lesão corporal leve praticados sob o rito da Lei Maria da Penha, a ação penal é pública incondicionada, ou seja, não depende da vontade da vítima para prosseguir, conforme jurisprudência pacificada pelo Supremo Tribunal Federal. Além disso, em casos de prisão em flagrante por descumprimento de medidas protetivas (Art. 24-A), apenas o juiz, e não o delegado de polícia, tem autoridade para conceder fiança.</w:t>
      </w:r>
    </w:p>
    <w:p w14:paraId="64925AE4" w14:textId="77777777" w:rsidR="00D52AB3" w:rsidRPr="00D52AB3" w:rsidRDefault="00D52AB3" w:rsidP="00D52AB3">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D52AB3">
        <w:rPr>
          <w:rFonts w:ascii="Times New Roman" w:eastAsia="Times New Roman" w:hAnsi="Times New Roman" w:cs="Times New Roman"/>
          <w:b/>
          <w:bCs/>
          <w:color w:val="1F1F1F"/>
          <w:sz w:val="36"/>
          <w:szCs w:val="36"/>
          <w:lang w:val="pt-BR" w:eastAsia="es-ES"/>
        </w:rPr>
        <w:t>O Procedimento para Pedido de Medida Protetiva no Pará</w:t>
      </w:r>
    </w:p>
    <w:p w14:paraId="5DB5CB92"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No estado do Pará, o fluxo procedimental para a obtenção de Medidas Protetivas de Urgência (MPU) foi otimizado para garantir celeridade, considerando as dimensões territoriais do estado e a necessidade de proteção imediata. A mulher em situação de perigo não precisa de advogado para realizar o pedido, podendo fazê-lo diretamente nas instâncias policiais ou judiciais.</w:t>
      </w:r>
    </w:p>
    <w:p w14:paraId="224F8BB7"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O Passo a Passo Real: Presencial e Digital</w:t>
      </w:r>
    </w:p>
    <w:p w14:paraId="60AF9FA1" w14:textId="77777777" w:rsidR="00D52AB3" w:rsidRPr="00D52AB3" w:rsidRDefault="00D52AB3" w:rsidP="00D52AB3">
      <w:pPr>
        <w:spacing w:before="100" w:beforeAutospacing="1" w:after="15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lang w:val="pt-BR" w:eastAsia="es-ES"/>
        </w:rPr>
        <w:t>O primeiro estágio para a proteção é a comunicação da agressão. No Pará, isso pode ser feito de duas formas principais:</w:t>
      </w:r>
    </w:p>
    <w:p w14:paraId="4C8BCD83" w14:textId="77777777" w:rsidR="00D52AB3" w:rsidRPr="00D52AB3" w:rsidRDefault="00D52AB3" w:rsidP="00D52AB3">
      <w:pPr>
        <w:numPr>
          <w:ilvl w:val="0"/>
          <w:numId w:val="2"/>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b/>
          <w:bCs/>
          <w:color w:val="1F1F1F"/>
          <w:sz w:val="24"/>
          <w:szCs w:val="24"/>
          <w:bdr w:val="none" w:sz="0" w:space="0" w:color="auto" w:frame="1"/>
          <w:lang w:val="pt-BR" w:eastAsia="es-ES"/>
        </w:rPr>
        <w:t>Registro Presencial:</w:t>
      </w:r>
      <w:r w:rsidRPr="00D52AB3">
        <w:rPr>
          <w:rFonts w:ascii="Times New Roman" w:eastAsia="Times New Roman" w:hAnsi="Times New Roman" w:cs="Times New Roman"/>
          <w:color w:val="1F1F1F"/>
          <w:sz w:val="24"/>
          <w:szCs w:val="24"/>
          <w:bdr w:val="none" w:sz="0" w:space="0" w:color="auto" w:frame="1"/>
          <w:lang w:val="pt-BR" w:eastAsia="es-ES"/>
        </w:rPr>
        <w:t xml:space="preserve"> A vítima deve se dirigir a uma Delegacia Especializada de Atendimento à Mulher (DEAM) ou a qualquer Delegacia de Polícia Civil. Ao registrar o Boletim de Ocorrência (BO), a autoridade policial deve colher o pedido de medida protetiva e encaminhá-lo ao juiz em no máximo </w:t>
      </w:r>
      <w:r w:rsidRPr="00D52AB3">
        <w:rPr>
          <w:rFonts w:ascii="Times New Roman" w:eastAsia="Times New Roman" w:hAnsi="Times New Roman" w:cs="Times New Roman"/>
          <w:b/>
          <w:bCs/>
          <w:color w:val="1F1F1F"/>
          <w:sz w:val="24"/>
          <w:szCs w:val="24"/>
          <w:bdr w:val="none" w:sz="0" w:space="0" w:color="auto" w:frame="1"/>
          <w:lang w:val="pt-BR" w:eastAsia="es-ES"/>
        </w:rPr>
        <w:t>48 horas</w:t>
      </w:r>
      <w:r w:rsidRPr="00D52AB3">
        <w:rPr>
          <w:rFonts w:ascii="Times New Roman" w:eastAsia="Times New Roman" w:hAnsi="Times New Roman" w:cs="Times New Roman"/>
          <w:color w:val="1F1F1F"/>
          <w:sz w:val="24"/>
          <w:szCs w:val="24"/>
          <w:bdr w:val="none" w:sz="0" w:space="0" w:color="auto" w:frame="1"/>
          <w:lang w:val="pt-BR" w:eastAsia="es-ES"/>
        </w:rPr>
        <w:t>.</w:t>
      </w:r>
    </w:p>
    <w:p w14:paraId="2A57F541" w14:textId="77777777" w:rsidR="00D52AB3" w:rsidRPr="00D52AB3" w:rsidRDefault="00D52AB3" w:rsidP="00D52AB3">
      <w:pPr>
        <w:numPr>
          <w:ilvl w:val="0"/>
          <w:numId w:val="2"/>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b/>
          <w:bCs/>
          <w:color w:val="1F1F1F"/>
          <w:sz w:val="24"/>
          <w:szCs w:val="24"/>
          <w:bdr w:val="none" w:sz="0" w:space="0" w:color="auto" w:frame="1"/>
          <w:lang w:val="pt-BR" w:eastAsia="es-ES"/>
        </w:rPr>
        <w:lastRenderedPageBreak/>
        <w:t>Registro Digital (DEAM Virtual):</w:t>
      </w:r>
      <w:r w:rsidRPr="00D52AB3">
        <w:rPr>
          <w:rFonts w:ascii="Times New Roman" w:eastAsia="Times New Roman" w:hAnsi="Times New Roman" w:cs="Times New Roman"/>
          <w:color w:val="1F1F1F"/>
          <w:sz w:val="24"/>
          <w:szCs w:val="24"/>
          <w:bdr w:val="none" w:sz="0" w:space="0" w:color="auto" w:frame="1"/>
          <w:lang w:val="pt-BR" w:eastAsia="es-ES"/>
        </w:rPr>
        <w:t xml:space="preserve"> Por meio do portal oficial da Polícia Civil do Pará (www.pc.pa.gov.br), a vítima acessa o serviço "DEAM Virtual". Esta ferramenta permite o registro da ocorrência e a solicitação das MPUs sem sair de casa, 24 horas por dia, de qualquer município do estado. O sistema é intuitivo e guia a mulher pelo preenchimento das informações necessárias.</w:t>
      </w:r>
    </w:p>
    <w:p w14:paraId="0B689037"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Após o envio do pedido pelo sistema policial ou pela DEAM Virtual, o processo segue um rito de urgência no Tribunal de Justiça do Estado do Pará (TJPA). O juiz tem o prazo improrrogável de </w:t>
      </w:r>
      <w:r w:rsidRPr="00D52AB3">
        <w:rPr>
          <w:rFonts w:ascii="Times New Roman" w:eastAsia="Times New Roman" w:hAnsi="Times New Roman" w:cs="Times New Roman"/>
          <w:b/>
          <w:bCs/>
          <w:color w:val="1F1F1F"/>
          <w:sz w:val="24"/>
          <w:szCs w:val="24"/>
          <w:bdr w:val="none" w:sz="0" w:space="0" w:color="auto" w:frame="1"/>
          <w:lang w:val="pt-BR" w:eastAsia="es-ES"/>
        </w:rPr>
        <w:t>48 horas</w:t>
      </w:r>
      <w:r w:rsidRPr="00D52AB3">
        <w:rPr>
          <w:rFonts w:ascii="Times New Roman" w:eastAsia="Times New Roman" w:hAnsi="Times New Roman" w:cs="Times New Roman"/>
          <w:color w:val="1F1F1F"/>
          <w:sz w:val="24"/>
          <w:szCs w:val="24"/>
          <w:bdr w:val="none" w:sz="0" w:space="0" w:color="auto" w:frame="1"/>
          <w:lang w:val="pt-BR" w:eastAsia="es-ES"/>
        </w:rPr>
        <w:t xml:space="preserve"> para analisar o pedido e decidir sobre as medidas. A decisão pode ser tomada </w:t>
      </w:r>
      <w:r w:rsidRPr="00D52AB3">
        <w:rPr>
          <w:rFonts w:ascii="Times New Roman" w:eastAsia="Times New Roman" w:hAnsi="Times New Roman" w:cs="Times New Roman"/>
          <w:i/>
          <w:iCs/>
          <w:color w:val="1F1F1F"/>
          <w:sz w:val="24"/>
          <w:szCs w:val="24"/>
          <w:bdr w:val="none" w:sz="0" w:space="0" w:color="auto" w:frame="1"/>
          <w:lang w:val="pt-BR" w:eastAsia="es-ES"/>
        </w:rPr>
        <w:t>inaudita altera parte</w:t>
      </w:r>
      <w:r w:rsidRPr="00D52AB3">
        <w:rPr>
          <w:rFonts w:ascii="Times New Roman" w:eastAsia="Times New Roman" w:hAnsi="Times New Roman" w:cs="Times New Roman"/>
          <w:color w:val="1F1F1F"/>
          <w:sz w:val="24"/>
          <w:szCs w:val="24"/>
          <w:bdr w:val="none" w:sz="0" w:space="0" w:color="auto" w:frame="1"/>
          <w:lang w:val="pt-BR" w:eastAsia="es-ES"/>
        </w:rPr>
        <w:t>, ou seja, sem ouvir o agressor previamente, para evitar que o conhecimento da medida gere novos riscos à vítima.</w:t>
      </w:r>
    </w:p>
    <w:p w14:paraId="45713A0A"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O Formulário de Avaliação de Risco</w:t>
      </w:r>
    </w:p>
    <w:p w14:paraId="23CC63FB"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Um componente vital do pedido no Pará é o Formulário de Avaliação de Risco. Este documento auxilia o magistrado a identificar a gravidade da situação, verificando se o agressor possui acesso a armas de fogo, se há histórico de ameaças de morte, ou se existe dependência química de álcool e drogas. Com base nestas informações, o juiz pode determinar, além do afastamento do agressor, o monitoramento eletrônico por tornozeleira ou o encaminhamento da vítima para uma casa-abrigo.</w:t>
      </w:r>
    </w:p>
    <w:p w14:paraId="73245F8F" w14:textId="77777777" w:rsidR="00D52AB3" w:rsidRPr="00D52AB3" w:rsidRDefault="00D52AB3" w:rsidP="00D52AB3">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D52AB3">
        <w:rPr>
          <w:rFonts w:ascii="Times New Roman" w:eastAsia="Times New Roman" w:hAnsi="Times New Roman" w:cs="Times New Roman"/>
          <w:b/>
          <w:bCs/>
          <w:color w:val="1F1F1F"/>
          <w:sz w:val="36"/>
          <w:szCs w:val="36"/>
          <w:lang w:val="pt-BR" w:eastAsia="es-ES"/>
        </w:rPr>
        <w:t>Direitos Emergentes: Guarda, Alimentos e Afastamento do Lar</w:t>
      </w:r>
    </w:p>
    <w:p w14:paraId="5572E6CF" w14:textId="77777777" w:rsidR="00D52AB3" w:rsidRPr="00D52AB3" w:rsidRDefault="00D52AB3" w:rsidP="00D52AB3">
      <w:pPr>
        <w:spacing w:before="100" w:beforeAutospacing="1" w:after="15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lang w:val="pt-BR" w:eastAsia="es-ES"/>
        </w:rPr>
        <w:t>A situação de violência doméstica desencadeia uma série de direitos assistenciais e protetivos que visam a reorganização da vida da mulher e de seus dependentes. Diferente de um processo cível comum, as medidas da Lei Maria da Penha possuem natureza satisfativa e imediata.</w:t>
      </w:r>
    </w:p>
    <w:p w14:paraId="340D88C3"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Afastamento do Lar e Recondução da Vítima</w:t>
      </w:r>
    </w:p>
    <w:p w14:paraId="06447A75"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 medida protetiva mais drástica e eficaz é o afastamento imediata do agressor do lar ou local de convivência. Esta medida independe da propriedade do imóvel. Caso a mulher tenha fugido de casa por medo, o juiz pode determinar sua recondução ao domicílio assim que o agressor for retirado pelo oficial de justiça ou força policial. A lei assegura que a saída da mulher do lar não configura abandono para fins de partilha de bens ou guarda de filhos, protegendo seus direitos patrimoniais e familiares.</w:t>
      </w:r>
    </w:p>
    <w:p w14:paraId="0C1A9746"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Alimentos Provisionais e Subsistência</w:t>
      </w:r>
    </w:p>
    <w:p w14:paraId="732A17D1"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Muitas mulheres permanecem no ciclo de violência por medo de passarem fome ou não terem como sustentar os filhos. Para mitigar esse risco, a Lei Maria da Penha prevê a fixação de alimentos provisionais ou provisórios já no ato da concessão da medida protetiva. O Superior Tribunal de Justiça entende que estas decisões são válidas e eficazes imediatamente, podendo ser executadas sob rito de prisão civil caso o agressor deixe de pagar, sem necessidade de ratificação por uma vara de família em um primeiro momento.</w:t>
      </w:r>
    </w:p>
    <w:p w14:paraId="30E0A064"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Guarda e Direito de Visitas em Situação de Risco</w:t>
      </w:r>
    </w:p>
    <w:p w14:paraId="3475F2B9"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lastRenderedPageBreak/>
        <w:t>A proteção estende-se aos dependentes menores. Com a Lei nº 14.713/2023, a guarda compartilhada é expressamente proibida quando há risco de violência doméstica. Nestes casos, a guarda deve ser unilateralmente concedida ao genitor que não apresenta risco à criança. O juiz tem a prerrogativa de suspender ou restringir o direito de visitas do agressor, determinando que estas ocorram de forma supervisionada ou em locais públicos, sempre visando o melhor interesse do menor e a segurança da mãe.</w:t>
      </w:r>
    </w:p>
    <w:p w14:paraId="2BED673E" w14:textId="77777777" w:rsidR="00D52AB3" w:rsidRPr="00D52AB3" w:rsidRDefault="00D52AB3" w:rsidP="00D52AB3">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D52AB3">
        <w:rPr>
          <w:rFonts w:ascii="Times New Roman" w:eastAsia="Times New Roman" w:hAnsi="Times New Roman" w:cs="Times New Roman"/>
          <w:b/>
          <w:bCs/>
          <w:color w:val="1F1F1F"/>
          <w:sz w:val="36"/>
          <w:szCs w:val="36"/>
          <w:lang w:val="pt-BR" w:eastAsia="es-ES"/>
        </w:rPr>
        <w:t>Foco Regional: Rede de Proteção em Marabá (Núcleo Novo Horizonte)</w:t>
      </w:r>
    </w:p>
    <w:p w14:paraId="4D9E8CAA"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lang w:val="pt-BR" w:eastAsia="es-ES"/>
        </w:rPr>
        <w:t xml:space="preserve">A cidade de Marabá possui uma das redes de proteção mais estruturadas do interior paraense, com serviços específicos para quem reside ou trabalha nos núcleos urbanos como </w:t>
      </w:r>
      <w:r w:rsidRPr="00D52AB3">
        <w:rPr>
          <w:rFonts w:ascii="Times New Roman" w:eastAsia="Times New Roman" w:hAnsi="Times New Roman" w:cs="Times New Roman"/>
          <w:b/>
          <w:bCs/>
          <w:color w:val="1F1F1F"/>
          <w:sz w:val="24"/>
          <w:szCs w:val="24"/>
          <w:bdr w:val="none" w:sz="0" w:space="0" w:color="auto" w:frame="1"/>
          <w:lang w:val="pt-BR" w:eastAsia="es-ES"/>
        </w:rPr>
        <w:t>Novo Horizonte</w:t>
      </w:r>
      <w:r w:rsidRPr="00D52AB3">
        <w:rPr>
          <w:rFonts w:ascii="Times New Roman" w:eastAsia="Times New Roman" w:hAnsi="Times New Roman" w:cs="Times New Roman"/>
          <w:color w:val="1F1F1F"/>
          <w:sz w:val="24"/>
          <w:szCs w:val="24"/>
          <w:lang w:val="pt-BR" w:eastAsia="es-ES"/>
        </w:rPr>
        <w:t xml:space="preserve"> e </w:t>
      </w:r>
      <w:r w:rsidRPr="00D52AB3">
        <w:rPr>
          <w:rFonts w:ascii="Times New Roman" w:eastAsia="Times New Roman" w:hAnsi="Times New Roman" w:cs="Times New Roman"/>
          <w:b/>
          <w:bCs/>
          <w:color w:val="1F1F1F"/>
          <w:sz w:val="24"/>
          <w:szCs w:val="24"/>
          <w:bdr w:val="none" w:sz="0" w:space="0" w:color="auto" w:frame="1"/>
          <w:lang w:val="pt-BR" w:eastAsia="es-ES"/>
        </w:rPr>
        <w:t>Belo Horizonte</w:t>
      </w:r>
      <w:r w:rsidRPr="00D52AB3">
        <w:rPr>
          <w:rFonts w:ascii="Times New Roman" w:eastAsia="Times New Roman" w:hAnsi="Times New Roman" w:cs="Times New Roman"/>
          <w:color w:val="1F1F1F"/>
          <w:sz w:val="24"/>
          <w:szCs w:val="24"/>
          <w:lang w:val="pt-BR" w:eastAsia="es-ES"/>
        </w:rPr>
        <w:t>. Devido à densidade comercial e populacional desses bairros, o atendimento é descentralizado para garantir proximidade com a vítima.</w:t>
      </w:r>
    </w:p>
    <w:p w14:paraId="5687391D"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Estruturas de Atendimento Específicas em Marabá</w:t>
      </w:r>
    </w:p>
    <w:p w14:paraId="1CA6E1D5" w14:textId="77777777" w:rsidR="00D52AB3" w:rsidRPr="00D52AB3" w:rsidRDefault="00D52AB3" w:rsidP="00D52AB3">
      <w:pPr>
        <w:spacing w:before="100" w:beforeAutospacing="1" w:after="15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lang w:val="pt-BR" w:eastAsia="es-ES"/>
        </w:rPr>
        <w:t>Para as mulheres da região de Horizonte, além das delegacias, existem conselhos e centros de acolhimento localizados dentro do próprio núcleo urbano:</w:t>
      </w:r>
    </w:p>
    <w:p w14:paraId="4932691E" w14:textId="77777777" w:rsidR="00D52AB3" w:rsidRPr="00D52AB3" w:rsidRDefault="00D52AB3" w:rsidP="00D52AB3">
      <w:pPr>
        <w:numPr>
          <w:ilvl w:val="0"/>
          <w:numId w:val="3"/>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b/>
          <w:bCs/>
          <w:color w:val="1F1F1F"/>
          <w:sz w:val="24"/>
          <w:szCs w:val="24"/>
          <w:bdr w:val="none" w:sz="0" w:space="0" w:color="auto" w:frame="1"/>
          <w:lang w:val="pt-BR" w:eastAsia="es-ES"/>
        </w:rPr>
        <w:t>Conselho Municipal dos Direitos da Mulher (CONDIM):</w:t>
      </w:r>
      <w:r w:rsidRPr="00D52AB3">
        <w:rPr>
          <w:rFonts w:ascii="Times New Roman" w:eastAsia="Times New Roman" w:hAnsi="Times New Roman" w:cs="Times New Roman"/>
          <w:color w:val="1F1F1F"/>
          <w:sz w:val="24"/>
          <w:szCs w:val="24"/>
          <w:lang w:val="pt-BR" w:eastAsia="es-ES"/>
        </w:rPr>
        <w:t xml:space="preserve"> Localizado no Bairro Novo Horizonte (Rua Miguel Davi, nº 1538). É um órgão fundamental para orientação e fiscalização de políticas públicas locais.</w:t>
      </w:r>
    </w:p>
    <w:p w14:paraId="2DF77B57" w14:textId="77777777" w:rsidR="00D52AB3" w:rsidRPr="00D52AB3" w:rsidRDefault="00D52AB3" w:rsidP="00D52AB3">
      <w:pPr>
        <w:numPr>
          <w:ilvl w:val="0"/>
          <w:numId w:val="3"/>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b/>
          <w:bCs/>
          <w:color w:val="1F1F1F"/>
          <w:sz w:val="24"/>
          <w:szCs w:val="24"/>
          <w:bdr w:val="none" w:sz="0" w:space="0" w:color="auto" w:frame="1"/>
          <w:lang w:val="pt-BR" w:eastAsia="es-ES"/>
        </w:rPr>
        <w:t>Espaço de Acolhimento Provisório (EAP):</w:t>
      </w:r>
      <w:r w:rsidRPr="00D52AB3">
        <w:rPr>
          <w:rFonts w:ascii="Times New Roman" w:eastAsia="Times New Roman" w:hAnsi="Times New Roman" w:cs="Times New Roman"/>
          <w:color w:val="1F1F1F"/>
          <w:sz w:val="24"/>
          <w:szCs w:val="24"/>
          <w:lang w:val="pt-BR" w:eastAsia="es-ES"/>
        </w:rPr>
        <w:t xml:space="preserve"> Situado no Bairro Belo Horizonte (Avenida Itacaiúnas, Quadra 159). Oferece suporte imediato para mulheres em trânsito ou situação de vulnerabilidade extrema.</w:t>
      </w:r>
    </w:p>
    <w:p w14:paraId="0A439179" w14:textId="77777777" w:rsidR="00D52AB3" w:rsidRPr="00D52AB3" w:rsidRDefault="00D52AB3" w:rsidP="00D52AB3">
      <w:pPr>
        <w:numPr>
          <w:ilvl w:val="0"/>
          <w:numId w:val="3"/>
        </w:numPr>
        <w:spacing w:before="100" w:beforeAutospacing="1" w:after="0" w:line="240" w:lineRule="auto"/>
        <w:ind w:left="0"/>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b/>
          <w:bCs/>
          <w:color w:val="1F1F1F"/>
          <w:sz w:val="24"/>
          <w:szCs w:val="24"/>
          <w:bdr w:val="none" w:sz="0" w:space="0" w:color="auto" w:frame="1"/>
          <w:lang w:val="pt-BR" w:eastAsia="es-ES"/>
        </w:rPr>
        <w:t>CRAS Novo Horizonte:</w:t>
      </w:r>
      <w:r w:rsidRPr="00D52AB3">
        <w:rPr>
          <w:rFonts w:ascii="Times New Roman" w:eastAsia="Times New Roman" w:hAnsi="Times New Roman" w:cs="Times New Roman"/>
          <w:color w:val="1F1F1F"/>
          <w:sz w:val="24"/>
          <w:szCs w:val="24"/>
          <w:lang w:val="pt-BR" w:eastAsia="es-ES"/>
        </w:rPr>
        <w:t xml:space="preserve"> Presta o Serviço de Acolhimento Familiar na Rua Fortunato Simplício Costa, nº 494A, auxiliando na reorganização social da família.</w:t>
      </w:r>
    </w:p>
    <w:p w14:paraId="5D3092C4"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Inovação Tecnológica Local: Aplicativo ANA</w:t>
      </w:r>
    </w:p>
    <w:p w14:paraId="2B7B51CE"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lang w:val="pt-BR" w:eastAsia="es-ES"/>
        </w:rPr>
        <w:t xml:space="preserve">Exclusivamente em Marabá, a Guarda Municipal (GMM) opera o </w:t>
      </w:r>
      <w:r w:rsidRPr="00D52AB3">
        <w:rPr>
          <w:rFonts w:ascii="Times New Roman" w:eastAsia="Times New Roman" w:hAnsi="Times New Roman" w:cs="Times New Roman"/>
          <w:b/>
          <w:bCs/>
          <w:color w:val="1F1F1F"/>
          <w:sz w:val="24"/>
          <w:szCs w:val="24"/>
          <w:bdr w:val="none" w:sz="0" w:space="0" w:color="auto" w:frame="1"/>
          <w:lang w:val="pt-BR" w:eastAsia="es-ES"/>
        </w:rPr>
        <w:t>Aplicativo ANA</w:t>
      </w:r>
      <w:r w:rsidRPr="00D52AB3">
        <w:rPr>
          <w:rFonts w:ascii="Times New Roman" w:eastAsia="Times New Roman" w:hAnsi="Times New Roman" w:cs="Times New Roman"/>
          <w:color w:val="1F1F1F"/>
          <w:sz w:val="24"/>
          <w:szCs w:val="24"/>
          <w:lang w:val="pt-BR" w:eastAsia="es-ES"/>
        </w:rPr>
        <w:t>. Diferente do SOS Mulher estadual, o ANA é uma ferramenta municipal integrada ao Centro de Controle Operacional local. Ele permite que mulheres com medidas protetivas enviem sua localização exata e dados de cadastro com apenas um toque, gerando uma resposta prioritária das viaturas da Guarda Municipal que circulam na região de Marabá.</w:t>
      </w:r>
    </w:p>
    <w:p w14:paraId="34FE1531" w14:textId="77777777" w:rsidR="00D52AB3" w:rsidRPr="00D52AB3" w:rsidRDefault="00D52AB3" w:rsidP="00D52AB3">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D52AB3">
        <w:rPr>
          <w:rFonts w:ascii="Times New Roman" w:eastAsia="Times New Roman" w:hAnsi="Times New Roman" w:cs="Times New Roman"/>
          <w:b/>
          <w:bCs/>
          <w:color w:val="1F1F1F"/>
          <w:sz w:val="36"/>
          <w:szCs w:val="36"/>
          <w:lang w:val="pt-BR" w:eastAsia="es-ES"/>
        </w:rPr>
        <w:t>Estrutura de Atendimento: Defensoria Pública do Estado do Pará</w:t>
      </w:r>
    </w:p>
    <w:p w14:paraId="127FCBF9" w14:textId="77777777" w:rsidR="00D52AB3" w:rsidRPr="00D52AB3" w:rsidRDefault="00D52AB3" w:rsidP="00D52AB3">
      <w:pPr>
        <w:spacing w:before="100" w:beforeAutospacing="1" w:after="15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lang w:val="pt-BR" w:eastAsia="es-ES"/>
        </w:rPr>
        <w:t>A Defensoria Pública do Estado do Pará (DPE-PA) é o órgão incumbido de prestar assistência jurídica integral e gratuita às mulheres que não podem custear um advogado.</w:t>
      </w:r>
    </w:p>
    <w:p w14:paraId="4BC0DAC2" w14:textId="77777777" w:rsidR="00D52AB3" w:rsidRPr="00D52AB3" w:rsidRDefault="00D52AB3" w:rsidP="00D52AB3">
      <w:pPr>
        <w:spacing w:before="100" w:beforeAutospacing="1" w:after="120" w:line="240" w:lineRule="auto"/>
        <w:outlineLvl w:val="2"/>
        <w:rPr>
          <w:rFonts w:ascii="Times New Roman" w:eastAsia="Times New Roman" w:hAnsi="Times New Roman" w:cs="Times New Roman"/>
          <w:b/>
          <w:bCs/>
          <w:color w:val="1F1F1F"/>
          <w:sz w:val="27"/>
          <w:szCs w:val="27"/>
          <w:lang w:val="pt-BR" w:eastAsia="es-ES"/>
        </w:rPr>
      </w:pPr>
      <w:r w:rsidRPr="00D52AB3">
        <w:rPr>
          <w:rFonts w:ascii="Times New Roman" w:eastAsia="Times New Roman" w:hAnsi="Times New Roman" w:cs="Times New Roman"/>
          <w:b/>
          <w:bCs/>
          <w:color w:val="1F1F1F"/>
          <w:sz w:val="27"/>
          <w:szCs w:val="27"/>
          <w:lang w:val="pt-BR" w:eastAsia="es-ES"/>
        </w:rPr>
        <w:t>Tabela 2: Unidades e Contatos da Defensoria e Rede de Apoio em Marabá e Região</w:t>
      </w:r>
    </w:p>
    <w:tbl>
      <w:tblPr>
        <w:tblW w:w="0" w:type="auto"/>
        <w:tblCellSpacing w:w="15" w:type="dxa"/>
        <w:tblCellMar>
          <w:left w:w="0" w:type="dxa"/>
          <w:right w:w="0" w:type="dxa"/>
        </w:tblCellMar>
        <w:tblLook w:val="04A0" w:firstRow="1" w:lastRow="0" w:firstColumn="1" w:lastColumn="0" w:noHBand="0" w:noVBand="1"/>
      </w:tblPr>
      <w:tblGrid>
        <w:gridCol w:w="2733"/>
        <w:gridCol w:w="3107"/>
        <w:gridCol w:w="2648"/>
      </w:tblGrid>
      <w:tr w:rsidR="00D52AB3" w:rsidRPr="00D52AB3" w14:paraId="004D242A" w14:textId="77777777" w:rsidTr="00D52AB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5335F"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proofErr w:type="spellStart"/>
            <w:r w:rsidRPr="00D52AB3">
              <w:rPr>
                <w:rFonts w:ascii="Times New Roman" w:eastAsia="Times New Roman" w:hAnsi="Times New Roman" w:cs="Times New Roman"/>
                <w:b/>
                <w:bCs/>
                <w:color w:val="1F1F1F"/>
                <w:sz w:val="24"/>
                <w:szCs w:val="24"/>
                <w:bdr w:val="none" w:sz="0" w:space="0" w:color="auto" w:frame="1"/>
                <w:lang w:eastAsia="es-ES"/>
              </w:rPr>
              <w:lastRenderedPageBreak/>
              <w:t>Unidade</w:t>
            </w:r>
            <w:proofErr w:type="spellEnd"/>
            <w:r w:rsidRPr="00D52AB3">
              <w:rPr>
                <w:rFonts w:ascii="Times New Roman" w:eastAsia="Times New Roman" w:hAnsi="Times New Roman" w:cs="Times New Roman"/>
                <w:b/>
                <w:bCs/>
                <w:color w:val="1F1F1F"/>
                <w:sz w:val="24"/>
                <w:szCs w:val="24"/>
                <w:bdr w:val="none" w:sz="0" w:space="0" w:color="auto" w:frame="1"/>
                <w:lang w:eastAsia="es-ES"/>
              </w:rPr>
              <w:t xml:space="preserve"> / </w:t>
            </w:r>
            <w:proofErr w:type="spellStart"/>
            <w:r w:rsidRPr="00D52AB3">
              <w:rPr>
                <w:rFonts w:ascii="Times New Roman" w:eastAsia="Times New Roman" w:hAnsi="Times New Roman" w:cs="Times New Roman"/>
                <w:b/>
                <w:bCs/>
                <w:color w:val="1F1F1F"/>
                <w:sz w:val="24"/>
                <w:szCs w:val="24"/>
                <w:bdr w:val="none" w:sz="0" w:space="0" w:color="auto" w:frame="1"/>
                <w:lang w:eastAsia="es-ES"/>
              </w:rPr>
              <w:t>Órgão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096C2"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proofErr w:type="spellStart"/>
            <w:r w:rsidRPr="00D52AB3">
              <w:rPr>
                <w:rFonts w:ascii="Times New Roman" w:eastAsia="Times New Roman" w:hAnsi="Times New Roman" w:cs="Times New Roman"/>
                <w:b/>
                <w:bCs/>
                <w:color w:val="1F1F1F"/>
                <w:sz w:val="24"/>
                <w:szCs w:val="24"/>
                <w:bdr w:val="none" w:sz="0" w:space="0" w:color="auto" w:frame="1"/>
                <w:lang w:eastAsia="es-ES"/>
              </w:rPr>
              <w:t>Endereço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462BF"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proofErr w:type="spellStart"/>
            <w:r w:rsidRPr="00D52AB3">
              <w:rPr>
                <w:rFonts w:ascii="Times New Roman" w:eastAsia="Times New Roman" w:hAnsi="Times New Roman" w:cs="Times New Roman"/>
                <w:b/>
                <w:bCs/>
                <w:color w:val="1F1F1F"/>
                <w:sz w:val="24"/>
                <w:szCs w:val="24"/>
                <w:bdr w:val="none" w:sz="0" w:space="0" w:color="auto" w:frame="1"/>
                <w:lang w:eastAsia="es-ES"/>
              </w:rPr>
              <w:t>Telefone</w:t>
            </w:r>
            <w:proofErr w:type="spellEnd"/>
            <w:r w:rsidRPr="00D52AB3">
              <w:rPr>
                <w:rFonts w:ascii="Times New Roman" w:eastAsia="Times New Roman" w:hAnsi="Times New Roman" w:cs="Times New Roman"/>
                <w:b/>
                <w:bCs/>
                <w:color w:val="1F1F1F"/>
                <w:sz w:val="24"/>
                <w:szCs w:val="24"/>
                <w:bdr w:val="none" w:sz="0" w:space="0" w:color="auto" w:frame="1"/>
                <w:lang w:eastAsia="es-ES"/>
              </w:rPr>
              <w:t xml:space="preserve"> / </w:t>
            </w:r>
            <w:proofErr w:type="spellStart"/>
            <w:r w:rsidRPr="00D52AB3">
              <w:rPr>
                <w:rFonts w:ascii="Times New Roman" w:eastAsia="Times New Roman" w:hAnsi="Times New Roman" w:cs="Times New Roman"/>
                <w:b/>
                <w:bCs/>
                <w:color w:val="1F1F1F"/>
                <w:sz w:val="24"/>
                <w:szCs w:val="24"/>
                <w:bdr w:val="none" w:sz="0" w:space="0" w:color="auto" w:frame="1"/>
                <w:lang w:eastAsia="es-ES"/>
              </w:rPr>
              <w:t>Contato</w:t>
            </w:r>
            <w:proofErr w:type="spellEnd"/>
          </w:p>
        </w:tc>
      </w:tr>
      <w:tr w:rsidR="00D52AB3" w:rsidRPr="00D52AB3" w14:paraId="32635F9D"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10C84"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proofErr w:type="spellStart"/>
            <w:r w:rsidRPr="00D52AB3">
              <w:rPr>
                <w:rFonts w:ascii="Times New Roman" w:eastAsia="Times New Roman" w:hAnsi="Times New Roman" w:cs="Times New Roman"/>
                <w:b/>
                <w:bCs/>
                <w:color w:val="1F1F1F"/>
                <w:sz w:val="24"/>
                <w:szCs w:val="24"/>
                <w:bdr w:val="none" w:sz="0" w:space="0" w:color="auto" w:frame="1"/>
                <w:lang w:eastAsia="es-ES"/>
              </w:rPr>
              <w:t>Defensoria</w:t>
            </w:r>
            <w:proofErr w:type="spellEnd"/>
            <w:r w:rsidRPr="00D52AB3">
              <w:rPr>
                <w:rFonts w:ascii="Times New Roman" w:eastAsia="Times New Roman" w:hAnsi="Times New Roman" w:cs="Times New Roman"/>
                <w:b/>
                <w:bCs/>
                <w:color w:val="1F1F1F"/>
                <w:sz w:val="24"/>
                <w:szCs w:val="24"/>
                <w:bdr w:val="none" w:sz="0" w:space="0" w:color="auto" w:frame="1"/>
                <w:lang w:eastAsia="es-ES"/>
              </w:rPr>
              <w:t xml:space="preserve"> Pública - </w:t>
            </w:r>
            <w:proofErr w:type="spellStart"/>
            <w:r w:rsidRPr="00D52AB3">
              <w:rPr>
                <w:rFonts w:ascii="Times New Roman" w:eastAsia="Times New Roman" w:hAnsi="Times New Roman" w:cs="Times New Roman"/>
                <w:b/>
                <w:bCs/>
                <w:color w:val="1F1F1F"/>
                <w:sz w:val="24"/>
                <w:szCs w:val="24"/>
                <w:bdr w:val="none" w:sz="0" w:space="0" w:color="auto" w:frame="1"/>
                <w:lang w:eastAsia="es-ES"/>
              </w:rPr>
              <w:t>Marabá</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9F2B4"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Rod. BR 230, Km 01, s/n, Bairro Amapá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0C7F3" w14:textId="77777777" w:rsidR="00D52AB3" w:rsidRPr="00D52AB3" w:rsidRDefault="00D52AB3" w:rsidP="00D52AB3">
            <w:pPr>
              <w:spacing w:before="100" w:beforeAutospacing="1" w:after="0" w:afterAutospacing="1"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 xml:space="preserve">(94) 2103-8000 / (94) 98137-3051 </w:t>
            </w:r>
          </w:p>
        </w:tc>
      </w:tr>
      <w:tr w:rsidR="00D52AB3" w:rsidRPr="00D52AB3" w14:paraId="2A9BD840"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7D591"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b/>
                <w:bCs/>
                <w:color w:val="1F1F1F"/>
                <w:sz w:val="24"/>
                <w:szCs w:val="24"/>
                <w:bdr w:val="none" w:sz="0" w:space="0" w:color="auto" w:frame="1"/>
                <w:lang w:eastAsia="es-ES"/>
              </w:rPr>
              <w:t xml:space="preserve">DEAM </w:t>
            </w:r>
            <w:proofErr w:type="spellStart"/>
            <w:r w:rsidRPr="00D52AB3">
              <w:rPr>
                <w:rFonts w:ascii="Times New Roman" w:eastAsia="Times New Roman" w:hAnsi="Times New Roman" w:cs="Times New Roman"/>
                <w:b/>
                <w:bCs/>
                <w:color w:val="1F1F1F"/>
                <w:sz w:val="24"/>
                <w:szCs w:val="24"/>
                <w:bdr w:val="none" w:sz="0" w:space="0" w:color="auto" w:frame="1"/>
                <w:lang w:eastAsia="es-ES"/>
              </w:rPr>
              <w:t>Marabá</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8D2C0"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Rua Folha 10, s/n, Nova Marabá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9D6A2"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(94) 3321-4800</w:t>
            </w:r>
          </w:p>
        </w:tc>
      </w:tr>
      <w:tr w:rsidR="00D52AB3" w:rsidRPr="00D52AB3" w14:paraId="2CC5FA9F"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3C918"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b/>
                <w:bCs/>
                <w:color w:val="1F1F1F"/>
                <w:sz w:val="24"/>
                <w:szCs w:val="24"/>
                <w:bdr w:val="none" w:sz="0" w:space="0" w:color="auto" w:frame="1"/>
                <w:lang w:val="pt-BR" w:eastAsia="es-ES"/>
              </w:rPr>
              <w:t>Patrulha Maria da Penha (GMM)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6803F"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Av. Espírito Santo, 1285, Bairro Amapá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2EB9F"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(94) 98429-6010</w:t>
            </w:r>
          </w:p>
        </w:tc>
      </w:tr>
      <w:tr w:rsidR="00D52AB3" w:rsidRPr="00D52AB3" w14:paraId="768CA5DD"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C60A8"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b/>
                <w:bCs/>
                <w:color w:val="1F1F1F"/>
                <w:sz w:val="24"/>
                <w:szCs w:val="24"/>
                <w:bdr w:val="none" w:sz="0" w:space="0" w:color="auto" w:frame="1"/>
                <w:lang w:eastAsia="es-ES"/>
              </w:rPr>
              <w:t xml:space="preserve">Vara de </w:t>
            </w:r>
            <w:proofErr w:type="spellStart"/>
            <w:r w:rsidRPr="00D52AB3">
              <w:rPr>
                <w:rFonts w:ascii="Times New Roman" w:eastAsia="Times New Roman" w:hAnsi="Times New Roman" w:cs="Times New Roman"/>
                <w:b/>
                <w:bCs/>
                <w:color w:val="1F1F1F"/>
                <w:sz w:val="24"/>
                <w:szCs w:val="24"/>
                <w:bdr w:val="none" w:sz="0" w:space="0" w:color="auto" w:frame="1"/>
                <w:lang w:eastAsia="es-ES"/>
              </w:rPr>
              <w:t>Violência</w:t>
            </w:r>
            <w:proofErr w:type="spellEnd"/>
            <w:r w:rsidRPr="00D52AB3">
              <w:rPr>
                <w:rFonts w:ascii="Times New Roman" w:eastAsia="Times New Roman" w:hAnsi="Times New Roman" w:cs="Times New Roman"/>
                <w:b/>
                <w:bCs/>
                <w:color w:val="1F1F1F"/>
                <w:sz w:val="24"/>
                <w:szCs w:val="24"/>
                <w:bdr w:val="none" w:sz="0" w:space="0" w:color="auto" w:frame="1"/>
                <w:lang w:eastAsia="es-ES"/>
              </w:rPr>
              <w:t xml:space="preserve"> Doméstica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4DE08"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Fórum Juiz José Elias Monteiro Lopes, Amapá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699F1"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(94) 3312-2016</w:t>
            </w:r>
          </w:p>
        </w:tc>
      </w:tr>
      <w:tr w:rsidR="00D52AB3" w:rsidRPr="00D52AB3" w14:paraId="533FEBE4"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3FE1C"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b/>
                <w:bCs/>
                <w:color w:val="1F1F1F"/>
                <w:sz w:val="24"/>
                <w:szCs w:val="24"/>
                <w:bdr w:val="none" w:sz="0" w:space="0" w:color="auto" w:frame="1"/>
                <w:lang w:eastAsia="es-ES"/>
              </w:rPr>
              <w:t xml:space="preserve">Centro de </w:t>
            </w:r>
            <w:proofErr w:type="spellStart"/>
            <w:r w:rsidRPr="00D52AB3">
              <w:rPr>
                <w:rFonts w:ascii="Times New Roman" w:eastAsia="Times New Roman" w:hAnsi="Times New Roman" w:cs="Times New Roman"/>
                <w:b/>
                <w:bCs/>
                <w:color w:val="1F1F1F"/>
                <w:sz w:val="24"/>
                <w:szCs w:val="24"/>
                <w:bdr w:val="none" w:sz="0" w:space="0" w:color="auto" w:frame="1"/>
                <w:lang w:eastAsia="es-ES"/>
              </w:rPr>
              <w:t>Referência</w:t>
            </w:r>
            <w:proofErr w:type="spellEnd"/>
            <w:r w:rsidRPr="00D52AB3">
              <w:rPr>
                <w:rFonts w:ascii="Times New Roman" w:eastAsia="Times New Roman" w:hAnsi="Times New Roman" w:cs="Times New Roman"/>
                <w:b/>
                <w:bCs/>
                <w:color w:val="1F1F1F"/>
                <w:sz w:val="24"/>
                <w:szCs w:val="24"/>
                <w:bdr w:val="none" w:sz="0" w:space="0" w:color="auto" w:frame="1"/>
                <w:lang w:eastAsia="es-ES"/>
              </w:rPr>
              <w:t xml:space="preserve"> (CRAM)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81E29"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Folha 32, Quadra 18, Lote 7, Nova Marabá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9E842"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(94) 98401-2022 (WhatsApp)</w:t>
            </w:r>
          </w:p>
        </w:tc>
      </w:tr>
      <w:tr w:rsidR="00D52AB3" w:rsidRPr="00D52AB3" w14:paraId="1F2D0FA8" w14:textId="77777777" w:rsidTr="00D52A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96158"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proofErr w:type="spellStart"/>
            <w:r w:rsidRPr="00D52AB3">
              <w:rPr>
                <w:rFonts w:ascii="Times New Roman" w:eastAsia="Times New Roman" w:hAnsi="Times New Roman" w:cs="Times New Roman"/>
                <w:b/>
                <w:bCs/>
                <w:color w:val="1F1F1F"/>
                <w:sz w:val="24"/>
                <w:szCs w:val="24"/>
                <w:bdr w:val="none" w:sz="0" w:space="0" w:color="auto" w:frame="1"/>
                <w:lang w:eastAsia="es-ES"/>
              </w:rPr>
              <w:t>Promotoria</w:t>
            </w:r>
            <w:proofErr w:type="spellEnd"/>
            <w:r w:rsidRPr="00D52AB3">
              <w:rPr>
                <w:rFonts w:ascii="Times New Roman" w:eastAsia="Times New Roman" w:hAnsi="Times New Roman" w:cs="Times New Roman"/>
                <w:b/>
                <w:bCs/>
                <w:color w:val="1F1F1F"/>
                <w:sz w:val="24"/>
                <w:szCs w:val="24"/>
                <w:bdr w:val="none" w:sz="0" w:space="0" w:color="auto" w:frame="1"/>
                <w:lang w:eastAsia="es-ES"/>
              </w:rPr>
              <w:t xml:space="preserve"> de </w:t>
            </w:r>
            <w:proofErr w:type="spellStart"/>
            <w:r w:rsidRPr="00D52AB3">
              <w:rPr>
                <w:rFonts w:ascii="Times New Roman" w:eastAsia="Times New Roman" w:hAnsi="Times New Roman" w:cs="Times New Roman"/>
                <w:b/>
                <w:bCs/>
                <w:color w:val="1F1F1F"/>
                <w:sz w:val="24"/>
                <w:szCs w:val="24"/>
                <w:bdr w:val="none" w:sz="0" w:space="0" w:color="auto" w:frame="1"/>
                <w:lang w:eastAsia="es-ES"/>
              </w:rPr>
              <w:t>Justiça</w:t>
            </w:r>
            <w:proofErr w:type="spellEnd"/>
            <w:r w:rsidRPr="00D52AB3">
              <w:rPr>
                <w:rFonts w:ascii="Times New Roman" w:eastAsia="Times New Roman" w:hAnsi="Times New Roman" w:cs="Times New Roman"/>
                <w:b/>
                <w:bCs/>
                <w:color w:val="1F1F1F"/>
                <w:sz w:val="24"/>
                <w:szCs w:val="24"/>
                <w:bdr w:val="none" w:sz="0" w:space="0" w:color="auto" w:frame="1"/>
                <w:lang w:eastAsia="es-ES"/>
              </w:rPr>
              <w:t xml:space="preserve"> (MPPA)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84CCD"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Rua das Flores, s/n, Bairro Amapá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73A87" w14:textId="77777777" w:rsidR="00D52AB3" w:rsidRPr="00D52AB3" w:rsidRDefault="00D52AB3" w:rsidP="00D52AB3">
            <w:pPr>
              <w:spacing w:after="0" w:line="240" w:lineRule="auto"/>
              <w:rPr>
                <w:rFonts w:ascii="Times New Roman" w:eastAsia="Times New Roman" w:hAnsi="Times New Roman" w:cs="Times New Roman"/>
                <w:color w:val="1F1F1F"/>
                <w:sz w:val="24"/>
                <w:szCs w:val="24"/>
                <w:lang w:eastAsia="es-ES"/>
              </w:rPr>
            </w:pPr>
            <w:r w:rsidRPr="00D52AB3">
              <w:rPr>
                <w:rFonts w:ascii="Times New Roman" w:eastAsia="Times New Roman" w:hAnsi="Times New Roman" w:cs="Times New Roman"/>
                <w:color w:val="1F1F1F"/>
                <w:sz w:val="24"/>
                <w:szCs w:val="24"/>
                <w:bdr w:val="none" w:sz="0" w:space="0" w:color="auto" w:frame="1"/>
                <w:lang w:eastAsia="es-ES"/>
              </w:rPr>
              <w:t>(94) 98804-1314 (WhatsApp)</w:t>
            </w:r>
          </w:p>
        </w:tc>
      </w:tr>
    </w:tbl>
    <w:p w14:paraId="1EBE65DE" w14:textId="77777777" w:rsidR="00D52AB3" w:rsidRPr="00D52AB3" w:rsidRDefault="00D52AB3" w:rsidP="00D52AB3">
      <w:pPr>
        <w:spacing w:before="100" w:beforeAutospacing="1" w:after="120" w:line="240" w:lineRule="auto"/>
        <w:outlineLvl w:val="1"/>
        <w:rPr>
          <w:rFonts w:ascii="Times New Roman" w:eastAsia="Times New Roman" w:hAnsi="Times New Roman" w:cs="Times New Roman"/>
          <w:b/>
          <w:bCs/>
          <w:color w:val="1F1F1F"/>
          <w:sz w:val="36"/>
          <w:szCs w:val="36"/>
          <w:lang w:eastAsia="es-ES"/>
        </w:rPr>
      </w:pPr>
      <w:proofErr w:type="spellStart"/>
      <w:r w:rsidRPr="00D52AB3">
        <w:rPr>
          <w:rFonts w:ascii="Times New Roman" w:eastAsia="Times New Roman" w:hAnsi="Times New Roman" w:cs="Times New Roman"/>
          <w:b/>
          <w:bCs/>
          <w:color w:val="1F1F1F"/>
          <w:sz w:val="36"/>
          <w:szCs w:val="36"/>
          <w:lang w:eastAsia="es-ES"/>
        </w:rPr>
        <w:t>Consequências</w:t>
      </w:r>
      <w:proofErr w:type="spellEnd"/>
      <w:r w:rsidRPr="00D52AB3">
        <w:rPr>
          <w:rFonts w:ascii="Times New Roman" w:eastAsia="Times New Roman" w:hAnsi="Times New Roman" w:cs="Times New Roman"/>
          <w:b/>
          <w:bCs/>
          <w:color w:val="1F1F1F"/>
          <w:sz w:val="36"/>
          <w:szCs w:val="36"/>
          <w:lang w:eastAsia="es-ES"/>
        </w:rPr>
        <w:t xml:space="preserve"> do </w:t>
      </w:r>
      <w:proofErr w:type="spellStart"/>
      <w:r w:rsidRPr="00D52AB3">
        <w:rPr>
          <w:rFonts w:ascii="Times New Roman" w:eastAsia="Times New Roman" w:hAnsi="Times New Roman" w:cs="Times New Roman"/>
          <w:b/>
          <w:bCs/>
          <w:color w:val="1F1F1F"/>
          <w:sz w:val="36"/>
          <w:szCs w:val="36"/>
          <w:lang w:eastAsia="es-ES"/>
        </w:rPr>
        <w:t>Descumprimento</w:t>
      </w:r>
      <w:proofErr w:type="spellEnd"/>
      <w:r w:rsidRPr="00D52AB3">
        <w:rPr>
          <w:rFonts w:ascii="Times New Roman" w:eastAsia="Times New Roman" w:hAnsi="Times New Roman" w:cs="Times New Roman"/>
          <w:b/>
          <w:bCs/>
          <w:color w:val="1F1F1F"/>
          <w:sz w:val="36"/>
          <w:szCs w:val="36"/>
          <w:lang w:eastAsia="es-ES"/>
        </w:rPr>
        <w:t xml:space="preserve"> das Medidas</w:t>
      </w:r>
    </w:p>
    <w:p w14:paraId="0956B438"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bdr w:val="none" w:sz="0" w:space="0" w:color="auto" w:frame="1"/>
          <w:lang w:val="pt-BR" w:eastAsia="es-ES"/>
        </w:rPr>
        <w:t xml:space="preserve">O agressor que desobedece a uma medida protetiva comete o crime previsto no artigo 24-A da Lei Maria da Penha. A pena para este ato foi recrudescida em 2024 para </w:t>
      </w:r>
      <w:r w:rsidRPr="00D52AB3">
        <w:rPr>
          <w:rFonts w:ascii="Times New Roman" w:eastAsia="Times New Roman" w:hAnsi="Times New Roman" w:cs="Times New Roman"/>
          <w:b/>
          <w:bCs/>
          <w:color w:val="1F1F1F"/>
          <w:sz w:val="24"/>
          <w:szCs w:val="24"/>
          <w:bdr w:val="none" w:sz="0" w:space="0" w:color="auto" w:frame="1"/>
          <w:lang w:val="pt-BR" w:eastAsia="es-ES"/>
        </w:rPr>
        <w:t>2 a 5 anos de reclusão</w:t>
      </w:r>
      <w:r w:rsidRPr="00D52AB3">
        <w:rPr>
          <w:rFonts w:ascii="Times New Roman" w:eastAsia="Times New Roman" w:hAnsi="Times New Roman" w:cs="Times New Roman"/>
          <w:color w:val="1F1F1F"/>
          <w:sz w:val="24"/>
          <w:szCs w:val="24"/>
          <w:bdr w:val="none" w:sz="0" w:space="0" w:color="auto" w:frame="1"/>
          <w:lang w:val="pt-BR" w:eastAsia="es-ES"/>
        </w:rPr>
        <w:t>, além de multa. Em Marabá, o monitoramento é feito de forma rigorosa pela Patrulha Maria da Penha e pelo Aplicativo ANA, garantindo que o afastamento seja cumprido.</w:t>
      </w:r>
    </w:p>
    <w:p w14:paraId="5E4C6F28" w14:textId="77777777" w:rsidR="00D52AB3" w:rsidRPr="00D52AB3" w:rsidRDefault="00D52AB3" w:rsidP="00D52AB3">
      <w:pPr>
        <w:spacing w:before="100" w:beforeAutospacing="1" w:after="120" w:line="240" w:lineRule="auto"/>
        <w:outlineLvl w:val="1"/>
        <w:rPr>
          <w:rFonts w:ascii="Times New Roman" w:eastAsia="Times New Roman" w:hAnsi="Times New Roman" w:cs="Times New Roman"/>
          <w:b/>
          <w:bCs/>
          <w:color w:val="1F1F1F"/>
          <w:sz w:val="36"/>
          <w:szCs w:val="36"/>
          <w:lang w:val="pt-BR" w:eastAsia="es-ES"/>
        </w:rPr>
      </w:pPr>
      <w:r w:rsidRPr="00D52AB3">
        <w:rPr>
          <w:rFonts w:ascii="Times New Roman" w:eastAsia="Times New Roman" w:hAnsi="Times New Roman" w:cs="Times New Roman"/>
          <w:b/>
          <w:bCs/>
          <w:color w:val="1F1F1F"/>
          <w:sz w:val="36"/>
          <w:szCs w:val="36"/>
          <w:lang w:val="pt-BR" w:eastAsia="es-ES"/>
        </w:rPr>
        <w:t>Conclusão</w:t>
      </w:r>
    </w:p>
    <w:p w14:paraId="35512ED1" w14:textId="77777777" w:rsidR="00D52AB3" w:rsidRPr="00D52AB3" w:rsidRDefault="00D52AB3" w:rsidP="00D52AB3">
      <w:pPr>
        <w:spacing w:before="100" w:beforeAutospacing="1" w:after="0" w:line="240" w:lineRule="auto"/>
        <w:rPr>
          <w:rFonts w:ascii="Times New Roman" w:eastAsia="Times New Roman" w:hAnsi="Times New Roman" w:cs="Times New Roman"/>
          <w:color w:val="1F1F1F"/>
          <w:sz w:val="24"/>
          <w:szCs w:val="24"/>
          <w:lang w:val="pt-BR" w:eastAsia="es-ES"/>
        </w:rPr>
      </w:pPr>
      <w:r w:rsidRPr="00D52AB3">
        <w:rPr>
          <w:rFonts w:ascii="Times New Roman" w:eastAsia="Times New Roman" w:hAnsi="Times New Roman" w:cs="Times New Roman"/>
          <w:color w:val="1F1F1F"/>
          <w:sz w:val="24"/>
          <w:szCs w:val="24"/>
          <w:lang w:val="pt-BR" w:eastAsia="es-ES"/>
        </w:rPr>
        <w:t xml:space="preserve">O acesso à justiça para a mulher paraense, especialmente na pujante região de Marabá e seus núcleos como Novo Horizonte, está cada vez mais facilitado pela tecnologia e pela presença física das instituições. A utilização da </w:t>
      </w:r>
      <w:r w:rsidRPr="00D52AB3">
        <w:rPr>
          <w:rFonts w:ascii="Times New Roman" w:eastAsia="Times New Roman" w:hAnsi="Times New Roman" w:cs="Times New Roman"/>
          <w:b/>
          <w:bCs/>
          <w:color w:val="1F1F1F"/>
          <w:sz w:val="24"/>
          <w:szCs w:val="24"/>
          <w:bdr w:val="none" w:sz="0" w:space="0" w:color="auto" w:frame="1"/>
          <w:lang w:val="pt-BR" w:eastAsia="es-ES"/>
        </w:rPr>
        <w:t>DEAM Virtual</w:t>
      </w:r>
      <w:r w:rsidRPr="00D52AB3">
        <w:rPr>
          <w:rFonts w:ascii="Times New Roman" w:eastAsia="Times New Roman" w:hAnsi="Times New Roman" w:cs="Times New Roman"/>
          <w:color w:val="1F1F1F"/>
          <w:sz w:val="24"/>
          <w:szCs w:val="24"/>
          <w:lang w:val="pt-BR" w:eastAsia="es-ES"/>
        </w:rPr>
        <w:t xml:space="preserve"> para o registro inicial e o acompanhamento posterior pela </w:t>
      </w:r>
      <w:r w:rsidRPr="00D52AB3">
        <w:rPr>
          <w:rFonts w:ascii="Times New Roman" w:eastAsia="Times New Roman" w:hAnsi="Times New Roman" w:cs="Times New Roman"/>
          <w:b/>
          <w:bCs/>
          <w:color w:val="1F1F1F"/>
          <w:sz w:val="24"/>
          <w:szCs w:val="24"/>
          <w:bdr w:val="none" w:sz="0" w:space="0" w:color="auto" w:frame="1"/>
          <w:lang w:val="pt-BR" w:eastAsia="es-ES"/>
        </w:rPr>
        <w:t>Patrulha Maria da Penha</w:t>
      </w:r>
      <w:r w:rsidRPr="00D52AB3">
        <w:rPr>
          <w:rFonts w:ascii="Times New Roman" w:eastAsia="Times New Roman" w:hAnsi="Times New Roman" w:cs="Times New Roman"/>
          <w:color w:val="1F1F1F"/>
          <w:sz w:val="24"/>
          <w:szCs w:val="24"/>
          <w:lang w:val="pt-BR" w:eastAsia="es-ES"/>
        </w:rPr>
        <w:t xml:space="preserve"> local formam um cinturão de segurança essencial para a interrupção do ciclo de violência.</w:t>
      </w:r>
    </w:p>
    <w:p w14:paraId="15648E4C" w14:textId="12842836" w:rsidR="006026CF" w:rsidRPr="006026CF" w:rsidRDefault="006026CF" w:rsidP="006026CF">
      <w:pPr>
        <w:spacing w:before="100" w:beforeAutospacing="1" w:after="0" w:line="240" w:lineRule="auto"/>
        <w:rPr>
          <w:rFonts w:ascii="Times New Roman" w:eastAsia="Times New Roman" w:hAnsi="Times New Roman" w:cs="Times New Roman"/>
          <w:color w:val="1F1F1F"/>
          <w:sz w:val="24"/>
          <w:szCs w:val="24"/>
          <w:lang w:val="pt-BR" w:eastAsia="es-ES"/>
        </w:rPr>
      </w:pPr>
      <w:bookmarkStart w:id="0" w:name="_GoBack"/>
      <w:bookmarkEnd w:id="0"/>
      <w:r w:rsidRPr="006026CF">
        <w:rPr>
          <w:rFonts w:ascii="Times New Roman" w:eastAsia="Times New Roman" w:hAnsi="Times New Roman" w:cs="Times New Roman"/>
          <w:color w:val="1F1F1F"/>
          <w:sz w:val="24"/>
          <w:szCs w:val="24"/>
          <w:bdr w:val="none" w:sz="0" w:space="0" w:color="auto" w:frame="1"/>
          <w:lang w:val="pt-BR" w:eastAsia="es-ES"/>
        </w:rPr>
        <w:t>.</w:t>
      </w:r>
    </w:p>
    <w:p w14:paraId="18B1DCC6" w14:textId="77777777" w:rsidR="00FC7307" w:rsidRPr="006026CF" w:rsidRDefault="00FC7307">
      <w:pPr>
        <w:rPr>
          <w:lang w:val="pt-BR"/>
        </w:rPr>
      </w:pPr>
    </w:p>
    <w:sectPr w:rsidR="00FC7307" w:rsidRPr="006026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56077"/>
    <w:multiLevelType w:val="multilevel"/>
    <w:tmpl w:val="047E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3455F4"/>
    <w:multiLevelType w:val="multilevel"/>
    <w:tmpl w:val="6EF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D114DA"/>
    <w:multiLevelType w:val="multilevel"/>
    <w:tmpl w:val="3DB2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AA0"/>
    <w:rsid w:val="006026CF"/>
    <w:rsid w:val="006E1AA0"/>
    <w:rsid w:val="00D52AB3"/>
    <w:rsid w:val="00FC73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DEF5"/>
  <w15:chartTrackingRefBased/>
  <w15:docId w15:val="{C634078D-E2A1-4197-A940-CA316819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6026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har"/>
    <w:uiPriority w:val="9"/>
    <w:qFormat/>
    <w:rsid w:val="006026C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har"/>
    <w:uiPriority w:val="9"/>
    <w:qFormat/>
    <w:rsid w:val="006026CF"/>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26CF"/>
    <w:rPr>
      <w:rFonts w:ascii="Times New Roman" w:eastAsia="Times New Roman" w:hAnsi="Times New Roman" w:cs="Times New Roman"/>
      <w:b/>
      <w:bCs/>
      <w:kern w:val="36"/>
      <w:sz w:val="48"/>
      <w:szCs w:val="48"/>
      <w:lang w:eastAsia="es-ES"/>
    </w:rPr>
  </w:style>
  <w:style w:type="character" w:customStyle="1" w:styleId="Ttulo2Char">
    <w:name w:val="Título 2 Char"/>
    <w:basedOn w:val="Fontepargpadro"/>
    <w:link w:val="Ttulo2"/>
    <w:uiPriority w:val="9"/>
    <w:rsid w:val="006026CF"/>
    <w:rPr>
      <w:rFonts w:ascii="Times New Roman" w:eastAsia="Times New Roman" w:hAnsi="Times New Roman" w:cs="Times New Roman"/>
      <w:b/>
      <w:bCs/>
      <w:sz w:val="36"/>
      <w:szCs w:val="36"/>
      <w:lang w:eastAsia="es-ES"/>
    </w:rPr>
  </w:style>
  <w:style w:type="character" w:customStyle="1" w:styleId="Ttulo3Char">
    <w:name w:val="Título 3 Char"/>
    <w:basedOn w:val="Fontepargpadro"/>
    <w:link w:val="Ttulo3"/>
    <w:uiPriority w:val="9"/>
    <w:rsid w:val="006026CF"/>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6026C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Forte">
    <w:name w:val="Strong"/>
    <w:basedOn w:val="Fontepargpadro"/>
    <w:uiPriority w:val="22"/>
    <w:qFormat/>
    <w:rsid w:val="006026CF"/>
    <w:rPr>
      <w:b/>
      <w:bCs/>
    </w:rPr>
  </w:style>
  <w:style w:type="paragraph" w:styleId="Textodebalo">
    <w:name w:val="Balloon Text"/>
    <w:basedOn w:val="Normal"/>
    <w:link w:val="TextodebaloChar"/>
    <w:uiPriority w:val="99"/>
    <w:semiHidden/>
    <w:unhideWhenUsed/>
    <w:rsid w:val="006026C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026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8977188">
      <w:bodyDiv w:val="1"/>
      <w:marLeft w:val="0"/>
      <w:marRight w:val="0"/>
      <w:marTop w:val="0"/>
      <w:marBottom w:val="0"/>
      <w:divBdr>
        <w:top w:val="none" w:sz="0" w:space="0" w:color="auto"/>
        <w:left w:val="none" w:sz="0" w:space="0" w:color="auto"/>
        <w:bottom w:val="none" w:sz="0" w:space="0" w:color="auto"/>
        <w:right w:val="none" w:sz="0" w:space="0" w:color="auto"/>
      </w:divBdr>
    </w:div>
    <w:div w:id="140148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2479</Words>
  <Characters>13637</Characters>
  <Application>Microsoft Office Word</Application>
  <DocSecurity>0</DocSecurity>
  <Lines>113</Lines>
  <Paragraphs>32</Paragraphs>
  <ScaleCrop>false</ScaleCrop>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DE OLIVEIRA COSTUCHENCO</dc:creator>
  <cp:keywords/>
  <dc:description/>
  <cp:lastModifiedBy>GABRIEL DE OLIVEIRA COSTUCHENCO</cp:lastModifiedBy>
  <cp:revision>3</cp:revision>
  <dcterms:created xsi:type="dcterms:W3CDTF">2026-04-20T02:14:00Z</dcterms:created>
  <dcterms:modified xsi:type="dcterms:W3CDTF">2026-04-21T21:12:00Z</dcterms:modified>
</cp:coreProperties>
</file>