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-291" w:hanging="0"/>
        <w:jc w:val="center"/>
        <w:rPr/>
      </w:pPr>
      <w:r>
        <w:rPr/>
        <w:drawing>
          <wp:inline distT="0" distB="0" distL="0" distR="0">
            <wp:extent cx="5228590" cy="9810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181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4"/>
          <w:szCs w:val="44"/>
        </w:rPr>
        <w:tab/>
        <w:t>Міністерство освіти і науки України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Heading1"/>
        <w:keepNext w:val="true"/>
        <w:keepLines/>
        <w:widowControl/>
        <w:spacing w:lineRule="auto" w:line="240" w:before="0" w:after="0"/>
        <w:ind w:left="432" w:right="619" w:hanging="0"/>
        <w:jc w:val="center"/>
        <w:rPr/>
      </w:pPr>
      <w:r>
        <w:rPr/>
        <w:t xml:space="preserve">НТУУ «Київський політехнічний інститут»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4"/>
          <w:szCs w:val="44"/>
        </w:rPr>
        <w:t>Ім. Ігоря Сікорського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4"/>
          <w:szCs w:val="44"/>
        </w:rPr>
        <w:t>Фізико-технічний інститут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213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color w:val="00000A"/>
          <w:sz w:val="48"/>
          <w:szCs w:val="48"/>
        </w:rPr>
        <w:t>Реферат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36"/>
          <w:szCs w:val="36"/>
        </w:rPr>
        <w:t>“</w:t>
      </w:r>
      <w:r>
        <w:rPr>
          <w:rFonts w:eastAsia="Times New Roman" w:cs="Times New Roman" w:ascii="Times New Roman" w:hAnsi="Times New Roman"/>
          <w:color w:val="00000A"/>
          <w:sz w:val="36"/>
          <w:szCs w:val="36"/>
        </w:rPr>
        <w:t>Методи оцінки ефективності систем заземлення ОІД”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</w:t>
      </w:r>
    </w:p>
    <w:p>
      <w:pPr>
        <w:pStyle w:val="Normal"/>
        <w:spacing w:lineRule="auto" w:line="240" w:before="0" w:after="31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Виконав: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52" w:before="0" w:after="4"/>
        <w:ind w:left="449" w:right="-291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Студент 4 курсу ФТІ</w:t>
      </w:r>
    </w:p>
    <w:p>
      <w:pPr>
        <w:pStyle w:val="Normal"/>
        <w:spacing w:lineRule="auto" w:line="252" w:before="0" w:after="4"/>
        <w:ind w:left="449" w:right="-291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групи  ФБ-63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52" w:before="0" w:after="4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Білик Д.М.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30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Перевірив: </w:t>
      </w:r>
    </w:p>
    <w:p>
      <w:pPr>
        <w:pStyle w:val="Normal"/>
        <w:spacing w:lineRule="auto" w:line="252" w:before="0" w:after="4"/>
        <w:ind w:left="432" w:right="-291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Прогонов Д.О.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40" w:before="0" w:after="225"/>
        <w:ind w:left="432" w:right="619" w:hanging="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</w:t>
      </w:r>
    </w:p>
    <w:p>
      <w:pPr>
        <w:pStyle w:val="Normal"/>
        <w:spacing w:lineRule="auto" w:line="240" w:before="0" w:after="235"/>
        <w:ind w:left="432" w:right="619" w:hanging="0"/>
        <w:rPr/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Київ 2020 </w:t>
      </w:r>
    </w:p>
    <w:p>
      <w:pPr>
        <w:pStyle w:val="Normal"/>
        <w:spacing w:lineRule="auto" w:line="24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432" w:right="619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Зміст</w:t>
      </w:r>
    </w:p>
    <w:p>
      <w:pPr>
        <w:pStyle w:val="Normal"/>
        <w:spacing w:lineRule="auto" w:line="360" w:before="0" w:after="0"/>
        <w:ind w:left="432" w:right="619" w:hanging="0"/>
        <w:jc w:val="left"/>
        <w:rPr>
          <w:b w:val="false"/>
          <w:b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sz w:val="32"/>
          <w:szCs w:val="32"/>
        </w:rPr>
        <w:t>Вступ</w:t>
      </w:r>
      <w:r>
        <w:rPr>
          <w:rFonts w:eastAsia="Times New Roman" w:cs="Times New Roman" w:ascii="Times New Roman" w:hAnsi="Times New Roman"/>
          <w:sz w:val="32"/>
          <w:szCs w:val="32"/>
        </w:rPr>
        <w:t>……………………………………………………………...3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sz w:val="32"/>
          <w:szCs w:val="32"/>
        </w:rPr>
        <w:t>Різновиди штучних систем заземлення</w:t>
      </w:r>
      <w:r>
        <w:rPr>
          <w:rFonts w:eastAsia="Times New Roman" w:cs="Times New Roman" w:ascii="Times New Roman" w:hAnsi="Times New Roman"/>
          <w:sz w:val="32"/>
          <w:szCs w:val="32"/>
        </w:rPr>
        <w:t>………………………</w:t>
      </w:r>
      <w:r>
        <w:rPr>
          <w:rFonts w:eastAsia="Times New Roman" w:cs="Times New Roman" w:ascii="Times New Roman" w:hAnsi="Times New Roman"/>
          <w:b w:val="false"/>
          <w:sz w:val="32"/>
          <w:szCs w:val="32"/>
        </w:rPr>
        <w:t>...4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Захист інформації від витоку колами заземлення</w:t>
      </w:r>
      <w:r>
        <w:rPr>
          <w:rFonts w:eastAsia="Times New Roman" w:cs="Times New Roman" w:ascii="Times New Roman" w:hAnsi="Times New Roman"/>
          <w:sz w:val="32"/>
          <w:szCs w:val="32"/>
        </w:rPr>
        <w:t>……………..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8</w:t>
      </w:r>
    </w:p>
    <w:p>
      <w:pPr>
        <w:pStyle w:val="Normal"/>
        <w:spacing w:lineRule="auto" w:line="360" w:before="0" w:after="0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sz w:val="32"/>
          <w:szCs w:val="32"/>
        </w:rPr>
        <w:t>Висновок…………………………………………………………9</w:t>
      </w:r>
    </w:p>
    <w:p>
      <w:pPr>
        <w:pStyle w:val="Normal"/>
        <w:spacing w:lineRule="auto" w:line="360" w:before="0" w:after="0"/>
        <w:ind w:left="432" w:right="619" w:hanging="0"/>
        <w:jc w:val="left"/>
        <w:rPr>
          <w:b w:val="false"/>
          <w:b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sz w:val="32"/>
          <w:szCs w:val="32"/>
        </w:rPr>
        <w:t>Посилання</w:t>
      </w:r>
      <w:r>
        <w:rPr>
          <w:rFonts w:eastAsia="Times New Roman" w:cs="Times New Roman" w:ascii="Times New Roman" w:hAnsi="Times New Roman"/>
          <w:sz w:val="32"/>
          <w:szCs w:val="32"/>
        </w:rPr>
        <w:t>………………………………………………………</w:t>
      </w:r>
      <w:r>
        <w:rPr>
          <w:rFonts w:eastAsia="Times New Roman" w:cs="Times New Roman" w:ascii="Times New Roman" w:hAnsi="Times New Roman"/>
          <w:b w:val="false"/>
          <w:sz w:val="32"/>
          <w:szCs w:val="32"/>
        </w:rPr>
        <w:t>10</w:t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ind w:left="432" w:right="619" w:hanging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Вступ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44444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Об’єкт інформаційної діяльності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інженерно-технічна споруда (приміщення), транспортний засіб, де провадиться діяльність, пов’язана з державними інформаційними ресурсами та інформацією, вимога щодо захисту якої встановлена законом. Для належного функціонування ці об’єкти , так само як і будь-які інші </w:t>
      </w:r>
      <w:r>
        <w:rPr>
          <w:rFonts w:eastAsia="Times New Roman" w:cs="Times New Roman" w:ascii="Times New Roman" w:hAnsi="Times New Roman"/>
          <w:sz w:val="28"/>
          <w:szCs w:val="28"/>
        </w:rPr>
        <w:t>електронні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споруди, потребує заземлення.  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>При проектуванні, монтажі та експлуатації електроустановок, промислового і побутового електроустаткування, а також електричних мереж освітлення, одним з основних факторів забезпечення їхньої функціональності та електробезпеки є точно спроектоване і правильно виконане заземлення. Залежно від того, яким чином, і з якими конструкціями, пристроями або предметами з'єднані відповідні дроти, прилади, корпуси пристроїв, обладнання або певні точки мережі, розрізняють природне і штучне заземлення.</w:t>
        <w:tab/>
        <w:t>Природними заземлювачами є будь-які металеві предмети, які постійно перебувають в землі: палі, труби, арматура та інші струмопровідні вироби. Однак, з огляду на те, що електричний опір розтіканню в землі електроструму та електричних зарядів від таких предметів погано піддається контролю і прогнозування, використовувати природне заземлення при експлуатації електрообладнання забороняється. У нормативній документації передбачено використання тільки штучного заземлення, при якому всі підключення проводяться до спеціально створеним для цього заземлюючих пристроїв.</w:t>
      </w:r>
    </w:p>
    <w:p>
      <w:pPr>
        <w:pStyle w:val="Normal"/>
        <w:spacing w:lineRule="auto" w:line="360" w:before="57" w:after="57"/>
        <w:ind w:left="432" w:right="619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432" w:right="619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0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0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Різновиди штучних систем заземлення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>Основним документом, який регламентує використання різних систем заземлення в Україні , є ПУЕ (Правила улаштування електроустановок), розроблений відповідно до принципів, класифікацією і способами пристрої заземлюючих систем, затверджених спеціальним протоколом Міжнародної електротехнічної комісії (МЕК). Скорочені назви систем заземлення прийнято позначати поєднанням перших букв французьких слів: «Terre» - земля, «Neuter» - нейтраль, «Isole» - ізолювати, а також англійських: «combined» і «separated» - комбінований і роздільний.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>T - заземлення.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>N - підключення до нейтрали.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>I - ізолювання.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 xml:space="preserve">C - об'єднання функцій, з'єднання функціонального і захисного нульових </w:t>
        <w:tab/>
        <w:t xml:space="preserve">      проводів.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 xml:space="preserve">S - роздільне використання у всій мережі функціонального і захисного </w:t>
        <w:tab/>
        <w:t xml:space="preserve">  </w:t>
        <w:tab/>
        <w:t xml:space="preserve">      нульових проводів.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У наведених нижче назвах систем штучного заземлення по першій букві можна судити про спосіб заземлення джерела електричної енергії (генератора або трансформатора), по другий - споживача. Прийнято розрізняти TN, TT і IT системи заземлення. Перша з яких, в свою чергу, використовується в трьох різних варіантах: TN-C, TN-S, TN-C-S. Для розуміння відмінностей і способів пристрою перерахованих систем заземлення слід розглянути кожну з них більш детальн</w:t>
      </w:r>
      <w:r>
        <w:rPr>
          <w:rFonts w:eastAsia="Times New Roman" w:cs="Times New Roman" w:ascii="Times New Roman" w:hAnsi="Times New Roman"/>
          <w:sz w:val="28"/>
          <w:szCs w:val="28"/>
        </w:rPr>
        <w:t>о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Системи заземлення TN -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Це позначення систем, в яких для підключення нульових функціональних і захисних провідників використовується загальна глухозаземленою нейтраллю генератора або понижувального трансформатора. При цьому всі корпусні електропровідні деталі і екрани споживачів слід підключити до загального нульового провідника, з'єднаного з даної нейтраллю. Побудована з використанням глухозаземленной нейтрали, система заземлення TN характеризується підключенням функціонального «нуля» - провідника N (нейтрали) до контуру заземлення, обладнаному поруч з трансформаторною підстанцією. Очевидно, що в даній системі заземлення нейтрали за допомогою спеціального компенсаторного пристрої - дугогасного реактора не використовується. На практиці застосовуються три підвиди системи TN: TN-C, TN-S, TN-C-S, які відрізняються один від одного різними способами підключення нульових провідників «N» і «PE».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Система заземлення TN-C -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Як випливає з літерного позначення, для системи TN-C характерно об'єднання функціонального і захисного нульових провідників. Класичною TN-C системою є традиційна чотирипровідна схема електропостачання з трьома фазними і одним нульовим проводом. Основна шина заземлення в даному випадку - глухозаземленою нейтраллю, з якої додатковими нульовими проводами необхідно з'єднати всі відкриті деталі, корпуси і металеві частини приладів, здатні проводити електричний струм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Дана система має кілька суттєвих недоліків, головний з яких - втрата захисних функцій в разі обриву або отгоранія нульового проводу. При цьому на неізольованих поверхнях корпусів приладів і обладнання з'явиться небезпечне для життя напруга. Так як окремий захисний заземлювальний провідник PE в даній системі не використовується, все підключені розетки землі не мають. Тому що використовується електрообладнання доводиться зануляти - з'єднувати корпусні деталі з нульовим проводом.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 xml:space="preserve">Система TN-S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Більш прогресивна і безпечна в порівнянні з TN-C система з розділеними робочим та захисним нулями TN-S була розроблена і впроваджена в 30-і роки минулого століття. При високому рівні електробезпеки людей і устаткування це рішення має один, але досить дуже суттєвий недолік - високу вартість. Так як поділ робочого (N) і захисного (PE) нуля реалізовано відразу на підстанції, подача трифазного напруги проводиться по п'яти дротах, однофазного - по трьом. Для підключення обох нульових провідників на стороні джерела використовується глухозаземленою нейтраллю генератора або трансформатора.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 xml:space="preserve">Система TN-C-S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З метою здешевлення оптимальної з безпеки, але фінансово ємною системи TN-S з розділеними нульовими провідниками N і PE, було створено рішення, що дозволяє використовувати її переваги з меншим бюджетом, незначно перевищує витрати на енергопостачання по системі TN-C. Суть даного способу підключення полягає в тому, що з підстанції здійснюється подача електрики з використанням комбінованого нуля «PEN», підключеного до глухозаземленной нейтрали. Який при вході в будівлю розгалужується на «PE» - нуль захисний, і ще один провідник, виконуючий на стороні споживача функцію робочого нуля “N”.</w:t>
        <w:tab/>
        <w:t>Дана система має істотний недолік - в разі пошкодження або прогоряння дроти PEN на ділянці підстанція - будівля, на провіднику PE, а, отже, і всіх пов'язаних з ним корпусних деталях електроприладів, з'явиться небезпечна напруга. Тому при використанні системи TN-C-S, яка досить поширена, нормативні документи вимагають забезпечення спеціальних заходів захисту провідника PEN від пошкодження.</w:t>
      </w:r>
    </w:p>
    <w:p>
      <w:pPr>
        <w:pStyle w:val="Heading3"/>
        <w:spacing w:lineRule="auto" w:line="360" w:before="57" w:after="57"/>
        <w:ind w:left="432" w:right="619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444444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 xml:space="preserve">Система заземлення TT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При подачі електроенергії за традиційною для сільської та поза межами міста повітряної лінії, у разі використання тут небезпечною системи TN-C-S важко забезпечити належний захист провідника комбінованої землі PEN. Тут все частіше використовується система TT, яка передбачає «глухе» заземлення нейтралі джерела, і передачу трифазного напруги по чотирьох проводах. Четвертий є функціональним нулем «N». На стороні споживача виконується місцевий, як правило, модульно-штирьовий заземлювач, до якого підключаються всі провідники захисної землі PE, пов'язані з корпусними деталями.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Системи з ізольованою нейтраллю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 всіх описаних вище системах нейтраль пов'язана з землею, що робить їх досить надійними, але не позбавленими ряду істотних недоліків. Набагато більш досконалими і безпечними є системи, в яких використовується зовсім не пов'язана із землею ізольована нейтраль, або заземлена за допомогою спеціальних приладів і пристроїв з великим опором. Наприклад, як в системі IT. Такі способи підключення часто використовуються в медичних установах для електроживлення обладнання життєзабезпечення, на підприємствах нафтопереробки і енергетики, наукових лабораторіях з особливо чутливими приладами, і інших відповідальних об'єктах.</w:t>
      </w:r>
    </w:p>
    <w:p>
      <w:pPr>
        <w:pStyle w:val="Heading3"/>
        <w:spacing w:lineRule="auto" w:line="360" w:before="57" w:after="57"/>
        <w:ind w:left="432" w:right="619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444444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 xml:space="preserve">Система IT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Класична система, основною ознакою якої є ізольована нейтраль джерела - «I», а також наявність на стороні споживача контуру захисного заземлення - «Т». Напруга від джерела до споживача передається за мінімально можливою кількістю проводів, а вс</w:t>
      </w:r>
      <w:r>
        <w:rPr>
          <w:rFonts w:eastAsia="Times New Roman" w:cs="Times New Roman" w:ascii="Times New Roman" w:hAnsi="Times New Roman"/>
          <w:b w:val="false"/>
        </w:rPr>
        <w:t>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 xml:space="preserve"> струмопровідні деталі корпусів обладнання споживача повинні бути надійно підключені до заземлювача. Нульовий функціональний провідник N на ділянці джерело - споживач в архітектурі системи IT відсутн</w:t>
      </w:r>
      <w:r>
        <w:rPr>
          <w:rFonts w:eastAsia="Times New Roman" w:cs="Times New Roman" w:ascii="Times New Roman" w:hAnsi="Times New Roman"/>
          <w:b w:val="false"/>
        </w:rPr>
        <w:t>ій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720" w:right="619" w:firstLine="72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Захист інформації від витоку колами заземлення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Система заземлення на об'єктах інформатизації не повинна мати вихід за межі контрольованої зони (КТ) і повинна розміщуватися на відстані не менше 10-15 м від них.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Заземляючі дроти повинні бути виконані з мідного дроту. Опір заземлення не повинен перевищувати 4 Ом.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Не рекомендується використовувати для системи заземлення природні заземлювачі (металеві трубопроводи, залізобетонні конструкції будівель і т. П.), що мають вихід за межі КТ.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Для усунення небезпеки витоку інформації по металевих трубопроводах, які виходять за межі КТ, рекомендується застосовування струмонепровідних вставок (муфт) довжиною не менше 1 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При наявності в електронно-обчислювальної техніки (ЕОТ) «схемної землі» окреме заземлення для них створювати не потрібно. Шина «схемна земля» повинна бути ізольована від захисного заземлення та металоконструкцій і не утворювати замкнуту петлю.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При неможливості провести заземлення обладнання допускається його «занулення».</w:t>
      </w:r>
    </w:p>
    <w:p>
      <w:pPr>
        <w:pStyle w:val="Normal"/>
        <w:spacing w:lineRule="auto" w:line="360" w:before="57" w:after="57"/>
        <w:ind w:left="0" w:right="619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57" w:after="57"/>
        <w:ind w:left="432" w:right="619" w:hanging="0"/>
        <w:jc w:val="center"/>
        <w:rPr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Висновок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Об’єкти інформаційної діяльності – електронні пристрої , що потребують захисту та аудиту їхньої безпеки. Однією з вразливих точок є система заземлення. За несправної або неправильно побудованої заземлювальної системи, є ризик витоку інформації або вихід з ладу ОІД , що може призвести до значних втрат.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ab/>
        <w:t xml:space="preserve">Саме тому є нормативний документ , що регулює захист інформації на ОІД та  створення комплексу технічного захисту інформації (В Україні це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НД ТЗІ 3.1-001-07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), на який треба посилатись при побудові об’єкту інформаційної діяльності, та при оцінюванні його ефективності.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rFonts w:ascii="Times New Roman" w:hAnsi="Times New Roman" w:eastAsia="Times New Roman" w:cs="Times New Roman"/>
          <w:b w:val="false"/>
          <w:b w:val="false"/>
          <w:sz w:val="25"/>
          <w:szCs w:val="25"/>
        </w:rPr>
      </w:pPr>
      <w:r>
        <w:rPr>
          <w:rFonts w:eastAsia="Times New Roman" w:cs="Times New Roman" w:ascii="Times New Roman" w:hAnsi="Times New Roman"/>
          <w:b w:val="false"/>
          <w:sz w:val="25"/>
          <w:szCs w:val="25"/>
        </w:rPr>
      </w:r>
    </w:p>
    <w:p>
      <w:pPr>
        <w:pStyle w:val="Normal"/>
        <w:spacing w:lineRule="auto" w:line="360" w:before="57" w:after="57"/>
        <w:ind w:left="0" w:right="619" w:hanging="0"/>
        <w:jc w:val="lef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57" w:after="57"/>
        <w:ind w:left="0" w:right="619" w:hanging="0"/>
        <w:jc w:val="center"/>
        <w:rPr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Посилання</w:t>
      </w:r>
    </w:p>
    <w:p>
      <w:pPr>
        <w:pStyle w:val="Normal"/>
        <w:spacing w:lineRule="auto" w:line="360" w:before="57" w:after="57"/>
        <w:ind w:left="432" w:right="619" w:hanging="0"/>
        <w:jc w:val="left"/>
        <w:rPr>
          <w:sz w:val="28"/>
          <w:szCs w:val="28"/>
        </w:rPr>
      </w:pPr>
      <w:r>
        <w:rPr>
          <w:b w:val="false"/>
          <w:caps w:val="false"/>
          <w:smallCaps w:val="false"/>
          <w:color w:val="000000"/>
          <w:sz w:val="28"/>
          <w:szCs w:val="28"/>
        </w:rPr>
        <w:t>1)</w:t>
      </w:r>
      <w:r>
        <w:rPr>
          <w:b/>
          <w:caps w:val="false"/>
          <w:smallCaps w:val="false"/>
          <w:color w:val="000000"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431/28561 від 23.03.2016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ПОЛОЖЕННЯ про контроль за станом технічного захисту інформації в органах і підрозділах Національної поліції України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</w:rPr>
        <w:t>”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2)</w:t>
      </w:r>
      <w:r>
        <w:rPr>
          <w:rFonts w:eastAsia="Liberation Serif" w:cs="Liberation Serif"/>
          <w:b/>
          <w:i w:val="false"/>
          <w:caps w:val="false"/>
          <w:smallCaps w:val="false"/>
          <w:color w:val="000000"/>
          <w:sz w:val="28"/>
          <w:szCs w:val="28"/>
        </w:rPr>
        <w:t>НД ТЗІ 3.1-001-07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z w:val="28"/>
          <w:szCs w:val="28"/>
        </w:rPr>
        <w:t xml:space="preserve">“Захист інформації на об’єктах інформаційної діяльності. Створення комплексу технічного захисту інформації. Передпроектні роботи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”</w:t>
      </w:r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3)</w:t>
      </w:r>
      <w:hyperlink r:id="rId3">
        <w:r>
          <w:rPr>
            <w:rStyle w:val="ListLabel1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8"/>
            <w:szCs w:val="28"/>
            <w:u w:val="none"/>
          </w:rPr>
          <w:t>https://zandz.com/ru/biblioteka/sistemy_zazemlenieya_TNS_TNC_TNCS_TT_IT.html</w:t>
        </w:r>
      </w:hyperlink>
    </w:p>
    <w:p>
      <w:pPr>
        <w:pStyle w:val="Normal"/>
        <w:spacing w:lineRule="auto" w:line="360" w:before="57" w:after="57"/>
        <w:ind w:left="432" w:right="619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</w:rPr>
        <w:t>4)</w:t>
      </w:r>
      <w:hyperlink r:id="rId4">
        <w:r>
          <w:rPr>
            <w:rStyle w:val="ListLabel1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8"/>
            <w:szCs w:val="28"/>
            <w:u w:val="none"/>
          </w:rPr>
          <w:t>https://studref.com/306303/informatika/zaschita_informatsii_utechki_tsepyam_zazemleniya</w:t>
        </w:r>
      </w:hyperlink>
    </w:p>
    <w:sectPr>
      <w:headerReference w:type="default" r:id="rId5"/>
      <w:footerReference w:type="default" r:id="rId6"/>
      <w:type w:val="nextPage"/>
      <w:pgSz w:w="11906" w:h="16838"/>
      <w:pgMar w:left="1134" w:right="1134" w:header="1133" w:top="1191" w:footer="1133" w:bottom="1191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  <w:r>
      <w:rPr/>
      <w:t xml:space="preserve">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bidi w:val="0"/>
      <w:spacing w:lineRule="auto" w:line="240" w:before="0" w:after="0"/>
      <w:ind w:left="1381" w:hanging="0"/>
      <w:jc w:val="right"/>
    </w:pPr>
    <w:rPr>
      <w:rFonts w:ascii="Times New Roman" w:hAnsi="Times New Roman" w:eastAsia="Times New Roman" w:cs="Times New Roman"/>
      <w:color w:val="00000A"/>
      <w:kern w:val="0"/>
      <w:sz w:val="44"/>
      <w:szCs w:val="4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00" w:after="120"/>
      <w:ind w:left="720" w:hanging="0"/>
      <w:jc w:val="left"/>
    </w:pPr>
    <w:rPr>
      <w:rFonts w:ascii="Liberation Sans" w:hAnsi="Liberation Sans" w:eastAsia="Liberation Sans" w:cs="Liberation Sans"/>
      <w:b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bidi w:val="0"/>
      <w:spacing w:lineRule="auto" w:line="240" w:before="14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bidi w:val="0"/>
      <w:spacing w:lineRule="auto" w:line="240" w:before="120" w:after="120"/>
      <w:ind w:left="720" w:hanging="0"/>
      <w:jc w:val="left"/>
    </w:pPr>
    <w:rPr>
      <w:rFonts w:ascii="Liberation Sans" w:hAnsi="Liberation Sans" w:eastAsia="Liberation Sans" w:cs="Liberation Sans"/>
      <w:b/>
      <w:i/>
      <w:color w:val="auto"/>
      <w:kern w:val="0"/>
      <w:sz w:val="27"/>
      <w:szCs w:val="27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bidi w:val="0"/>
      <w:spacing w:lineRule="auto" w:line="240" w:before="120" w:after="60"/>
      <w:ind w:left="720" w:hanging="0"/>
      <w:jc w:val="left"/>
    </w:pPr>
    <w:rPr>
      <w:rFonts w:ascii="Liberation Sans" w:hAnsi="Liberation Sans" w:eastAsia="Liberation Sans" w:cs="Liberation Sans"/>
      <w:b/>
      <w:color w:val="auto"/>
      <w:kern w:val="0"/>
      <w:sz w:val="24"/>
      <w:szCs w:val="24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bidi w:val="0"/>
      <w:spacing w:lineRule="auto" w:line="240" w:before="60" w:after="60"/>
      <w:ind w:left="720" w:hanging="0"/>
      <w:jc w:val="left"/>
    </w:pPr>
    <w:rPr>
      <w:rFonts w:ascii="Liberation Sans" w:hAnsi="Liberation Sans" w:eastAsia="Liberation Sans" w:cs="Liberation Sans"/>
      <w:b/>
      <w:i/>
      <w:color w:val="auto"/>
      <w:kern w:val="0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color w:val="000000"/>
      <w:sz w:val="28"/>
      <w:szCs w:val="28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color w:val="000000"/>
      <w:sz w:val="28"/>
      <w:szCs w:val="28"/>
      <w:u w:val="none"/>
    </w:rPr>
  </w:style>
  <w:style w:type="character" w:styleId="ListLabel3">
    <w:name w:val="ListLabel 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color w:val="000000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zandz.com/ru/biblioteka/sistemy_zazemlenieya_TNS_TNC_TNCS_TT_IT.html" TargetMode="External"/><Relationship Id="rId4" Type="http://schemas.openxmlformats.org/officeDocument/2006/relationships/hyperlink" Target="https://studref.com/306303/informatika/zaschita_informatsii_utechki_tsepyam_zazemleniy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10</Pages>
  <Words>1315</Words>
  <Characters>9065</Characters>
  <CharactersWithSpaces>10710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2020-04-04T07:34:13Z</dcterms:modified>
  <cp:revision>4</cp:revision>
  <dc:subject/>
  <dc:title/>
</cp:coreProperties>
</file>