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 №6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Канали витоку інформації ОІД та ТЗПІ;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Захист каналів зв’язку;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Активні засоби. Постановка завад. Види завадових сигналів. Приклади приладів та їх характеристики;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Закриття мовних сигналів в телефонних каналах.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3.Активні методи захисту: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-створення просторових маскуючих електромагнітних завад з ціллю зменшення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відношення сигнал/завада на межі зони що контролюється до рівнів,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унеможливлюючих їх виділення засобами розвідки на шумовому фоні;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-створення маскуючих електромагнітних завад у сторонніх провідниках та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з’єднувальних лініях ДТЗС з ціллю зменшення відношення сигнал/завада на межі зони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що контролюється до рівнів, унеможливлюючих їх виділення засобами розвідки на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шумовому фоні;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Завади, котрі враховуються при визначенні захищеності інформації від витоку, повинні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задовільняти слідуючим вимогам: - маскуючі властивості завад повинні зберігатись 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заданому рівні при використанні будь-яким з методів обробки суміші сигнал-завада. Інакше кажучи, властивості завад повинні бути стабільними в часі і в просторі. Завади, котрі діють у КВ інформації, як витікає з вище зазначеного, складаються з багатьох компонент з різним ступенем детермінованості, з різними розподіленнями потужності по частоті і стабільністю рівня в часі і просторі. На основі аналізу зазначених джерел завад та вимог до них і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розроблюються методики визначення рівнів завад в КВ інформації. За допомогою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зазначених методик провадять виміри.Використання мінімальних значнь завад гарантує ефективний захист інформації від витоку незалежно від розміщення об’єктів.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4.Закриття мовних сигналів в телефонних каналах.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Безпека зв'язку при передачі мовних повідомлень грунтується на використанні різних методів закриття, що міняють характеристики мови так, що вона стає нерозбірливою і невпізнанною для особи, що підслуховує мовне повідомлення. Метод закриття залежить від вигляду, конкретного застосування і технічних характеристик каналу передачі.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У мовних системах зв'язку відомі два основні методи закриття мовних сигналів, що відрізняються способом передачі в каналах зв'язку: аналоговий скремблінг і дискретизація мови з подальшим шифруванням (цифрові системи закриття).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Під аналоговим скрмблінгом розуміють таку зміну характеристик мовного сигналу, при якому одержаний модульований сигнал, володіючи властивостями нерозбірливості і невпізнання, займає таку ж смугу частот спектру, як і початковий відкритий сигнал. З аналогових методів практичне застосування одержало частотний і тимчасови</w:t>
        <w:tab/>
        <w:t xml:space="preserve"> скремблінг, а також їх комбінація.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Скремблер - це програмний або апаратний пристрій, призначений для зміни мовного повідомлення при передачі і його відновлення при прийомі за допомогою певних алгоритмів і ключів.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Методи скремблювання поділяються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аналогові 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цифрові.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Аналогові скремблери поділяються на статистичні(схема кодування яких залишається незмінною упродовж всієї передачі мовного повідомлення)  та динамічні(які постійно генерують кодові підстановки впродовж передачі).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При аналоговому скремблюванні зазвичай реалізуються два основні способи шифрування : частотні або тимчасові перестановки. При тому і іншому способі характеристики передаваного сигналу  змінюються таким чином, що сигнал, виділений за допомогою звичайного телефонного апарату, стає нерозбірливим, але займає ту ж частотну смугу, що дозволяє його передавати по лініях зв'язку в звичайному режимі. При частотному скремблюванні за допомогою частотних фільтрів уся смуга стандартного телефонного сигналу дробиться на якесь число частотних смуг. Ці частотні інтервали перемішуються потім в заданому порядку, наприклад, за законом псевдовипадкової послідовності.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 переваг аналогового способу шифрування слід віднести його простоту і меншу вартість подібних пристроїв в порівнянні з приладами, що реалізовують функцію захисту цифровим способом, а також малі габарити.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Головним недоліком аналогового способу захисту є його менша стійкість до дешифрування. При виборі аналогового скремблера слід звертати увагу на складність ключів і перетворень, вживаних в його системі шифрування.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Динамічні системи забезпечують більш високу степінь захисту, оскільки різко обмежують можливість легкого прослуховування переговорів сторонніми особами.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Рівень захищеності передаваної інформації визначаэться за складністю сигналу.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На даний момент на ринку скремблери представлені багатьма фірмами. Розглянемо детальніше деякі з них.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ST-020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Один з перших на ринку з’явився аналоговий частотний інверсійний скремблер фірми Selectone 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Технічні характеристики: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Виробник : Selectone;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Режим работи: симплекс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Діапазон частот: 300-2400Гц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Кількість частот інверсії: 8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Діапазон напруги живлення: 5,2 -18В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Струм споживання: 4 мА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Діапазон рабочих температур: -30... +70 С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Розміри: 21х38х4 мм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Також існують інші моделі цього виробника, наприклад ST-22.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Модели ST-22 відрізняється розширеним діапазоном частот (до 3000Гц) і напруги живлення (до 24 В), а також меншеними розмірами (20х25х4 мм).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Так само Selectone випускав моделі з тимчасовим перетворенням ST – 50 серії, але наразі вони не є доступними для продажу.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VPU-1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Аналоговий частотний інверсійний скремблер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Технічні характеристики: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Виробник : Midian;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Режим работи: дуплекс;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Діапазон частот: 300-2600Гц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Кількість частот інверсії: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Діапазон напруги живлення: 5,5 -24В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Струм споживання: 5 мА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Діапазон рабочих температур: -30... +60 С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Розміри:36х24х6 мм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Midian надає користувачеві вибір конкретної моделі для використання у складі своїх радіозасобів. Для використання в дуплексних станціях виробник надає два скрамблера -VPU - 1 і VPU – 8,  які відрізняються габаритами(36х24х6 мм для VPU – 8) та кількістю частот інверсії(1  для VPU – 8). Ціна VPU – 8 в два рази нижча – лише 35 USD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Симплексний режим роботи забезпечують скрамблери VPU – 2, VPU - 7 і VPU - 15 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KVS-1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Аналоговые частотные инверсионные скремблеры.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Технічні характеристики: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Виробник : Kenwood;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Режим работи: симплекс;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Діапазон частот: 300-2400Гц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Кількість частот інверсії: 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Діапазон напруги живлення: 5 -12В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Струм споживання: 4 мА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Діапазон рабочих температур: -30... +60 С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Розміри:35х20х5 мм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04ХК100-01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Засоби серії 04ХК100-01 призначені для технічного захисту інформації від прослуховування в каналі зв'язку, а також захисту не категорійованої службової інформації обмеженого поширення, що не відноситься до категорій конфіденційної і такої, що не становить державну таємницю.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Основні характеристики: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кількість незалежних ключів - 232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кількість оперативно змінюваних ключів - не більше 8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смуга частот мовного сигналу від 0,3 до 3,4 кГц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затримка мовної інформації не більше 250 мс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розбірливість відновлюваної мови - 1 клас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прослуховування каналу - не менше 99,9%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Канали витоку інформації ОІД та ТЗПІ;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Канали витоку: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1)За фізичним принципом: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- акустичні (включаючи акустоперетворювальні);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- візуально-оптичні (спостереження, фотографування і т.п.);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- електромагнітні (а також з розподілом на електричні і магнітні окремо);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- матеріальні (папір, фото, магнітні носії, відходи різного характеру).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2)За способом отримання інформації класифікації можуть підлягати методи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несанкціонованого доступу до неї: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- акустичний контроль приміщень, автомобіля, людини, контроль та прослуховуван-ня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телефонних каналів зв’язку, перехоплення факсових та модемних сеансів зв’язку;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- перехоплення комп’ютерної інформації (у тому числі радіовипромінювання комп’ютера), несанкціонований доступ до бази даних;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- прихована фото- та відеоз’омка з застосуванням спеціальної оптики;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- візуальне спостереження за об’єктом;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- несанкціоноване ознайомлення з документами;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- аналітичне обстеження процесу діяльності підприємства, його корисного продукту та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відходів, в тому числі хімічний аналіз зовнішніх викидів;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- аналітичне ознайомлення з публікаціями та рекламними матеріалами підприємства;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- несанкціоноване отримання інформації про особу шляхом підкупу та шантажу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службовців, оточення та родичів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2.Захист інформації, що оброблюється ТЗПІ, здійснюється з використанням пасивних та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активних методів та засобів.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Пасивні методи захисту направлені на: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ослаблення інформаційних сигналів ТЗПІ на межі зони що контролюється до рівнів,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унеможливлюючих їх виділення засобами розвідки на шумовому фоні;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ослаблення наведень побічних електромагнітних випромінювань ТЗПІ на сторонні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провідники та з’єднувальні лінії ДТЗС, що виходять за межі зони що контролюється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до рівнів, унеможливлюючих їх виділення засобами розвідки на шумовому фоні;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виключення (ослаблення) просочування інформаційних сигналів ТЗПІ до мереж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живлення що виходять за межі зони що контролюється до рівнів, унеможливлюючих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їх виділення засобами розвідки на шумовому фоні;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Активні методи захисту спрямовані на: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створення просторових маскуючих електромагнітних завад з ціллю зменшення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відношення сигнал/завада на межі зони що контролюється до рівнів,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унеможливлюючих їх виділення засобами розвідки на шумовому фоні;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створення маскуючих електромагнітних завад у сторонніх провідниках та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з’єднувальних лініях ДТЗС з ціллю зменшення відношення сигнал/завада на межі зони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що контролюється до рівнів, унеможливлюючих їх виділення засобами розвідки на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шумовому фоні;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